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366960" w14:textId="7D080B3F" w:rsidR="003B79BC" w:rsidRDefault="00000000" w:rsidP="00686059">
      <w:pPr>
        <w:tabs>
          <w:tab w:val="right" w:pos="9360"/>
        </w:tabs>
        <w:spacing w:line="360" w:lineRule="auto"/>
        <w:jc w:val="center"/>
        <w:rPr>
          <w:b/>
          <w:bCs/>
          <w:lang w:val="en-US"/>
        </w:rPr>
      </w:pPr>
      <w:bookmarkStart w:id="0" w:name="_Hlk165547034"/>
      <w:bookmarkStart w:id="1" w:name="_Hlk144454309"/>
      <w:r>
        <w:rPr>
          <w:b/>
          <w:bCs/>
        </w:rPr>
        <w:t xml:space="preserve">PENGARUH BLOK PERITONSILER </w:t>
      </w:r>
      <w:r>
        <w:rPr>
          <w:b/>
          <w:bCs/>
          <w:lang w:val="id-ID"/>
        </w:rPr>
        <w:t>LEVO</w:t>
      </w:r>
      <w:r>
        <w:rPr>
          <w:b/>
          <w:bCs/>
        </w:rPr>
        <w:t>BUPIVA</w:t>
      </w:r>
      <w:r>
        <w:rPr>
          <w:b/>
          <w:bCs/>
          <w:lang w:val="id-ID"/>
        </w:rPr>
        <w:t>CA</w:t>
      </w:r>
      <w:r>
        <w:rPr>
          <w:b/>
          <w:bCs/>
        </w:rPr>
        <w:t xml:space="preserve">INE ISOBARIK 0,125% TERHADAP INTENSITAS NYERI DAN KADAR    INTERLEUKIN 6 </w:t>
      </w:r>
      <w:r>
        <w:rPr>
          <w:b/>
          <w:bCs/>
          <w:lang w:val="id-ID"/>
        </w:rPr>
        <w:t>P</w:t>
      </w:r>
      <w:r>
        <w:rPr>
          <w:b/>
          <w:bCs/>
        </w:rPr>
        <w:t xml:space="preserve">ADA </w:t>
      </w:r>
      <w:r>
        <w:rPr>
          <w:b/>
          <w:bCs/>
          <w:lang w:val="id-ID"/>
        </w:rPr>
        <w:t>PASCABEDAH</w:t>
      </w:r>
      <w:r>
        <w:rPr>
          <w:b/>
          <w:bCs/>
        </w:rPr>
        <w:t xml:space="preserve"> TONSILEKTOMI</w:t>
      </w:r>
    </w:p>
    <w:bookmarkEnd w:id="0"/>
    <w:p w14:paraId="15135874" w14:textId="77777777" w:rsidR="008D0E18" w:rsidRPr="008D0E18" w:rsidRDefault="008D0E18" w:rsidP="00686059">
      <w:pPr>
        <w:tabs>
          <w:tab w:val="right" w:pos="9360"/>
        </w:tabs>
        <w:spacing w:line="360" w:lineRule="auto"/>
        <w:jc w:val="center"/>
        <w:rPr>
          <w:color w:val="0000FF"/>
          <w:lang w:val="en-US"/>
        </w:rPr>
      </w:pPr>
    </w:p>
    <w:p w14:paraId="32755521" w14:textId="77777777" w:rsidR="003B79BC" w:rsidRDefault="003B79BC" w:rsidP="00686059">
      <w:pPr>
        <w:pStyle w:val="NormalWeb"/>
        <w:spacing w:before="0" w:beforeAutospacing="0" w:after="0" w:afterAutospacing="0" w:line="360" w:lineRule="auto"/>
        <w:jc w:val="center"/>
        <w:rPr>
          <w:b/>
          <w:bCs/>
          <w:color w:val="000000" w:themeColor="text1"/>
          <w:sz w:val="24"/>
          <w:szCs w:val="24"/>
        </w:rPr>
      </w:pPr>
    </w:p>
    <w:p w14:paraId="52642D25" w14:textId="77777777" w:rsidR="008D0E18" w:rsidRPr="008D0E18" w:rsidRDefault="008D0E18" w:rsidP="00686059">
      <w:pPr>
        <w:tabs>
          <w:tab w:val="left" w:pos="450"/>
        </w:tabs>
        <w:spacing w:line="360" w:lineRule="auto"/>
        <w:jc w:val="center"/>
        <w:rPr>
          <w:i/>
          <w:iCs/>
          <w:color w:val="000000"/>
          <w:sz w:val="28"/>
        </w:rPr>
      </w:pPr>
      <w:r w:rsidRPr="008D0E18">
        <w:rPr>
          <w:i/>
          <w:iCs/>
          <w:color w:val="000000"/>
          <w:sz w:val="28"/>
        </w:rPr>
        <w:t>The Effect of Levobupivacaine Isobaric Peritonsillar Block 0.125% on Pain Intensity and Interleukin 6 Level</w:t>
      </w:r>
      <w:r w:rsidRPr="008D0E18">
        <w:rPr>
          <w:i/>
          <w:iCs/>
          <w:color w:val="000000"/>
          <w:sz w:val="28"/>
          <w:lang w:val="en-US"/>
        </w:rPr>
        <w:t xml:space="preserve"> </w:t>
      </w:r>
      <w:r w:rsidRPr="008D0E18">
        <w:rPr>
          <w:i/>
          <w:iCs/>
          <w:color w:val="000000"/>
          <w:sz w:val="28"/>
        </w:rPr>
        <w:t>in Post-Tonsillectomy Surgery</w:t>
      </w:r>
    </w:p>
    <w:p w14:paraId="5A4F90E1" w14:textId="77777777" w:rsidR="003B79BC" w:rsidRDefault="003B79BC" w:rsidP="00686059">
      <w:pPr>
        <w:spacing w:line="360" w:lineRule="auto"/>
        <w:jc w:val="center"/>
        <w:rPr>
          <w:b/>
          <w:bCs/>
          <w:lang w:val="en-US" w:eastAsia="zh-CN"/>
        </w:rPr>
      </w:pPr>
    </w:p>
    <w:p w14:paraId="026645A0" w14:textId="77777777" w:rsidR="009F4F21" w:rsidRDefault="009F4F21" w:rsidP="00686059">
      <w:pPr>
        <w:spacing w:line="360" w:lineRule="auto"/>
        <w:jc w:val="center"/>
        <w:rPr>
          <w:b/>
          <w:bCs/>
          <w:lang w:val="en-US" w:eastAsia="zh-CN"/>
        </w:rPr>
      </w:pPr>
    </w:p>
    <w:p w14:paraId="45A17FCB" w14:textId="77777777" w:rsidR="009F4F21" w:rsidRDefault="009F4F21" w:rsidP="00686059">
      <w:pPr>
        <w:spacing w:line="360" w:lineRule="auto"/>
        <w:jc w:val="center"/>
        <w:rPr>
          <w:b/>
          <w:bCs/>
          <w:lang w:val="en-US" w:eastAsia="zh-CN"/>
        </w:rPr>
      </w:pPr>
    </w:p>
    <w:p w14:paraId="25071137" w14:textId="77777777" w:rsidR="009F4F21" w:rsidRDefault="009F4F21" w:rsidP="00686059">
      <w:pPr>
        <w:spacing w:line="360" w:lineRule="auto"/>
        <w:jc w:val="center"/>
        <w:rPr>
          <w:b/>
          <w:bCs/>
          <w:lang w:val="en-US" w:eastAsia="zh-CN"/>
        </w:rPr>
      </w:pPr>
    </w:p>
    <w:p w14:paraId="0939E1EB" w14:textId="0B32D8D1" w:rsidR="009F4F21" w:rsidRDefault="009F4F21" w:rsidP="00686059">
      <w:pPr>
        <w:spacing w:line="360" w:lineRule="auto"/>
        <w:jc w:val="center"/>
        <w:rPr>
          <w:b/>
          <w:bCs/>
          <w:color w:val="000000" w:themeColor="text1"/>
          <w:lang w:val="en-US"/>
        </w:rPr>
      </w:pPr>
      <w:r>
        <w:rPr>
          <w:b/>
          <w:bCs/>
          <w:color w:val="000000" w:themeColor="text1"/>
          <w:lang w:val="en-US"/>
        </w:rPr>
        <w:t>HERMAN MANGASI SILABAN</w:t>
      </w:r>
    </w:p>
    <w:p w14:paraId="0934BE30" w14:textId="77777777" w:rsidR="00622CF0" w:rsidRDefault="00622CF0" w:rsidP="00686059">
      <w:pPr>
        <w:spacing w:line="360" w:lineRule="auto"/>
        <w:jc w:val="center"/>
        <w:rPr>
          <w:b/>
          <w:bCs/>
          <w:color w:val="000000" w:themeColor="text1"/>
          <w:lang w:val="en-US"/>
        </w:rPr>
      </w:pPr>
    </w:p>
    <w:p w14:paraId="543E2A2B" w14:textId="523D7FA8" w:rsidR="00622CF0" w:rsidRDefault="00622CF0" w:rsidP="00686059">
      <w:pPr>
        <w:spacing w:line="360" w:lineRule="auto"/>
        <w:jc w:val="center"/>
        <w:rPr>
          <w:b/>
          <w:bCs/>
          <w:color w:val="000000" w:themeColor="text1"/>
          <w:lang w:val="en-US"/>
        </w:rPr>
      </w:pPr>
    </w:p>
    <w:p w14:paraId="62233592" w14:textId="2FC9C4B2" w:rsidR="00E924E2" w:rsidRDefault="00975533" w:rsidP="00686059">
      <w:pPr>
        <w:spacing w:line="360" w:lineRule="auto"/>
        <w:jc w:val="center"/>
        <w:rPr>
          <w:b/>
          <w:bCs/>
          <w:color w:val="000000" w:themeColor="text1"/>
          <w:lang w:val="en-US"/>
        </w:rPr>
      </w:pPr>
      <w:r>
        <w:rPr>
          <w:bCs/>
          <w:noProof/>
          <w:color w:val="000000" w:themeColor="text1"/>
          <w:lang w:val="en-US"/>
        </w:rPr>
        <w:drawing>
          <wp:anchor distT="0" distB="0" distL="114300" distR="114300" simplePos="0" relativeHeight="251670528" behindDoc="0" locked="0" layoutInCell="1" allowOverlap="1" wp14:anchorId="33705D40" wp14:editId="1E53CCF2">
            <wp:simplePos x="0" y="0"/>
            <wp:positionH relativeFrom="column">
              <wp:posOffset>1479550</wp:posOffset>
            </wp:positionH>
            <wp:positionV relativeFrom="paragraph">
              <wp:posOffset>40944</wp:posOffset>
            </wp:positionV>
            <wp:extent cx="2040890" cy="2215515"/>
            <wp:effectExtent l="0" t="0" r="0" b="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40890" cy="2215515"/>
                    </a:xfrm>
                    <a:prstGeom prst="rect">
                      <a:avLst/>
                    </a:prstGeom>
                  </pic:spPr>
                </pic:pic>
              </a:graphicData>
            </a:graphic>
            <wp14:sizeRelH relativeFrom="margin">
              <wp14:pctWidth>0</wp14:pctWidth>
            </wp14:sizeRelH>
            <wp14:sizeRelV relativeFrom="margin">
              <wp14:pctHeight>0</wp14:pctHeight>
            </wp14:sizeRelV>
          </wp:anchor>
        </w:drawing>
      </w:r>
    </w:p>
    <w:p w14:paraId="2DE2DBBD" w14:textId="597D1CE1" w:rsidR="00622CF0" w:rsidRDefault="00622CF0" w:rsidP="00686059">
      <w:pPr>
        <w:spacing w:line="360" w:lineRule="auto"/>
        <w:jc w:val="center"/>
        <w:rPr>
          <w:b/>
          <w:bCs/>
          <w:lang w:val="en-US" w:eastAsia="zh-CN"/>
        </w:rPr>
      </w:pPr>
    </w:p>
    <w:p w14:paraId="3A4BABE0" w14:textId="01E08A84" w:rsidR="008E13A7" w:rsidRPr="009F4F21" w:rsidRDefault="008E13A7" w:rsidP="00686059">
      <w:pPr>
        <w:spacing w:line="360" w:lineRule="auto"/>
        <w:jc w:val="center"/>
        <w:rPr>
          <w:b/>
          <w:bCs/>
          <w:lang w:val="en-US" w:eastAsia="zh-CN"/>
        </w:rPr>
      </w:pPr>
    </w:p>
    <w:p w14:paraId="3975E2ED" w14:textId="7AA89954" w:rsidR="003B79BC" w:rsidRDefault="003B79BC" w:rsidP="00686059">
      <w:pPr>
        <w:spacing w:line="360" w:lineRule="auto"/>
        <w:jc w:val="center"/>
        <w:rPr>
          <w:b/>
          <w:bCs/>
          <w:lang w:eastAsia="zh-CN"/>
        </w:rPr>
      </w:pPr>
    </w:p>
    <w:p w14:paraId="7A8F7A1B" w14:textId="77777777" w:rsidR="003B79BC" w:rsidRDefault="003B79BC" w:rsidP="00686059">
      <w:pPr>
        <w:spacing w:line="360" w:lineRule="auto"/>
        <w:jc w:val="center"/>
        <w:rPr>
          <w:b/>
          <w:bCs/>
          <w:lang w:eastAsia="zh-CN"/>
        </w:rPr>
      </w:pPr>
    </w:p>
    <w:p w14:paraId="6D4C601B" w14:textId="77777777" w:rsidR="003B79BC" w:rsidRDefault="003B79BC" w:rsidP="00686059">
      <w:pPr>
        <w:spacing w:line="360" w:lineRule="auto"/>
        <w:jc w:val="center"/>
        <w:rPr>
          <w:b/>
          <w:bCs/>
          <w:lang w:eastAsia="zh-CN"/>
        </w:rPr>
      </w:pPr>
    </w:p>
    <w:p w14:paraId="260FE738" w14:textId="77777777" w:rsidR="003B79BC" w:rsidRDefault="003B79BC" w:rsidP="00686059">
      <w:pPr>
        <w:spacing w:line="360" w:lineRule="auto"/>
        <w:jc w:val="center"/>
        <w:rPr>
          <w:b/>
          <w:bCs/>
          <w:lang w:eastAsia="zh-CN"/>
        </w:rPr>
      </w:pPr>
    </w:p>
    <w:p w14:paraId="4B26091D" w14:textId="77777777" w:rsidR="003B79BC" w:rsidRDefault="003B79BC" w:rsidP="00686059">
      <w:pPr>
        <w:spacing w:line="360" w:lineRule="auto"/>
        <w:jc w:val="center"/>
        <w:rPr>
          <w:b/>
          <w:bCs/>
          <w:lang w:eastAsia="zh-CN"/>
        </w:rPr>
      </w:pPr>
    </w:p>
    <w:p w14:paraId="0D38791A" w14:textId="77777777" w:rsidR="003B79BC" w:rsidRDefault="003B79BC" w:rsidP="00686059">
      <w:pPr>
        <w:spacing w:line="360" w:lineRule="auto"/>
        <w:jc w:val="center"/>
        <w:rPr>
          <w:b/>
          <w:bCs/>
          <w:lang w:eastAsia="zh-CN"/>
        </w:rPr>
      </w:pPr>
    </w:p>
    <w:p w14:paraId="4A8A8C92" w14:textId="77777777" w:rsidR="003B79BC" w:rsidRDefault="003B79BC" w:rsidP="00686059">
      <w:pPr>
        <w:spacing w:line="360" w:lineRule="auto"/>
        <w:jc w:val="center"/>
        <w:rPr>
          <w:b/>
          <w:bCs/>
          <w:lang w:eastAsia="zh-CN"/>
        </w:rPr>
      </w:pPr>
    </w:p>
    <w:p w14:paraId="403FAABC" w14:textId="77777777" w:rsidR="003B79BC" w:rsidRDefault="003B79BC" w:rsidP="00686059">
      <w:pPr>
        <w:spacing w:line="360" w:lineRule="auto"/>
        <w:jc w:val="center"/>
        <w:rPr>
          <w:b/>
          <w:bCs/>
          <w:lang w:eastAsia="zh-CN"/>
        </w:rPr>
      </w:pPr>
    </w:p>
    <w:p w14:paraId="0A3FF582" w14:textId="77777777" w:rsidR="00AA6DE5" w:rsidRDefault="00AA6DE5" w:rsidP="00686059">
      <w:pPr>
        <w:spacing w:line="360" w:lineRule="auto"/>
        <w:jc w:val="center"/>
        <w:rPr>
          <w:b/>
          <w:lang w:val="en-US"/>
        </w:rPr>
      </w:pPr>
      <w:r w:rsidRPr="00686059">
        <w:rPr>
          <w:b/>
        </w:rPr>
        <w:t xml:space="preserve">PROGRAM PENDIDIKAN DOKTER SPESIALIS </w:t>
      </w:r>
    </w:p>
    <w:p w14:paraId="74BAFE65" w14:textId="51CB95D5" w:rsidR="00115DBE" w:rsidRPr="00F426C1" w:rsidRDefault="00000000" w:rsidP="00686059">
      <w:pPr>
        <w:spacing w:line="360" w:lineRule="auto"/>
        <w:jc w:val="center"/>
        <w:rPr>
          <w:b/>
          <w:szCs w:val="28"/>
          <w:lang w:val="pt-BR"/>
        </w:rPr>
      </w:pPr>
      <w:r w:rsidRPr="00E924E2">
        <w:rPr>
          <w:b/>
          <w:szCs w:val="28"/>
        </w:rPr>
        <w:t>PROGRAM STUDI ILMU ANESTESI</w:t>
      </w:r>
      <w:r w:rsidR="00AA6818" w:rsidRPr="00F426C1">
        <w:rPr>
          <w:b/>
          <w:szCs w:val="28"/>
          <w:lang w:val="pt-BR"/>
        </w:rPr>
        <w:t>,</w:t>
      </w:r>
      <w:r w:rsidRPr="00E924E2">
        <w:rPr>
          <w:b/>
          <w:szCs w:val="28"/>
        </w:rPr>
        <w:t xml:space="preserve"> TERAPI INTENSIF </w:t>
      </w:r>
    </w:p>
    <w:p w14:paraId="7F140913" w14:textId="3CDFE758" w:rsidR="003B79BC" w:rsidRPr="00AA6818" w:rsidRDefault="00AA6818" w:rsidP="00686059">
      <w:pPr>
        <w:spacing w:line="360" w:lineRule="auto"/>
        <w:jc w:val="center"/>
        <w:rPr>
          <w:b/>
          <w:szCs w:val="28"/>
          <w:lang w:val="en-US"/>
        </w:rPr>
      </w:pPr>
      <w:r>
        <w:rPr>
          <w:b/>
          <w:szCs w:val="28"/>
          <w:lang w:val="en-US"/>
        </w:rPr>
        <w:t>DAN MANAEMEN NYERI</w:t>
      </w:r>
    </w:p>
    <w:bookmarkEnd w:id="1"/>
    <w:p w14:paraId="1F59C447" w14:textId="77777777" w:rsidR="00AA6DE5" w:rsidRDefault="00AA6DE5" w:rsidP="00686059">
      <w:pPr>
        <w:spacing w:line="360" w:lineRule="auto"/>
        <w:jc w:val="center"/>
        <w:rPr>
          <w:b/>
          <w:lang w:val="en-US"/>
        </w:rPr>
      </w:pPr>
      <w:r w:rsidRPr="00686059">
        <w:rPr>
          <w:b/>
        </w:rPr>
        <w:t xml:space="preserve">UNIVERSITAS </w:t>
      </w:r>
      <w:r w:rsidR="00686059" w:rsidRPr="00686059">
        <w:rPr>
          <w:b/>
        </w:rPr>
        <w:t xml:space="preserve">HASANUDDIN </w:t>
      </w:r>
    </w:p>
    <w:p w14:paraId="4AC1E62D" w14:textId="6382789B" w:rsidR="00975533" w:rsidRDefault="00686059" w:rsidP="00686059">
      <w:pPr>
        <w:spacing w:line="360" w:lineRule="auto"/>
        <w:jc w:val="center"/>
        <w:rPr>
          <w:b/>
          <w:lang w:val="en-US"/>
        </w:rPr>
      </w:pPr>
      <w:r w:rsidRPr="00686059">
        <w:rPr>
          <w:b/>
        </w:rPr>
        <w:t xml:space="preserve">MAKASSAR </w:t>
      </w:r>
    </w:p>
    <w:p w14:paraId="0F18C9A3" w14:textId="0FC319CF" w:rsidR="003B79BC" w:rsidRPr="00686059" w:rsidRDefault="00686059" w:rsidP="00686059">
      <w:pPr>
        <w:spacing w:line="360" w:lineRule="auto"/>
        <w:jc w:val="center"/>
        <w:rPr>
          <w:b/>
          <w:lang w:val="en-US"/>
        </w:rPr>
      </w:pPr>
      <w:r w:rsidRPr="00686059">
        <w:rPr>
          <w:b/>
        </w:rPr>
        <w:t>2024</w:t>
      </w:r>
    </w:p>
    <w:p w14:paraId="187959C5" w14:textId="77777777" w:rsidR="00F4764C" w:rsidRDefault="00F4764C" w:rsidP="00DE4D18">
      <w:pPr>
        <w:tabs>
          <w:tab w:val="right" w:pos="9360"/>
        </w:tabs>
        <w:spacing w:line="360" w:lineRule="auto"/>
        <w:jc w:val="center"/>
        <w:rPr>
          <w:b/>
          <w:bCs/>
          <w:lang w:val="en-US"/>
        </w:rPr>
      </w:pPr>
      <w:r>
        <w:rPr>
          <w:b/>
          <w:bCs/>
        </w:rPr>
        <w:lastRenderedPageBreak/>
        <w:t xml:space="preserve">PENGARUH BLOK PERITONSILER </w:t>
      </w:r>
      <w:r>
        <w:rPr>
          <w:b/>
          <w:bCs/>
          <w:lang w:val="id-ID"/>
        </w:rPr>
        <w:t>LEVO</w:t>
      </w:r>
      <w:r>
        <w:rPr>
          <w:b/>
          <w:bCs/>
        </w:rPr>
        <w:t>BUPIVA</w:t>
      </w:r>
      <w:r>
        <w:rPr>
          <w:b/>
          <w:bCs/>
          <w:lang w:val="id-ID"/>
        </w:rPr>
        <w:t>CA</w:t>
      </w:r>
      <w:r>
        <w:rPr>
          <w:b/>
          <w:bCs/>
        </w:rPr>
        <w:t xml:space="preserve">INE ISOBARIK 0,125% TERHADAP INTENSITAS NYERI DAN KADAR    INTERLEUKIN 6 </w:t>
      </w:r>
      <w:r>
        <w:rPr>
          <w:b/>
          <w:bCs/>
          <w:lang w:val="id-ID"/>
        </w:rPr>
        <w:t>P</w:t>
      </w:r>
      <w:r>
        <w:rPr>
          <w:b/>
          <w:bCs/>
        </w:rPr>
        <w:t xml:space="preserve">ADA </w:t>
      </w:r>
      <w:r>
        <w:rPr>
          <w:b/>
          <w:bCs/>
          <w:lang w:val="id-ID"/>
        </w:rPr>
        <w:t>PASCABEDAH</w:t>
      </w:r>
      <w:r>
        <w:rPr>
          <w:b/>
          <w:bCs/>
        </w:rPr>
        <w:t xml:space="preserve"> TONSILEKTOMI</w:t>
      </w:r>
    </w:p>
    <w:p w14:paraId="78D6FDE4" w14:textId="77777777" w:rsidR="00686059" w:rsidRDefault="00686059" w:rsidP="00DE4D18">
      <w:pPr>
        <w:spacing w:line="360" w:lineRule="auto"/>
        <w:jc w:val="center"/>
        <w:rPr>
          <w:rFonts w:eastAsiaTheme="minorEastAsia"/>
          <w:b/>
          <w:sz w:val="22"/>
          <w:lang w:val="id-ID" w:eastAsia="zh-CN"/>
        </w:rPr>
      </w:pPr>
    </w:p>
    <w:p w14:paraId="724FF3BE" w14:textId="77777777" w:rsidR="00F4764C" w:rsidRDefault="00F4764C" w:rsidP="00DE4D18">
      <w:pPr>
        <w:spacing w:line="360" w:lineRule="auto"/>
        <w:jc w:val="center"/>
        <w:rPr>
          <w:rFonts w:eastAsiaTheme="minorEastAsia"/>
          <w:b/>
          <w:sz w:val="22"/>
          <w:lang w:val="id-ID" w:eastAsia="zh-CN"/>
        </w:rPr>
      </w:pPr>
    </w:p>
    <w:p w14:paraId="12A2F3EE" w14:textId="77777777" w:rsidR="009C2B0A" w:rsidRDefault="009C2B0A" w:rsidP="00DE4D18">
      <w:pPr>
        <w:spacing w:line="360" w:lineRule="auto"/>
        <w:jc w:val="center"/>
        <w:rPr>
          <w:rFonts w:eastAsiaTheme="minorEastAsia"/>
          <w:b/>
          <w:sz w:val="22"/>
          <w:lang w:val="id-ID" w:eastAsia="zh-CN"/>
        </w:rPr>
      </w:pPr>
    </w:p>
    <w:p w14:paraId="4B15D65D" w14:textId="77777777" w:rsidR="00E924E2" w:rsidRPr="00F426C1" w:rsidRDefault="00E924E2" w:rsidP="00DE4D18">
      <w:pPr>
        <w:spacing w:line="360" w:lineRule="auto"/>
        <w:jc w:val="center"/>
        <w:rPr>
          <w:b/>
          <w:bCs/>
          <w:lang w:val="id-ID"/>
        </w:rPr>
      </w:pPr>
      <w:r w:rsidRPr="009A129C">
        <w:rPr>
          <w:b/>
          <w:bCs/>
        </w:rPr>
        <w:t>TESIS</w:t>
      </w:r>
    </w:p>
    <w:p w14:paraId="2996E548" w14:textId="77777777" w:rsidR="00E924E2" w:rsidRPr="00F426C1" w:rsidRDefault="00E924E2" w:rsidP="00DE4D18">
      <w:pPr>
        <w:spacing w:line="360" w:lineRule="auto"/>
        <w:jc w:val="center"/>
        <w:rPr>
          <w:lang w:val="id-ID"/>
        </w:rPr>
      </w:pPr>
      <w:r>
        <w:t xml:space="preserve"> Sebagai Salah Satu Syarat untuk Mencapai Gelar Spesialis-1 (Sp.1) </w:t>
      </w:r>
    </w:p>
    <w:p w14:paraId="66D41241" w14:textId="1FCD7F3C" w:rsidR="009C2B0A" w:rsidRPr="009A129C" w:rsidRDefault="00E924E2" w:rsidP="00DE4D18">
      <w:pPr>
        <w:spacing w:line="360" w:lineRule="auto"/>
        <w:jc w:val="center"/>
        <w:rPr>
          <w:rFonts w:eastAsiaTheme="minorEastAsia"/>
          <w:b/>
          <w:bCs/>
          <w:sz w:val="22"/>
          <w:lang w:val="id-ID" w:eastAsia="zh-CN"/>
        </w:rPr>
      </w:pPr>
      <w:r w:rsidRPr="009A129C">
        <w:rPr>
          <w:b/>
          <w:bCs/>
        </w:rPr>
        <w:t>Program Studi</w:t>
      </w:r>
    </w:p>
    <w:p w14:paraId="6104EB32" w14:textId="08B5BA34" w:rsidR="009A129C" w:rsidRPr="00F426C1" w:rsidRDefault="00DE4D18" w:rsidP="00DE4D18">
      <w:pPr>
        <w:spacing w:line="360" w:lineRule="auto"/>
        <w:jc w:val="center"/>
        <w:rPr>
          <w:b/>
          <w:szCs w:val="28"/>
          <w:lang w:val="id-ID"/>
        </w:rPr>
      </w:pPr>
      <w:r w:rsidRPr="00E924E2">
        <w:rPr>
          <w:b/>
          <w:szCs w:val="28"/>
        </w:rPr>
        <w:t>Ilmu Anestesi</w:t>
      </w:r>
      <w:r w:rsidR="00F05CC2" w:rsidRPr="00F426C1">
        <w:rPr>
          <w:b/>
          <w:szCs w:val="28"/>
          <w:lang w:val="id-ID"/>
        </w:rPr>
        <w:t>,</w:t>
      </w:r>
      <w:r w:rsidRPr="00E924E2">
        <w:rPr>
          <w:b/>
          <w:szCs w:val="28"/>
        </w:rPr>
        <w:t xml:space="preserve"> Terapi Intensif </w:t>
      </w:r>
      <w:r w:rsidR="00F05CC2" w:rsidRPr="00F426C1">
        <w:rPr>
          <w:b/>
          <w:szCs w:val="28"/>
          <w:lang w:val="id-ID"/>
        </w:rPr>
        <w:t>dan Manajemen Nyeri</w:t>
      </w:r>
    </w:p>
    <w:p w14:paraId="471C8421" w14:textId="77777777" w:rsidR="009C2B0A" w:rsidRDefault="009C2B0A">
      <w:pPr>
        <w:spacing w:line="360" w:lineRule="auto"/>
        <w:jc w:val="center"/>
        <w:rPr>
          <w:rFonts w:eastAsiaTheme="minorEastAsia"/>
          <w:b/>
          <w:sz w:val="22"/>
          <w:lang w:val="id-ID" w:eastAsia="zh-CN"/>
        </w:rPr>
      </w:pPr>
    </w:p>
    <w:p w14:paraId="68E11723" w14:textId="77777777" w:rsidR="009C2B0A" w:rsidRDefault="009C2B0A">
      <w:pPr>
        <w:spacing w:line="360" w:lineRule="auto"/>
        <w:jc w:val="center"/>
        <w:rPr>
          <w:rFonts w:eastAsiaTheme="minorEastAsia"/>
          <w:b/>
          <w:sz w:val="22"/>
          <w:lang w:val="id-ID" w:eastAsia="zh-CN"/>
        </w:rPr>
      </w:pPr>
    </w:p>
    <w:p w14:paraId="09324340" w14:textId="77777777" w:rsidR="009C2B0A" w:rsidRDefault="009C2B0A">
      <w:pPr>
        <w:spacing w:line="360" w:lineRule="auto"/>
        <w:jc w:val="center"/>
        <w:rPr>
          <w:rFonts w:eastAsiaTheme="minorEastAsia"/>
          <w:b/>
          <w:sz w:val="22"/>
          <w:lang w:val="id-ID" w:eastAsia="zh-CN"/>
        </w:rPr>
      </w:pPr>
    </w:p>
    <w:p w14:paraId="6A59E950" w14:textId="6D805DEB" w:rsidR="009C2B0A" w:rsidRPr="00F426C1" w:rsidRDefault="00DE4D18">
      <w:pPr>
        <w:spacing w:line="360" w:lineRule="auto"/>
        <w:jc w:val="center"/>
        <w:rPr>
          <w:lang w:val="id-ID"/>
        </w:rPr>
      </w:pPr>
      <w:r>
        <w:t>Disusun dan diajukan oleh:</w:t>
      </w:r>
    </w:p>
    <w:p w14:paraId="31BB59DD" w14:textId="77777777" w:rsidR="00F61DED" w:rsidRPr="00F426C1" w:rsidRDefault="00F61DED">
      <w:pPr>
        <w:spacing w:line="360" w:lineRule="auto"/>
        <w:jc w:val="center"/>
        <w:rPr>
          <w:rFonts w:eastAsiaTheme="minorEastAsia"/>
          <w:b/>
          <w:sz w:val="22"/>
          <w:lang w:val="id-ID" w:eastAsia="zh-CN"/>
        </w:rPr>
      </w:pPr>
    </w:p>
    <w:p w14:paraId="739E590E" w14:textId="77777777" w:rsidR="009C2B0A" w:rsidRDefault="009C2B0A">
      <w:pPr>
        <w:spacing w:line="360" w:lineRule="auto"/>
        <w:jc w:val="center"/>
        <w:rPr>
          <w:rFonts w:eastAsiaTheme="minorEastAsia"/>
          <w:b/>
          <w:sz w:val="22"/>
          <w:lang w:val="id-ID" w:eastAsia="zh-CN"/>
        </w:rPr>
      </w:pPr>
    </w:p>
    <w:p w14:paraId="2F791C82" w14:textId="07CAD50C" w:rsidR="009C2B0A" w:rsidRDefault="00DE4D18">
      <w:pPr>
        <w:spacing w:line="360" w:lineRule="auto"/>
        <w:jc w:val="center"/>
        <w:rPr>
          <w:rFonts w:eastAsiaTheme="minorEastAsia"/>
          <w:b/>
          <w:sz w:val="22"/>
          <w:lang w:val="id-ID" w:eastAsia="zh-CN"/>
        </w:rPr>
      </w:pPr>
      <w:r>
        <w:rPr>
          <w:rFonts w:eastAsiaTheme="minorEastAsia"/>
          <w:b/>
          <w:sz w:val="22"/>
          <w:lang w:val="id-ID" w:eastAsia="zh-CN"/>
        </w:rPr>
        <w:t>HERMAN MANGASI SILABAN</w:t>
      </w:r>
    </w:p>
    <w:p w14:paraId="5DFB6CDA" w14:textId="318F380D" w:rsidR="00DE4D18" w:rsidRDefault="00DE4D18">
      <w:pPr>
        <w:spacing w:line="360" w:lineRule="auto"/>
        <w:jc w:val="center"/>
        <w:rPr>
          <w:rFonts w:eastAsiaTheme="minorEastAsia"/>
          <w:b/>
          <w:sz w:val="22"/>
          <w:lang w:val="id-ID" w:eastAsia="zh-CN"/>
        </w:rPr>
      </w:pPr>
      <w:r>
        <w:rPr>
          <w:rFonts w:eastAsiaTheme="minorEastAsia"/>
          <w:b/>
          <w:sz w:val="22"/>
          <w:lang w:val="id-ID" w:eastAsia="zh-CN"/>
        </w:rPr>
        <w:t>C135182012</w:t>
      </w:r>
    </w:p>
    <w:p w14:paraId="0FD79703" w14:textId="77777777" w:rsidR="00DE4D18" w:rsidRDefault="00DE4D18">
      <w:pPr>
        <w:spacing w:line="360" w:lineRule="auto"/>
        <w:jc w:val="center"/>
        <w:rPr>
          <w:rFonts w:eastAsiaTheme="minorEastAsia"/>
          <w:b/>
          <w:sz w:val="22"/>
          <w:lang w:val="id-ID" w:eastAsia="zh-CN"/>
        </w:rPr>
      </w:pPr>
    </w:p>
    <w:p w14:paraId="2172328D" w14:textId="77777777" w:rsidR="00975533" w:rsidRDefault="00975533">
      <w:pPr>
        <w:spacing w:line="360" w:lineRule="auto"/>
        <w:jc w:val="center"/>
        <w:rPr>
          <w:rFonts w:eastAsiaTheme="minorEastAsia"/>
          <w:b/>
          <w:sz w:val="22"/>
          <w:lang w:val="id-ID" w:eastAsia="zh-CN"/>
        </w:rPr>
      </w:pPr>
    </w:p>
    <w:p w14:paraId="0D748390" w14:textId="77777777" w:rsidR="00F61DED" w:rsidRDefault="00F61DED">
      <w:pPr>
        <w:spacing w:line="360" w:lineRule="auto"/>
        <w:jc w:val="center"/>
        <w:rPr>
          <w:rFonts w:eastAsiaTheme="minorEastAsia"/>
          <w:b/>
          <w:sz w:val="22"/>
          <w:lang w:val="id-ID" w:eastAsia="zh-CN"/>
        </w:rPr>
      </w:pPr>
    </w:p>
    <w:p w14:paraId="6050F316" w14:textId="77777777" w:rsidR="00975533" w:rsidRDefault="00975533">
      <w:pPr>
        <w:spacing w:line="360" w:lineRule="auto"/>
        <w:jc w:val="center"/>
        <w:rPr>
          <w:rFonts w:eastAsiaTheme="minorEastAsia"/>
          <w:b/>
          <w:sz w:val="22"/>
          <w:lang w:val="id-ID" w:eastAsia="zh-CN"/>
        </w:rPr>
      </w:pPr>
    </w:p>
    <w:p w14:paraId="0A12C44A" w14:textId="25547C1A" w:rsidR="00975533" w:rsidRPr="00F426C1" w:rsidRDefault="00975533">
      <w:pPr>
        <w:spacing w:line="360" w:lineRule="auto"/>
        <w:jc w:val="center"/>
        <w:rPr>
          <w:lang w:val="id-ID"/>
        </w:rPr>
      </w:pPr>
      <w:r>
        <w:t>Kepada</w:t>
      </w:r>
    </w:p>
    <w:p w14:paraId="09E94D0A" w14:textId="77777777" w:rsidR="00975533" w:rsidRPr="00F426C1" w:rsidRDefault="00975533">
      <w:pPr>
        <w:spacing w:line="360" w:lineRule="auto"/>
        <w:jc w:val="center"/>
        <w:rPr>
          <w:lang w:val="id-ID"/>
        </w:rPr>
      </w:pPr>
    </w:p>
    <w:p w14:paraId="62B91641" w14:textId="77777777" w:rsidR="00F61DED" w:rsidRPr="00F426C1" w:rsidRDefault="00F61DED">
      <w:pPr>
        <w:spacing w:line="360" w:lineRule="auto"/>
        <w:jc w:val="center"/>
        <w:rPr>
          <w:lang w:val="id-ID"/>
        </w:rPr>
      </w:pPr>
    </w:p>
    <w:p w14:paraId="0689A08D" w14:textId="77777777" w:rsidR="00975533" w:rsidRPr="00F426C1" w:rsidRDefault="00975533">
      <w:pPr>
        <w:spacing w:line="360" w:lineRule="auto"/>
        <w:jc w:val="center"/>
        <w:rPr>
          <w:rFonts w:eastAsiaTheme="minorEastAsia"/>
          <w:b/>
          <w:sz w:val="22"/>
          <w:lang w:val="id-ID" w:eastAsia="zh-CN"/>
        </w:rPr>
      </w:pPr>
    </w:p>
    <w:p w14:paraId="1A9A3A2D" w14:textId="77777777" w:rsidR="008716DB" w:rsidRPr="00F426C1" w:rsidRDefault="008716DB" w:rsidP="00975533">
      <w:pPr>
        <w:spacing w:line="360" w:lineRule="auto"/>
        <w:jc w:val="center"/>
        <w:rPr>
          <w:b/>
          <w:lang w:val="id-ID"/>
        </w:rPr>
      </w:pPr>
      <w:r w:rsidRPr="00686059">
        <w:rPr>
          <w:b/>
        </w:rPr>
        <w:t xml:space="preserve">PROGRAM PENDIDIKAN DOKTER SPESIALIS </w:t>
      </w:r>
    </w:p>
    <w:p w14:paraId="50D956B3" w14:textId="54E970D3" w:rsidR="00115DBE" w:rsidRPr="00F426C1" w:rsidRDefault="00975533" w:rsidP="00975533">
      <w:pPr>
        <w:spacing w:line="360" w:lineRule="auto"/>
        <w:jc w:val="center"/>
        <w:rPr>
          <w:b/>
          <w:szCs w:val="28"/>
          <w:lang w:val="id-ID"/>
        </w:rPr>
      </w:pPr>
      <w:r w:rsidRPr="00E924E2">
        <w:rPr>
          <w:b/>
          <w:szCs w:val="28"/>
        </w:rPr>
        <w:t>PROGRAM STUDI ILMU ANESTESI</w:t>
      </w:r>
      <w:r w:rsidR="00813A45" w:rsidRPr="00F426C1">
        <w:rPr>
          <w:b/>
          <w:szCs w:val="28"/>
          <w:lang w:val="id-ID"/>
        </w:rPr>
        <w:t xml:space="preserve">, </w:t>
      </w:r>
      <w:r w:rsidRPr="00E924E2">
        <w:rPr>
          <w:b/>
          <w:szCs w:val="28"/>
        </w:rPr>
        <w:t xml:space="preserve">TERAPI INTENSIF </w:t>
      </w:r>
    </w:p>
    <w:p w14:paraId="28159A49" w14:textId="1A01C46D" w:rsidR="00975533" w:rsidRPr="00F426C1" w:rsidRDefault="00813A45" w:rsidP="00975533">
      <w:pPr>
        <w:spacing w:line="360" w:lineRule="auto"/>
        <w:jc w:val="center"/>
        <w:rPr>
          <w:b/>
          <w:szCs w:val="28"/>
          <w:lang w:val="id-ID"/>
        </w:rPr>
      </w:pPr>
      <w:r w:rsidRPr="00F426C1">
        <w:rPr>
          <w:b/>
          <w:szCs w:val="28"/>
          <w:lang w:val="id-ID"/>
        </w:rPr>
        <w:t>DAN MANAJEMEN NYERI</w:t>
      </w:r>
    </w:p>
    <w:p w14:paraId="5DAEFC00" w14:textId="77777777" w:rsidR="008716DB" w:rsidRPr="00F426C1" w:rsidRDefault="00975533" w:rsidP="00975533">
      <w:pPr>
        <w:spacing w:line="360" w:lineRule="auto"/>
        <w:jc w:val="center"/>
        <w:rPr>
          <w:b/>
          <w:lang w:val="id-ID"/>
        </w:rPr>
      </w:pPr>
      <w:r w:rsidRPr="00686059">
        <w:rPr>
          <w:b/>
        </w:rPr>
        <w:t xml:space="preserve">UNIVERSITAS HASANUDDIN </w:t>
      </w:r>
    </w:p>
    <w:p w14:paraId="09485D1D" w14:textId="29B69CED" w:rsidR="00975533" w:rsidRPr="00F426C1" w:rsidRDefault="00975533" w:rsidP="00975533">
      <w:pPr>
        <w:spacing w:line="360" w:lineRule="auto"/>
        <w:jc w:val="center"/>
        <w:rPr>
          <w:b/>
          <w:lang w:val="id-ID"/>
        </w:rPr>
      </w:pPr>
      <w:r w:rsidRPr="00686059">
        <w:rPr>
          <w:b/>
        </w:rPr>
        <w:t>MAKASSAR</w:t>
      </w:r>
    </w:p>
    <w:p w14:paraId="5FCCBC5B" w14:textId="3828C966" w:rsidR="00975533" w:rsidRPr="00F426C1" w:rsidRDefault="00975533" w:rsidP="00975533">
      <w:pPr>
        <w:spacing w:line="360" w:lineRule="auto"/>
        <w:jc w:val="center"/>
        <w:rPr>
          <w:b/>
          <w:lang w:val="id-ID"/>
        </w:rPr>
      </w:pPr>
      <w:r w:rsidRPr="00686059">
        <w:rPr>
          <w:b/>
        </w:rPr>
        <w:t>2024</w:t>
      </w:r>
    </w:p>
    <w:p w14:paraId="02C53AB8" w14:textId="747D216B" w:rsidR="001513E7" w:rsidRPr="00F426C1" w:rsidRDefault="001513E7" w:rsidP="006831C8">
      <w:pPr>
        <w:pStyle w:val="Heading1"/>
        <w:rPr>
          <w:rFonts w:cs="Times New Roman"/>
          <w:noProof/>
          <w:szCs w:val="24"/>
          <w:lang w:val="id-ID"/>
        </w:rPr>
      </w:pPr>
      <w:bookmarkStart w:id="2" w:name="_Toc26957796"/>
      <w:r>
        <w:rPr>
          <w:noProof/>
        </w:rPr>
        <w:lastRenderedPageBreak/>
        <w:drawing>
          <wp:anchor distT="0" distB="0" distL="114300" distR="114300" simplePos="0" relativeHeight="251744256" behindDoc="0" locked="0" layoutInCell="1" allowOverlap="1" wp14:anchorId="7F77F74F" wp14:editId="0B77513F">
            <wp:simplePos x="0" y="0"/>
            <wp:positionH relativeFrom="page">
              <wp:posOffset>926374</wp:posOffset>
            </wp:positionH>
            <wp:positionV relativeFrom="paragraph">
              <wp:posOffset>-741045</wp:posOffset>
            </wp:positionV>
            <wp:extent cx="5991840" cy="9495746"/>
            <wp:effectExtent l="0" t="0" r="9525" b="0"/>
            <wp:wrapNone/>
            <wp:docPr id="1698437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437781" name=""/>
                    <pic:cNvPicPr/>
                  </pic:nvPicPr>
                  <pic:blipFill>
                    <a:blip r:embed="rId10"/>
                    <a:stretch>
                      <a:fillRect/>
                    </a:stretch>
                  </pic:blipFill>
                  <pic:spPr>
                    <a:xfrm>
                      <a:off x="0" y="0"/>
                      <a:ext cx="5991840" cy="9495746"/>
                    </a:xfrm>
                    <a:prstGeom prst="rect">
                      <a:avLst/>
                    </a:prstGeom>
                  </pic:spPr>
                </pic:pic>
              </a:graphicData>
            </a:graphic>
            <wp14:sizeRelH relativeFrom="page">
              <wp14:pctWidth>0</wp14:pctWidth>
            </wp14:sizeRelH>
            <wp14:sizeRelV relativeFrom="page">
              <wp14:pctHeight>0</wp14:pctHeight>
            </wp14:sizeRelV>
          </wp:anchor>
        </w:drawing>
      </w:r>
    </w:p>
    <w:p w14:paraId="036EC096" w14:textId="77777777" w:rsidR="001513E7" w:rsidRPr="00F426C1" w:rsidRDefault="001513E7" w:rsidP="006831C8">
      <w:pPr>
        <w:pStyle w:val="Heading1"/>
        <w:rPr>
          <w:rFonts w:cs="Times New Roman"/>
          <w:noProof/>
          <w:szCs w:val="24"/>
          <w:lang w:val="id-ID"/>
        </w:rPr>
      </w:pPr>
    </w:p>
    <w:p w14:paraId="64CF3B1A" w14:textId="77777777" w:rsidR="001513E7" w:rsidRPr="00F426C1" w:rsidRDefault="001513E7" w:rsidP="006831C8">
      <w:pPr>
        <w:pStyle w:val="Heading1"/>
        <w:rPr>
          <w:rFonts w:cs="Times New Roman"/>
          <w:noProof/>
          <w:szCs w:val="24"/>
          <w:lang w:val="id-ID"/>
        </w:rPr>
      </w:pPr>
    </w:p>
    <w:p w14:paraId="183E4783" w14:textId="77777777" w:rsidR="001513E7" w:rsidRPr="00F426C1" w:rsidRDefault="001513E7" w:rsidP="006831C8">
      <w:pPr>
        <w:pStyle w:val="Heading1"/>
        <w:rPr>
          <w:rFonts w:cs="Times New Roman"/>
          <w:noProof/>
          <w:szCs w:val="24"/>
          <w:lang w:val="id-ID"/>
        </w:rPr>
      </w:pPr>
    </w:p>
    <w:p w14:paraId="3F80750E" w14:textId="21A1CA82" w:rsidR="001513E7" w:rsidRPr="00F426C1" w:rsidRDefault="001513E7" w:rsidP="006831C8">
      <w:pPr>
        <w:pStyle w:val="Heading1"/>
        <w:rPr>
          <w:rFonts w:cs="Times New Roman"/>
          <w:noProof/>
          <w:szCs w:val="24"/>
          <w:lang w:val="id-ID"/>
        </w:rPr>
      </w:pPr>
    </w:p>
    <w:p w14:paraId="22F571B9" w14:textId="77777777" w:rsidR="001513E7" w:rsidRPr="00F426C1" w:rsidRDefault="001513E7" w:rsidP="006831C8">
      <w:pPr>
        <w:pStyle w:val="Heading1"/>
        <w:rPr>
          <w:rFonts w:cs="Times New Roman"/>
          <w:noProof/>
          <w:szCs w:val="24"/>
          <w:lang w:val="id-ID"/>
        </w:rPr>
      </w:pPr>
    </w:p>
    <w:p w14:paraId="713FE661" w14:textId="77777777" w:rsidR="001513E7" w:rsidRPr="00F426C1" w:rsidRDefault="001513E7" w:rsidP="006831C8">
      <w:pPr>
        <w:pStyle w:val="Heading1"/>
        <w:rPr>
          <w:rFonts w:cs="Times New Roman"/>
          <w:noProof/>
          <w:szCs w:val="24"/>
          <w:lang w:val="id-ID"/>
        </w:rPr>
      </w:pPr>
    </w:p>
    <w:p w14:paraId="3993FCA6" w14:textId="77777777" w:rsidR="001513E7" w:rsidRPr="00F426C1" w:rsidRDefault="001513E7" w:rsidP="006831C8">
      <w:pPr>
        <w:pStyle w:val="Heading1"/>
        <w:rPr>
          <w:rFonts w:cs="Times New Roman"/>
          <w:noProof/>
          <w:szCs w:val="24"/>
          <w:lang w:val="id-ID"/>
        </w:rPr>
      </w:pPr>
    </w:p>
    <w:p w14:paraId="087DCF33" w14:textId="77777777" w:rsidR="001513E7" w:rsidRPr="00F426C1" w:rsidRDefault="001513E7" w:rsidP="006831C8">
      <w:pPr>
        <w:pStyle w:val="Heading1"/>
        <w:rPr>
          <w:rFonts w:cs="Times New Roman"/>
          <w:noProof/>
          <w:szCs w:val="24"/>
          <w:lang w:val="id-ID"/>
        </w:rPr>
      </w:pPr>
    </w:p>
    <w:p w14:paraId="73E1F99E" w14:textId="77777777" w:rsidR="001513E7" w:rsidRPr="00F426C1" w:rsidRDefault="001513E7" w:rsidP="006831C8">
      <w:pPr>
        <w:pStyle w:val="Heading1"/>
        <w:rPr>
          <w:rFonts w:cs="Times New Roman"/>
          <w:noProof/>
          <w:szCs w:val="24"/>
          <w:lang w:val="id-ID"/>
        </w:rPr>
      </w:pPr>
    </w:p>
    <w:p w14:paraId="022F76A5" w14:textId="77777777" w:rsidR="001513E7" w:rsidRPr="00F426C1" w:rsidRDefault="001513E7" w:rsidP="006831C8">
      <w:pPr>
        <w:pStyle w:val="Heading1"/>
        <w:rPr>
          <w:rFonts w:cs="Times New Roman"/>
          <w:noProof/>
          <w:szCs w:val="24"/>
          <w:lang w:val="id-ID"/>
        </w:rPr>
      </w:pPr>
    </w:p>
    <w:p w14:paraId="4F4290B2" w14:textId="77777777" w:rsidR="001513E7" w:rsidRPr="00F426C1" w:rsidRDefault="001513E7" w:rsidP="006831C8">
      <w:pPr>
        <w:pStyle w:val="Heading1"/>
        <w:rPr>
          <w:rFonts w:cs="Times New Roman"/>
          <w:noProof/>
          <w:szCs w:val="24"/>
          <w:lang w:val="id-ID"/>
        </w:rPr>
      </w:pPr>
    </w:p>
    <w:p w14:paraId="24E4B0B2" w14:textId="77777777" w:rsidR="001513E7" w:rsidRPr="00F426C1" w:rsidRDefault="001513E7" w:rsidP="006831C8">
      <w:pPr>
        <w:pStyle w:val="Heading1"/>
        <w:rPr>
          <w:rFonts w:cs="Times New Roman"/>
          <w:noProof/>
          <w:szCs w:val="24"/>
          <w:lang w:val="id-ID"/>
        </w:rPr>
      </w:pPr>
    </w:p>
    <w:p w14:paraId="6E9CC10F" w14:textId="77777777" w:rsidR="001513E7" w:rsidRPr="00F426C1" w:rsidRDefault="001513E7" w:rsidP="006831C8">
      <w:pPr>
        <w:pStyle w:val="Heading1"/>
        <w:rPr>
          <w:rFonts w:cs="Times New Roman"/>
          <w:noProof/>
          <w:szCs w:val="24"/>
          <w:lang w:val="id-ID"/>
        </w:rPr>
      </w:pPr>
    </w:p>
    <w:p w14:paraId="4161750B" w14:textId="77777777" w:rsidR="001513E7" w:rsidRPr="00F426C1" w:rsidRDefault="001513E7" w:rsidP="006831C8">
      <w:pPr>
        <w:pStyle w:val="Heading1"/>
        <w:rPr>
          <w:rFonts w:cs="Times New Roman"/>
          <w:noProof/>
          <w:szCs w:val="24"/>
          <w:lang w:val="id-ID"/>
        </w:rPr>
      </w:pPr>
    </w:p>
    <w:p w14:paraId="27AA2084" w14:textId="77777777" w:rsidR="001513E7" w:rsidRPr="00F426C1" w:rsidRDefault="001513E7" w:rsidP="006831C8">
      <w:pPr>
        <w:pStyle w:val="Heading1"/>
        <w:rPr>
          <w:rFonts w:cs="Times New Roman"/>
          <w:noProof/>
          <w:szCs w:val="24"/>
          <w:lang w:val="id-ID"/>
        </w:rPr>
      </w:pPr>
    </w:p>
    <w:p w14:paraId="6747F228" w14:textId="77777777" w:rsidR="001513E7" w:rsidRPr="00F426C1" w:rsidRDefault="001513E7" w:rsidP="006831C8">
      <w:pPr>
        <w:pStyle w:val="Heading1"/>
        <w:rPr>
          <w:rFonts w:cs="Times New Roman"/>
          <w:noProof/>
          <w:szCs w:val="24"/>
          <w:lang w:val="id-ID"/>
        </w:rPr>
      </w:pPr>
    </w:p>
    <w:p w14:paraId="01D1152D" w14:textId="77777777" w:rsidR="001513E7" w:rsidRPr="00F426C1" w:rsidRDefault="001513E7" w:rsidP="006831C8">
      <w:pPr>
        <w:pStyle w:val="Heading1"/>
        <w:rPr>
          <w:rFonts w:cs="Times New Roman"/>
          <w:noProof/>
          <w:szCs w:val="24"/>
          <w:lang w:val="id-ID"/>
        </w:rPr>
      </w:pPr>
    </w:p>
    <w:p w14:paraId="4B300B98" w14:textId="5D715ABE" w:rsidR="001F6223" w:rsidRDefault="001F6223" w:rsidP="00374F09">
      <w:pPr>
        <w:spacing w:before="100" w:beforeAutospacing="1" w:after="100" w:afterAutospacing="1"/>
        <w:rPr>
          <w:lang w:val="en-ID" w:eastAsia="en-ID"/>
        </w:rPr>
      </w:pPr>
      <w:r w:rsidRPr="00374F09">
        <w:rPr>
          <w:noProof/>
          <w:lang w:val="en-ID" w:eastAsia="en-ID"/>
        </w:rPr>
        <w:lastRenderedPageBreak/>
        <w:drawing>
          <wp:anchor distT="0" distB="0" distL="114300" distR="114300" simplePos="0" relativeHeight="251745280" behindDoc="0" locked="0" layoutInCell="1" allowOverlap="1" wp14:anchorId="7045B728" wp14:editId="6AC0AF2F">
            <wp:simplePos x="0" y="0"/>
            <wp:positionH relativeFrom="page">
              <wp:posOffset>608965</wp:posOffset>
            </wp:positionH>
            <wp:positionV relativeFrom="paragraph">
              <wp:posOffset>-486936</wp:posOffset>
            </wp:positionV>
            <wp:extent cx="6343803" cy="8401050"/>
            <wp:effectExtent l="0" t="0" r="0" b="0"/>
            <wp:wrapNone/>
            <wp:docPr id="1041550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43803" cy="840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9C09B1" w14:textId="77777777" w:rsidR="001F6223" w:rsidRDefault="001F6223" w:rsidP="00374F09">
      <w:pPr>
        <w:spacing w:before="100" w:beforeAutospacing="1" w:after="100" w:afterAutospacing="1"/>
        <w:rPr>
          <w:lang w:val="en-ID" w:eastAsia="en-ID"/>
        </w:rPr>
      </w:pPr>
    </w:p>
    <w:p w14:paraId="4B128D71" w14:textId="66E5A630" w:rsidR="001F6223" w:rsidRDefault="001F6223" w:rsidP="00374F09">
      <w:pPr>
        <w:spacing w:before="100" w:beforeAutospacing="1" w:after="100" w:afterAutospacing="1"/>
        <w:rPr>
          <w:lang w:val="en-ID" w:eastAsia="en-ID"/>
        </w:rPr>
      </w:pPr>
    </w:p>
    <w:p w14:paraId="38D2E88F" w14:textId="1BD70B73" w:rsidR="001F6223" w:rsidRDefault="001F6223" w:rsidP="00374F09">
      <w:pPr>
        <w:spacing w:before="100" w:beforeAutospacing="1" w:after="100" w:afterAutospacing="1"/>
        <w:rPr>
          <w:lang w:val="en-ID" w:eastAsia="en-ID"/>
        </w:rPr>
      </w:pPr>
    </w:p>
    <w:p w14:paraId="778D6F9D" w14:textId="156DE1DE" w:rsidR="001F6223" w:rsidRDefault="001F6223" w:rsidP="00374F09">
      <w:pPr>
        <w:spacing w:before="100" w:beforeAutospacing="1" w:after="100" w:afterAutospacing="1"/>
        <w:rPr>
          <w:lang w:val="en-ID" w:eastAsia="en-ID"/>
        </w:rPr>
      </w:pPr>
    </w:p>
    <w:p w14:paraId="7B2261F9" w14:textId="3E298FA3" w:rsidR="001F6223" w:rsidRDefault="001F6223" w:rsidP="00374F09">
      <w:pPr>
        <w:spacing w:before="100" w:beforeAutospacing="1" w:after="100" w:afterAutospacing="1"/>
        <w:rPr>
          <w:lang w:val="en-ID" w:eastAsia="en-ID"/>
        </w:rPr>
      </w:pPr>
    </w:p>
    <w:p w14:paraId="629501F7" w14:textId="6B404907" w:rsidR="001F6223" w:rsidRDefault="001F6223" w:rsidP="00374F09">
      <w:pPr>
        <w:spacing w:before="100" w:beforeAutospacing="1" w:after="100" w:afterAutospacing="1"/>
        <w:rPr>
          <w:lang w:val="en-ID" w:eastAsia="en-ID"/>
        </w:rPr>
      </w:pPr>
    </w:p>
    <w:p w14:paraId="0D7AA5AD" w14:textId="7D70480F" w:rsidR="001F6223" w:rsidRDefault="001F6223" w:rsidP="00374F09">
      <w:pPr>
        <w:spacing w:before="100" w:beforeAutospacing="1" w:after="100" w:afterAutospacing="1"/>
        <w:rPr>
          <w:lang w:val="en-ID" w:eastAsia="en-ID"/>
        </w:rPr>
      </w:pPr>
    </w:p>
    <w:p w14:paraId="712EA11D" w14:textId="65A357CE" w:rsidR="001F6223" w:rsidRDefault="001F6223" w:rsidP="00374F09">
      <w:pPr>
        <w:spacing w:before="100" w:beforeAutospacing="1" w:after="100" w:afterAutospacing="1"/>
        <w:rPr>
          <w:lang w:val="en-ID" w:eastAsia="en-ID"/>
        </w:rPr>
      </w:pPr>
    </w:p>
    <w:p w14:paraId="6AB51FCA" w14:textId="77777777" w:rsidR="001F6223" w:rsidRDefault="001F6223" w:rsidP="00374F09">
      <w:pPr>
        <w:spacing w:before="100" w:beforeAutospacing="1" w:after="100" w:afterAutospacing="1"/>
        <w:rPr>
          <w:lang w:val="en-ID" w:eastAsia="en-ID"/>
        </w:rPr>
      </w:pPr>
    </w:p>
    <w:p w14:paraId="01ED90D2" w14:textId="77777777" w:rsidR="001F6223" w:rsidRDefault="001F6223" w:rsidP="00374F09">
      <w:pPr>
        <w:spacing w:before="100" w:beforeAutospacing="1" w:after="100" w:afterAutospacing="1"/>
        <w:rPr>
          <w:lang w:val="en-ID" w:eastAsia="en-ID"/>
        </w:rPr>
      </w:pPr>
    </w:p>
    <w:p w14:paraId="618D276F" w14:textId="77777777" w:rsidR="001F6223" w:rsidRDefault="001F6223" w:rsidP="00374F09">
      <w:pPr>
        <w:spacing w:before="100" w:beforeAutospacing="1" w:after="100" w:afterAutospacing="1"/>
        <w:rPr>
          <w:lang w:val="en-ID" w:eastAsia="en-ID"/>
        </w:rPr>
      </w:pPr>
    </w:p>
    <w:p w14:paraId="3D73750C" w14:textId="77777777" w:rsidR="001F6223" w:rsidRDefault="001F6223" w:rsidP="00374F09">
      <w:pPr>
        <w:spacing w:before="100" w:beforeAutospacing="1" w:after="100" w:afterAutospacing="1"/>
        <w:rPr>
          <w:lang w:val="en-ID" w:eastAsia="en-ID"/>
        </w:rPr>
      </w:pPr>
    </w:p>
    <w:p w14:paraId="65D30D06" w14:textId="77777777" w:rsidR="001F6223" w:rsidRDefault="001F6223" w:rsidP="00374F09">
      <w:pPr>
        <w:spacing w:before="100" w:beforeAutospacing="1" w:after="100" w:afterAutospacing="1"/>
        <w:rPr>
          <w:lang w:val="en-ID" w:eastAsia="en-ID"/>
        </w:rPr>
      </w:pPr>
    </w:p>
    <w:p w14:paraId="712DB73A" w14:textId="21009D7A" w:rsidR="001F6223" w:rsidRDefault="001F6223" w:rsidP="00374F09">
      <w:pPr>
        <w:spacing w:before="100" w:beforeAutospacing="1" w:after="100" w:afterAutospacing="1"/>
        <w:rPr>
          <w:lang w:val="en-ID" w:eastAsia="en-ID"/>
        </w:rPr>
      </w:pPr>
    </w:p>
    <w:p w14:paraId="4C4A78B3" w14:textId="77777777" w:rsidR="001F6223" w:rsidRDefault="001F6223" w:rsidP="00374F09">
      <w:pPr>
        <w:spacing w:before="100" w:beforeAutospacing="1" w:after="100" w:afterAutospacing="1"/>
        <w:rPr>
          <w:lang w:val="en-ID" w:eastAsia="en-ID"/>
        </w:rPr>
      </w:pPr>
    </w:p>
    <w:p w14:paraId="4516027D" w14:textId="77777777" w:rsidR="001F6223" w:rsidRDefault="001F6223" w:rsidP="00374F09">
      <w:pPr>
        <w:spacing w:before="100" w:beforeAutospacing="1" w:after="100" w:afterAutospacing="1"/>
        <w:rPr>
          <w:lang w:val="en-ID" w:eastAsia="en-ID"/>
        </w:rPr>
      </w:pPr>
    </w:p>
    <w:p w14:paraId="1FD12E8C" w14:textId="77777777" w:rsidR="001F6223" w:rsidRDefault="001F6223" w:rsidP="00374F09">
      <w:pPr>
        <w:spacing w:before="100" w:beforeAutospacing="1" w:after="100" w:afterAutospacing="1"/>
        <w:rPr>
          <w:lang w:val="en-ID" w:eastAsia="en-ID"/>
        </w:rPr>
      </w:pPr>
    </w:p>
    <w:p w14:paraId="35036A65" w14:textId="77777777" w:rsidR="001F6223" w:rsidRDefault="001F6223" w:rsidP="00374F09">
      <w:pPr>
        <w:spacing w:before="100" w:beforeAutospacing="1" w:after="100" w:afterAutospacing="1"/>
        <w:rPr>
          <w:lang w:val="en-ID" w:eastAsia="en-ID"/>
        </w:rPr>
      </w:pPr>
    </w:p>
    <w:p w14:paraId="3D906282" w14:textId="1DABA8A4" w:rsidR="00374F09" w:rsidRDefault="00374F09" w:rsidP="00374F09">
      <w:pPr>
        <w:spacing w:before="100" w:beforeAutospacing="1" w:after="100" w:afterAutospacing="1"/>
        <w:rPr>
          <w:lang w:val="en-ID" w:eastAsia="en-ID"/>
        </w:rPr>
      </w:pPr>
    </w:p>
    <w:p w14:paraId="65EDAAB1" w14:textId="77777777" w:rsidR="00C14005" w:rsidRDefault="00C14005" w:rsidP="00374F09">
      <w:pPr>
        <w:spacing w:before="100" w:beforeAutospacing="1" w:after="100" w:afterAutospacing="1"/>
        <w:rPr>
          <w:lang w:val="en-ID" w:eastAsia="en-ID"/>
        </w:rPr>
      </w:pPr>
    </w:p>
    <w:p w14:paraId="296B3AD3" w14:textId="77777777" w:rsidR="00C14005" w:rsidRDefault="00C14005" w:rsidP="00374F09">
      <w:pPr>
        <w:spacing w:before="100" w:beforeAutospacing="1" w:after="100" w:afterAutospacing="1"/>
        <w:rPr>
          <w:lang w:val="en-ID" w:eastAsia="en-ID"/>
        </w:rPr>
      </w:pPr>
    </w:p>
    <w:p w14:paraId="0476AADC" w14:textId="77777777" w:rsidR="00C14005" w:rsidRDefault="00C14005" w:rsidP="00374F09">
      <w:pPr>
        <w:spacing w:before="100" w:beforeAutospacing="1" w:after="100" w:afterAutospacing="1"/>
        <w:rPr>
          <w:lang w:val="en-ID" w:eastAsia="en-ID"/>
        </w:rPr>
      </w:pPr>
    </w:p>
    <w:p w14:paraId="31A44EEE" w14:textId="7D0D8300" w:rsidR="006831C8" w:rsidRPr="00F426C1" w:rsidRDefault="006831C8" w:rsidP="006831C8">
      <w:pPr>
        <w:pStyle w:val="Heading1"/>
        <w:rPr>
          <w:rFonts w:cs="Times New Roman"/>
          <w:b w:val="0"/>
          <w:szCs w:val="24"/>
          <w:lang w:val="id-ID"/>
        </w:rPr>
      </w:pPr>
      <w:r w:rsidRPr="00F426C1">
        <w:rPr>
          <w:rFonts w:cs="Times New Roman"/>
          <w:noProof/>
          <w:szCs w:val="24"/>
          <w:lang w:val="id-ID"/>
        </w:rPr>
        <w:lastRenderedPageBreak/>
        <w:t>KATA PENGANTAR</w:t>
      </w:r>
      <w:bookmarkEnd w:id="2"/>
    </w:p>
    <w:p w14:paraId="0774DCED" w14:textId="77777777" w:rsidR="006831C8" w:rsidRPr="002630C6" w:rsidRDefault="006831C8" w:rsidP="006831C8">
      <w:pPr>
        <w:spacing w:line="360" w:lineRule="auto"/>
        <w:ind w:firstLine="720"/>
        <w:jc w:val="both"/>
        <w:rPr>
          <w:lang w:eastAsia="zh-CN"/>
        </w:rPr>
      </w:pPr>
      <w:r w:rsidRPr="002630C6">
        <w:t xml:space="preserve">Puji Syukur saya panjatkan kepada Tuhan yang Maha Esa karena atas berkat dan rahmat-Nya dan disertai usaha dan dukungan yang diberikan, </w:t>
      </w:r>
      <w:r w:rsidRPr="00F426C1">
        <w:rPr>
          <w:lang w:val="id-ID"/>
        </w:rPr>
        <w:t>penulis</w:t>
      </w:r>
      <w:r w:rsidRPr="002630C6">
        <w:t xml:space="preserve"> dapat menyelesaikan </w:t>
      </w:r>
      <w:r>
        <w:rPr>
          <w:lang w:val="id-ID"/>
        </w:rPr>
        <w:t>penelitian</w:t>
      </w:r>
      <w:r w:rsidRPr="002630C6">
        <w:t xml:space="preserve"> ini dengan baik. </w:t>
      </w:r>
      <w:r>
        <w:rPr>
          <w:lang w:val="id-ID" w:eastAsia="zh-CN"/>
        </w:rPr>
        <w:t>P</w:t>
      </w:r>
      <w:r w:rsidRPr="002630C6">
        <w:rPr>
          <w:lang w:eastAsia="zh-CN"/>
        </w:rPr>
        <w:t>en</w:t>
      </w:r>
      <w:r>
        <w:rPr>
          <w:lang w:val="id-ID" w:eastAsia="zh-CN"/>
        </w:rPr>
        <w:t>e</w:t>
      </w:r>
      <w:r w:rsidRPr="002630C6">
        <w:rPr>
          <w:lang w:eastAsia="zh-CN"/>
        </w:rPr>
        <w:t xml:space="preserve">litian ini disusun sebagai salah satu syarat untuk </w:t>
      </w:r>
      <w:proofErr w:type="spellStart"/>
      <w:r w:rsidRPr="002630C6">
        <w:rPr>
          <w:lang w:val="en-US" w:eastAsia="zh-CN"/>
        </w:rPr>
        <w:t>menyelesaikan</w:t>
      </w:r>
      <w:proofErr w:type="spellEnd"/>
      <w:r w:rsidRPr="002630C6">
        <w:rPr>
          <w:lang w:val="en-US" w:eastAsia="zh-CN"/>
        </w:rPr>
        <w:t xml:space="preserve"> </w:t>
      </w:r>
      <w:proofErr w:type="spellStart"/>
      <w:r w:rsidRPr="002630C6">
        <w:rPr>
          <w:lang w:val="en-US" w:eastAsia="zh-CN"/>
        </w:rPr>
        <w:t>studi</w:t>
      </w:r>
      <w:proofErr w:type="spellEnd"/>
      <w:r w:rsidRPr="002630C6">
        <w:rPr>
          <w:lang w:val="en-US" w:eastAsia="zh-CN"/>
        </w:rPr>
        <w:t xml:space="preserve"> </w:t>
      </w:r>
      <w:r w:rsidRPr="002630C6">
        <w:rPr>
          <w:lang w:eastAsia="zh-CN"/>
        </w:rPr>
        <w:t>pada program Pend</w:t>
      </w:r>
      <w:r>
        <w:rPr>
          <w:lang w:eastAsia="zh-CN"/>
        </w:rPr>
        <w:t xml:space="preserve">idikan </w:t>
      </w:r>
      <w:r>
        <w:rPr>
          <w:lang w:val="id-ID" w:eastAsia="zh-CN"/>
        </w:rPr>
        <w:t>D</w:t>
      </w:r>
      <w:r>
        <w:rPr>
          <w:lang w:eastAsia="zh-CN"/>
        </w:rPr>
        <w:t xml:space="preserve">okter Spesialis </w:t>
      </w:r>
      <w:r>
        <w:rPr>
          <w:lang w:val="id-ID" w:eastAsia="zh-CN"/>
        </w:rPr>
        <w:t>B</w:t>
      </w:r>
      <w:r w:rsidRPr="002630C6">
        <w:rPr>
          <w:lang w:eastAsia="zh-CN"/>
        </w:rPr>
        <w:t>idang A</w:t>
      </w:r>
      <w:r>
        <w:rPr>
          <w:lang w:eastAsia="zh-CN"/>
        </w:rPr>
        <w:t>nestesiolog</w:t>
      </w:r>
      <w:r>
        <w:rPr>
          <w:lang w:val="id-ID" w:eastAsia="zh-CN"/>
        </w:rPr>
        <w:t>i,</w:t>
      </w:r>
      <w:r w:rsidRPr="002630C6">
        <w:rPr>
          <w:lang w:eastAsia="zh-CN"/>
        </w:rPr>
        <w:t xml:space="preserve"> Terapi Intensif</w:t>
      </w:r>
      <w:r>
        <w:rPr>
          <w:lang w:val="id-ID" w:eastAsia="zh-CN"/>
        </w:rPr>
        <w:t>, dan Manajemen Nyeri</w:t>
      </w:r>
      <w:r w:rsidRPr="002630C6">
        <w:rPr>
          <w:lang w:eastAsia="zh-CN"/>
        </w:rPr>
        <w:t xml:space="preserve"> Universitas Hasanuddin.</w:t>
      </w:r>
    </w:p>
    <w:p w14:paraId="294C291F" w14:textId="77777777" w:rsidR="006831C8" w:rsidRPr="002630C6" w:rsidRDefault="006831C8" w:rsidP="006831C8">
      <w:pPr>
        <w:spacing w:line="360" w:lineRule="auto"/>
        <w:ind w:firstLine="720"/>
        <w:jc w:val="both"/>
        <w:rPr>
          <w:lang w:eastAsia="zh-CN"/>
        </w:rPr>
      </w:pPr>
      <w:r w:rsidRPr="002630C6">
        <w:rPr>
          <w:lang w:eastAsia="zh-CN"/>
        </w:rPr>
        <w:t>Berkenaan dengan penulisan</w:t>
      </w:r>
      <w:r>
        <w:rPr>
          <w:lang w:val="id-ID" w:eastAsia="zh-CN"/>
        </w:rPr>
        <w:t xml:space="preserve"> </w:t>
      </w:r>
      <w:r w:rsidRPr="002630C6">
        <w:rPr>
          <w:lang w:eastAsia="zh-CN"/>
        </w:rPr>
        <w:t>penelitian ini, penulis ingin menyampaikan ucapan terima kasih untuk bantuan dan dukungan dari banyak pihak yang telah memungkinkan selesainya pen</w:t>
      </w:r>
      <w:r>
        <w:rPr>
          <w:lang w:eastAsia="zh-CN"/>
        </w:rPr>
        <w:t xml:space="preserve">yusunan maupun penyajian </w:t>
      </w:r>
      <w:r>
        <w:rPr>
          <w:lang w:val="id-ID" w:eastAsia="zh-CN"/>
        </w:rPr>
        <w:t>hasil penelitian</w:t>
      </w:r>
      <w:r w:rsidRPr="002630C6">
        <w:rPr>
          <w:lang w:eastAsia="zh-CN"/>
        </w:rPr>
        <w:t xml:space="preserve"> ini, kepada :</w:t>
      </w:r>
    </w:p>
    <w:p w14:paraId="69D24680" w14:textId="11A028AC" w:rsidR="006831C8" w:rsidRPr="00C96466" w:rsidRDefault="002B0CDD" w:rsidP="006831C8">
      <w:pPr>
        <w:pStyle w:val="ListParagraph"/>
        <w:numPr>
          <w:ilvl w:val="0"/>
          <w:numId w:val="34"/>
        </w:numPr>
        <w:spacing w:line="360" w:lineRule="auto"/>
        <w:ind w:left="1134"/>
        <w:jc w:val="both"/>
        <w:rPr>
          <w:rFonts w:eastAsiaTheme="minorHAnsi"/>
          <w:b/>
          <w:bCs/>
          <w:lang w:eastAsia="zh-CN"/>
        </w:rPr>
      </w:pPr>
      <w:r w:rsidRPr="00C64BF8">
        <w:rPr>
          <w:lang w:eastAsia="zh-CN"/>
        </w:rPr>
        <w:t>dr. Ari Santri Palinrungi, M.Kes, Sp.An-T.I, Subsp.T.I.(K)</w:t>
      </w:r>
      <w:r>
        <w:rPr>
          <w:lang w:eastAsia="zh-CN"/>
        </w:rPr>
        <w:t xml:space="preserve"> sebagai Pembimbing</w:t>
      </w:r>
      <w:r>
        <w:rPr>
          <w:lang w:val="en-US" w:eastAsia="zh-CN"/>
        </w:rPr>
        <w:t xml:space="preserve"> I</w:t>
      </w:r>
      <w:r>
        <w:rPr>
          <w:lang w:eastAsia="zh-CN"/>
        </w:rPr>
        <w:t xml:space="preserve"> dan </w:t>
      </w:r>
      <w:r w:rsidRPr="00C64BF8">
        <w:rPr>
          <w:lang w:eastAsia="zh-CN"/>
        </w:rPr>
        <w:t xml:space="preserve">Prof.Dr.dr. Muh. </w:t>
      </w:r>
      <w:r w:rsidRPr="00C64BF8">
        <w:t xml:space="preserve">Ramli Ahmad, Sp.An-T.I, Subsp. M.N.(K), Subsp. </w:t>
      </w:r>
      <w:r w:rsidRPr="00C64BF8">
        <w:rPr>
          <w:lang w:eastAsia="zh-CN"/>
        </w:rPr>
        <w:t>A.O.(K)</w:t>
      </w:r>
      <w:r>
        <w:rPr>
          <w:lang w:eastAsia="zh-CN"/>
        </w:rPr>
        <w:t xml:space="preserve"> sebagai Pembimbing </w:t>
      </w:r>
      <w:r>
        <w:rPr>
          <w:lang w:val="en-US" w:eastAsia="zh-CN"/>
        </w:rPr>
        <w:t>II</w:t>
      </w:r>
      <w:r w:rsidR="006831C8" w:rsidRPr="00C96466">
        <w:rPr>
          <w:bCs/>
          <w:lang w:eastAsia="zh-CN"/>
        </w:rPr>
        <w:t xml:space="preserve"> </w:t>
      </w:r>
      <w:r w:rsidR="006831C8" w:rsidRPr="00C96466">
        <w:rPr>
          <w:lang w:eastAsia="zh-CN"/>
        </w:rPr>
        <w:t>yang dengan penuh perhatian dan kesabaran meluangkan waktunya untuk</w:t>
      </w:r>
      <w:r w:rsidR="006831C8" w:rsidRPr="00C96466">
        <w:rPr>
          <w:rFonts w:eastAsia="Calibri"/>
          <w:lang w:eastAsia="zh-CN"/>
        </w:rPr>
        <w:t xml:space="preserve"> memberi masukan dan bimbingan selama penyusunan </w:t>
      </w:r>
      <w:r w:rsidR="006831C8">
        <w:rPr>
          <w:rFonts w:eastAsia="Calibri"/>
          <w:lang w:eastAsia="zh-CN"/>
        </w:rPr>
        <w:t>hasil</w:t>
      </w:r>
      <w:r w:rsidR="006831C8" w:rsidRPr="00C96466">
        <w:rPr>
          <w:rFonts w:eastAsia="Calibri"/>
          <w:lang w:val="en-US" w:eastAsia="zh-CN"/>
        </w:rPr>
        <w:t xml:space="preserve"> </w:t>
      </w:r>
      <w:proofErr w:type="spellStart"/>
      <w:r w:rsidR="006831C8" w:rsidRPr="00C96466">
        <w:rPr>
          <w:rFonts w:eastAsia="Calibri"/>
          <w:lang w:val="en-US" w:eastAsia="zh-CN"/>
        </w:rPr>
        <w:t>peneltian</w:t>
      </w:r>
      <w:proofErr w:type="spellEnd"/>
      <w:r w:rsidR="006831C8" w:rsidRPr="00C96466">
        <w:rPr>
          <w:rFonts w:eastAsia="Calibri"/>
          <w:lang w:eastAsia="zh-CN"/>
        </w:rPr>
        <w:t xml:space="preserve"> ini.</w:t>
      </w:r>
    </w:p>
    <w:p w14:paraId="42E79E33" w14:textId="77777777" w:rsidR="006831C8" w:rsidRPr="00C96466" w:rsidRDefault="006831C8" w:rsidP="006831C8">
      <w:pPr>
        <w:numPr>
          <w:ilvl w:val="0"/>
          <w:numId w:val="34"/>
        </w:numPr>
        <w:tabs>
          <w:tab w:val="left" w:pos="630"/>
        </w:tabs>
        <w:spacing w:after="200" w:line="360" w:lineRule="auto"/>
        <w:ind w:left="1170" w:hanging="426"/>
        <w:contextualSpacing/>
        <w:jc w:val="both"/>
        <w:rPr>
          <w:rFonts w:eastAsia="Calibri"/>
          <w:lang w:eastAsia="zh-CN"/>
        </w:rPr>
      </w:pPr>
      <w:proofErr w:type="spellStart"/>
      <w:r w:rsidRPr="002630C6">
        <w:rPr>
          <w:rFonts w:eastAsia="Calibri"/>
          <w:lang w:val="en-US" w:eastAsia="zh-CN"/>
        </w:rPr>
        <w:t>Seluruh</w:t>
      </w:r>
      <w:proofErr w:type="spellEnd"/>
      <w:r w:rsidRPr="002630C6">
        <w:rPr>
          <w:rFonts w:eastAsia="Calibri"/>
          <w:lang w:val="en-US" w:eastAsia="zh-CN"/>
        </w:rPr>
        <w:t xml:space="preserve"> Dokter </w:t>
      </w:r>
      <w:proofErr w:type="spellStart"/>
      <w:r w:rsidRPr="002630C6">
        <w:rPr>
          <w:rFonts w:eastAsia="Calibri"/>
          <w:lang w:val="en-US" w:eastAsia="zh-CN"/>
        </w:rPr>
        <w:t>Konsulen</w:t>
      </w:r>
      <w:proofErr w:type="spellEnd"/>
      <w:r w:rsidRPr="002630C6">
        <w:rPr>
          <w:rFonts w:eastAsia="Calibri"/>
          <w:lang w:val="en-US" w:eastAsia="zh-CN"/>
        </w:rPr>
        <w:t xml:space="preserve"> </w:t>
      </w:r>
      <w:proofErr w:type="spellStart"/>
      <w:r w:rsidRPr="002630C6">
        <w:rPr>
          <w:rFonts w:eastAsia="Calibri"/>
          <w:lang w:val="en-US" w:eastAsia="zh-CN"/>
        </w:rPr>
        <w:t>Departemen</w:t>
      </w:r>
      <w:proofErr w:type="spellEnd"/>
      <w:r w:rsidRPr="002630C6">
        <w:rPr>
          <w:rFonts w:eastAsia="Calibri"/>
          <w:lang w:val="en-US" w:eastAsia="zh-CN"/>
        </w:rPr>
        <w:t xml:space="preserve"> </w:t>
      </w:r>
      <w:proofErr w:type="spellStart"/>
      <w:r w:rsidRPr="002630C6">
        <w:rPr>
          <w:rFonts w:eastAsia="Calibri"/>
          <w:lang w:val="en-US" w:eastAsia="zh-CN"/>
        </w:rPr>
        <w:t>Anestesi</w:t>
      </w:r>
      <w:proofErr w:type="spellEnd"/>
      <w:r w:rsidRPr="002630C6">
        <w:rPr>
          <w:rFonts w:eastAsia="Calibri"/>
          <w:lang w:val="en-US" w:eastAsia="zh-CN"/>
        </w:rPr>
        <w:t xml:space="preserve"> Universitas Hasanuddin yang </w:t>
      </w:r>
      <w:proofErr w:type="spellStart"/>
      <w:r w:rsidRPr="002630C6">
        <w:rPr>
          <w:rFonts w:eastAsia="Calibri"/>
          <w:lang w:val="en-US" w:eastAsia="zh-CN"/>
        </w:rPr>
        <w:t>telah</w:t>
      </w:r>
      <w:proofErr w:type="spellEnd"/>
      <w:r w:rsidRPr="002630C6">
        <w:rPr>
          <w:rFonts w:eastAsia="Calibri"/>
          <w:lang w:val="en-US" w:eastAsia="zh-CN"/>
        </w:rPr>
        <w:t xml:space="preserve"> </w:t>
      </w:r>
      <w:proofErr w:type="spellStart"/>
      <w:r w:rsidRPr="002630C6">
        <w:rPr>
          <w:rFonts w:eastAsia="Calibri"/>
          <w:lang w:val="en-US" w:eastAsia="zh-CN"/>
        </w:rPr>
        <w:t>meluangkan</w:t>
      </w:r>
      <w:proofErr w:type="spellEnd"/>
      <w:r w:rsidRPr="002630C6">
        <w:rPr>
          <w:rFonts w:eastAsia="Calibri"/>
          <w:lang w:val="en-US" w:eastAsia="zh-CN"/>
        </w:rPr>
        <w:t xml:space="preserve"> </w:t>
      </w:r>
      <w:proofErr w:type="spellStart"/>
      <w:r w:rsidRPr="002630C6">
        <w:rPr>
          <w:rFonts w:eastAsia="Calibri"/>
          <w:lang w:val="en-US" w:eastAsia="zh-CN"/>
        </w:rPr>
        <w:t>waktunya</w:t>
      </w:r>
      <w:proofErr w:type="spellEnd"/>
      <w:r w:rsidRPr="002630C6">
        <w:rPr>
          <w:rFonts w:eastAsia="Calibri"/>
          <w:lang w:val="en-US" w:eastAsia="zh-CN"/>
        </w:rPr>
        <w:t xml:space="preserve"> untuk </w:t>
      </w:r>
      <w:proofErr w:type="spellStart"/>
      <w:r w:rsidRPr="002630C6">
        <w:rPr>
          <w:rFonts w:eastAsia="Calibri"/>
          <w:lang w:val="en-US" w:eastAsia="zh-CN"/>
        </w:rPr>
        <w:t>mengawasi</w:t>
      </w:r>
      <w:proofErr w:type="spellEnd"/>
      <w:r w:rsidRPr="002630C6">
        <w:rPr>
          <w:rFonts w:eastAsia="Calibri"/>
          <w:lang w:val="en-US" w:eastAsia="zh-CN"/>
        </w:rPr>
        <w:t xml:space="preserve"> dalam proses </w:t>
      </w:r>
      <w:proofErr w:type="spellStart"/>
      <w:r w:rsidRPr="002630C6">
        <w:rPr>
          <w:rFonts w:eastAsia="Calibri"/>
          <w:lang w:val="en-US" w:eastAsia="zh-CN"/>
        </w:rPr>
        <w:t>penelitian</w:t>
      </w:r>
      <w:proofErr w:type="spellEnd"/>
      <w:r w:rsidRPr="002630C6">
        <w:rPr>
          <w:rFonts w:eastAsia="Calibri"/>
          <w:lang w:val="en-US" w:eastAsia="zh-CN"/>
        </w:rPr>
        <w:t xml:space="preserve"> </w:t>
      </w:r>
      <w:proofErr w:type="spellStart"/>
      <w:r w:rsidRPr="002630C6">
        <w:rPr>
          <w:rFonts w:eastAsia="Calibri"/>
          <w:lang w:val="en-US" w:eastAsia="zh-CN"/>
        </w:rPr>
        <w:t>serta</w:t>
      </w:r>
      <w:proofErr w:type="spellEnd"/>
      <w:r w:rsidRPr="002630C6">
        <w:rPr>
          <w:rFonts w:eastAsia="Calibri"/>
          <w:lang w:val="en-US" w:eastAsia="zh-CN"/>
        </w:rPr>
        <w:t xml:space="preserve"> </w:t>
      </w:r>
      <w:proofErr w:type="spellStart"/>
      <w:r w:rsidRPr="002630C6">
        <w:rPr>
          <w:rFonts w:eastAsia="Calibri"/>
          <w:lang w:val="en-US" w:eastAsia="zh-CN"/>
        </w:rPr>
        <w:t>telah</w:t>
      </w:r>
      <w:proofErr w:type="spellEnd"/>
      <w:r w:rsidRPr="002630C6">
        <w:rPr>
          <w:rFonts w:eastAsia="Calibri"/>
          <w:lang w:val="en-US" w:eastAsia="zh-CN"/>
        </w:rPr>
        <w:t xml:space="preserve"> </w:t>
      </w:r>
      <w:proofErr w:type="spellStart"/>
      <w:r w:rsidRPr="002630C6">
        <w:rPr>
          <w:rFonts w:eastAsia="Calibri"/>
          <w:lang w:val="en-US" w:eastAsia="zh-CN"/>
        </w:rPr>
        <w:t>membagi</w:t>
      </w:r>
      <w:proofErr w:type="spellEnd"/>
      <w:r w:rsidRPr="002630C6">
        <w:rPr>
          <w:rFonts w:eastAsia="Calibri"/>
          <w:lang w:val="en-US" w:eastAsia="zh-CN"/>
        </w:rPr>
        <w:t xml:space="preserve"> </w:t>
      </w:r>
      <w:proofErr w:type="spellStart"/>
      <w:r w:rsidRPr="002630C6">
        <w:rPr>
          <w:rFonts w:eastAsia="Calibri"/>
          <w:lang w:val="en-US" w:eastAsia="zh-CN"/>
        </w:rPr>
        <w:t>ilmunya</w:t>
      </w:r>
      <w:proofErr w:type="spellEnd"/>
      <w:r w:rsidRPr="002630C6">
        <w:rPr>
          <w:rFonts w:eastAsia="Calibri"/>
          <w:lang w:val="en-US" w:eastAsia="zh-CN"/>
        </w:rPr>
        <w:t>.</w:t>
      </w:r>
    </w:p>
    <w:p w14:paraId="4AACF47A" w14:textId="18DF20FE" w:rsidR="006831C8" w:rsidRPr="002630C6" w:rsidRDefault="006831C8" w:rsidP="006831C8">
      <w:pPr>
        <w:numPr>
          <w:ilvl w:val="0"/>
          <w:numId w:val="34"/>
        </w:numPr>
        <w:tabs>
          <w:tab w:val="left" w:pos="630"/>
        </w:tabs>
        <w:spacing w:after="200" w:line="360" w:lineRule="auto"/>
        <w:ind w:left="1170" w:hanging="426"/>
        <w:contextualSpacing/>
        <w:jc w:val="both"/>
        <w:rPr>
          <w:rFonts w:eastAsia="Calibri"/>
          <w:lang w:eastAsia="zh-CN"/>
        </w:rPr>
      </w:pPr>
      <w:r w:rsidRPr="002630C6">
        <w:rPr>
          <w:rFonts w:eastAsia="Calibri"/>
          <w:lang w:eastAsia="zh-CN"/>
        </w:rPr>
        <w:t xml:space="preserve">Pegawai dan staf </w:t>
      </w:r>
      <w:r w:rsidRPr="002630C6">
        <w:rPr>
          <w:rFonts w:eastAsia="Calibri"/>
          <w:lang w:val="en-US" w:eastAsia="zh-CN"/>
        </w:rPr>
        <w:t xml:space="preserve"> </w:t>
      </w:r>
      <w:r w:rsidRPr="002630C6">
        <w:rPr>
          <w:rFonts w:eastAsia="Calibri"/>
          <w:lang w:eastAsia="zh-CN"/>
        </w:rPr>
        <w:t xml:space="preserve">Rumah Sakit, serta seluruh karyawan yang telah membantu </w:t>
      </w:r>
      <w:r>
        <w:rPr>
          <w:rFonts w:eastAsia="Calibri"/>
          <w:lang w:eastAsia="zh-CN"/>
        </w:rPr>
        <w:t>dalam proses penyusunan</w:t>
      </w:r>
      <w:r>
        <w:rPr>
          <w:rFonts w:eastAsia="Calibri"/>
          <w:lang w:val="id-ID" w:eastAsia="zh-CN"/>
        </w:rPr>
        <w:t xml:space="preserve"> hasil penelitian</w:t>
      </w:r>
      <w:r w:rsidRPr="002630C6">
        <w:rPr>
          <w:rFonts w:eastAsia="Calibri"/>
          <w:lang w:eastAsia="zh-CN"/>
        </w:rPr>
        <w:t xml:space="preserve"> ini.</w:t>
      </w:r>
    </w:p>
    <w:p w14:paraId="71722F2B" w14:textId="77777777" w:rsidR="006831C8" w:rsidRPr="002630C6" w:rsidRDefault="006831C8" w:rsidP="006831C8">
      <w:pPr>
        <w:numPr>
          <w:ilvl w:val="0"/>
          <w:numId w:val="34"/>
        </w:numPr>
        <w:tabs>
          <w:tab w:val="left" w:pos="630"/>
        </w:tabs>
        <w:spacing w:after="200" w:line="360" w:lineRule="auto"/>
        <w:ind w:left="1170" w:hanging="426"/>
        <w:contextualSpacing/>
        <w:jc w:val="both"/>
        <w:rPr>
          <w:rFonts w:eastAsia="Calibri"/>
        </w:rPr>
      </w:pPr>
      <w:r w:rsidRPr="002630C6">
        <w:rPr>
          <w:rFonts w:eastAsia="Calibri"/>
          <w:lang w:val="fi-FI"/>
        </w:rPr>
        <w:t>Kepada istri dan putraku tercinta yang telah memberikan semangat serta dukungan moril.</w:t>
      </w:r>
    </w:p>
    <w:p w14:paraId="44887D08" w14:textId="77777777" w:rsidR="006831C8" w:rsidRPr="002630C6" w:rsidRDefault="006831C8" w:rsidP="006831C8">
      <w:pPr>
        <w:numPr>
          <w:ilvl w:val="0"/>
          <w:numId w:val="34"/>
        </w:numPr>
        <w:tabs>
          <w:tab w:val="left" w:pos="630"/>
        </w:tabs>
        <w:spacing w:after="200" w:line="360" w:lineRule="auto"/>
        <w:ind w:left="1170" w:hanging="426"/>
        <w:contextualSpacing/>
        <w:jc w:val="both"/>
        <w:rPr>
          <w:rFonts w:eastAsia="Calibri"/>
        </w:rPr>
      </w:pPr>
      <w:r w:rsidRPr="002630C6">
        <w:rPr>
          <w:rFonts w:eastAsia="Calibri"/>
          <w:lang w:eastAsia="zh-CN"/>
        </w:rPr>
        <w:t xml:space="preserve">Seluruh teman-teman </w:t>
      </w:r>
      <w:r>
        <w:rPr>
          <w:rFonts w:eastAsia="Calibri"/>
          <w:lang w:eastAsia="zh-CN"/>
        </w:rPr>
        <w:t xml:space="preserve">Residen </w:t>
      </w:r>
      <w:r>
        <w:rPr>
          <w:rFonts w:eastAsia="Calibri"/>
          <w:lang w:val="id-ID" w:eastAsia="zh-CN"/>
        </w:rPr>
        <w:t>A</w:t>
      </w:r>
      <w:r>
        <w:rPr>
          <w:rFonts w:eastAsia="Calibri"/>
          <w:lang w:eastAsia="zh-CN"/>
        </w:rPr>
        <w:t>n</w:t>
      </w:r>
      <w:r>
        <w:rPr>
          <w:rFonts w:eastAsia="Calibri"/>
          <w:lang w:val="id-ID" w:eastAsia="zh-CN"/>
        </w:rPr>
        <w:t>e</w:t>
      </w:r>
      <w:r w:rsidRPr="002630C6">
        <w:rPr>
          <w:rFonts w:eastAsia="Calibri"/>
          <w:lang w:eastAsia="zh-CN"/>
        </w:rPr>
        <w:t>stesi Fakultas Kedokteran Universitas Hasanuddin</w:t>
      </w:r>
      <w:r w:rsidRPr="002630C6">
        <w:rPr>
          <w:rFonts w:eastAsia="Calibri"/>
          <w:lang w:val="en-US" w:eastAsia="zh-CN"/>
        </w:rPr>
        <w:t xml:space="preserve">, </w:t>
      </w:r>
      <w:proofErr w:type="spellStart"/>
      <w:r w:rsidRPr="002630C6">
        <w:rPr>
          <w:rFonts w:eastAsia="Calibri"/>
          <w:lang w:val="en-US" w:eastAsia="zh-CN"/>
        </w:rPr>
        <w:t>terutama</w:t>
      </w:r>
      <w:proofErr w:type="spellEnd"/>
      <w:r w:rsidRPr="002630C6">
        <w:rPr>
          <w:rFonts w:eastAsia="Calibri"/>
          <w:lang w:val="en-US" w:eastAsia="zh-CN"/>
        </w:rPr>
        <w:t xml:space="preserve"> yang </w:t>
      </w:r>
      <w:proofErr w:type="spellStart"/>
      <w:r w:rsidRPr="002630C6">
        <w:rPr>
          <w:rFonts w:eastAsia="Calibri"/>
          <w:lang w:val="en-US" w:eastAsia="zh-CN"/>
        </w:rPr>
        <w:t>telah</w:t>
      </w:r>
      <w:proofErr w:type="spellEnd"/>
      <w:r w:rsidRPr="002630C6">
        <w:rPr>
          <w:rFonts w:eastAsia="Calibri"/>
          <w:lang w:val="en-US" w:eastAsia="zh-CN"/>
        </w:rPr>
        <w:t xml:space="preserve"> </w:t>
      </w:r>
      <w:proofErr w:type="spellStart"/>
      <w:r w:rsidRPr="002630C6">
        <w:rPr>
          <w:rFonts w:eastAsia="Calibri"/>
          <w:lang w:val="en-US" w:eastAsia="zh-CN"/>
        </w:rPr>
        <w:t>meluangkan</w:t>
      </w:r>
      <w:proofErr w:type="spellEnd"/>
      <w:r w:rsidRPr="002630C6">
        <w:rPr>
          <w:rFonts w:eastAsia="Calibri"/>
          <w:lang w:val="en-US" w:eastAsia="zh-CN"/>
        </w:rPr>
        <w:t xml:space="preserve"> </w:t>
      </w:r>
      <w:proofErr w:type="spellStart"/>
      <w:r w:rsidRPr="002630C6">
        <w:rPr>
          <w:rFonts w:eastAsia="Calibri"/>
          <w:lang w:val="en-US" w:eastAsia="zh-CN"/>
        </w:rPr>
        <w:t>waktunya</w:t>
      </w:r>
      <w:proofErr w:type="spellEnd"/>
      <w:r w:rsidRPr="002630C6">
        <w:rPr>
          <w:rFonts w:eastAsia="Calibri"/>
          <w:lang w:val="en-US" w:eastAsia="zh-CN"/>
        </w:rPr>
        <w:t xml:space="preserve"> untuk </w:t>
      </w:r>
      <w:proofErr w:type="spellStart"/>
      <w:r w:rsidRPr="002630C6">
        <w:rPr>
          <w:rFonts w:eastAsia="Calibri"/>
          <w:lang w:val="en-US" w:eastAsia="zh-CN"/>
        </w:rPr>
        <w:t>membantu</w:t>
      </w:r>
      <w:proofErr w:type="spellEnd"/>
      <w:r w:rsidRPr="002630C6">
        <w:rPr>
          <w:rFonts w:eastAsia="Calibri"/>
          <w:lang w:val="en-US" w:eastAsia="zh-CN"/>
        </w:rPr>
        <w:t xml:space="preserve"> dalam</w:t>
      </w:r>
      <w:r>
        <w:rPr>
          <w:rFonts w:eastAsia="Calibri"/>
          <w:lang w:val="id-ID" w:eastAsia="zh-CN"/>
        </w:rPr>
        <w:t xml:space="preserve"> penyusunan</w:t>
      </w:r>
      <w:r w:rsidRPr="002630C6">
        <w:rPr>
          <w:rFonts w:eastAsia="Calibri"/>
          <w:lang w:val="en-US" w:eastAsia="zh-CN"/>
        </w:rPr>
        <w:t xml:space="preserve"> </w:t>
      </w:r>
      <w:proofErr w:type="spellStart"/>
      <w:r w:rsidRPr="002630C6">
        <w:rPr>
          <w:rFonts w:eastAsia="Calibri"/>
          <w:lang w:val="en-US" w:eastAsia="zh-CN"/>
        </w:rPr>
        <w:t>penelitian</w:t>
      </w:r>
      <w:proofErr w:type="spellEnd"/>
      <w:r w:rsidRPr="002630C6">
        <w:rPr>
          <w:rFonts w:eastAsia="Calibri"/>
          <w:lang w:val="en-US" w:eastAsia="zh-CN"/>
        </w:rPr>
        <w:t xml:space="preserve"> ini</w:t>
      </w:r>
      <w:r w:rsidRPr="002630C6">
        <w:rPr>
          <w:rFonts w:eastAsia="Calibri"/>
          <w:lang w:eastAsia="zh-CN"/>
        </w:rPr>
        <w:t xml:space="preserve">. </w:t>
      </w:r>
      <w:r w:rsidRPr="002630C6">
        <w:rPr>
          <w:rFonts w:eastAsia="Calibri"/>
        </w:rPr>
        <w:t>Penulis sangat berterimakasih.</w:t>
      </w:r>
    </w:p>
    <w:p w14:paraId="433171D9" w14:textId="77777777" w:rsidR="006831C8" w:rsidRPr="002630C6" w:rsidRDefault="006831C8" w:rsidP="006831C8">
      <w:pPr>
        <w:numPr>
          <w:ilvl w:val="0"/>
          <w:numId w:val="34"/>
        </w:numPr>
        <w:tabs>
          <w:tab w:val="left" w:pos="630"/>
        </w:tabs>
        <w:spacing w:after="200" w:line="360" w:lineRule="auto"/>
        <w:ind w:left="1170" w:hanging="426"/>
        <w:contextualSpacing/>
        <w:jc w:val="both"/>
        <w:rPr>
          <w:rFonts w:eastAsia="Calibri"/>
        </w:rPr>
      </w:pPr>
      <w:r w:rsidRPr="002630C6">
        <w:rPr>
          <w:rFonts w:eastAsia="Calibri"/>
        </w:rPr>
        <w:t xml:space="preserve">Terima kasih juga penulis ucapkan kepada </w:t>
      </w:r>
      <w:r w:rsidRPr="002630C6">
        <w:t>pihak-pihak lain yang tidak dapat saya sebutkan satu per satu.</w:t>
      </w:r>
    </w:p>
    <w:p w14:paraId="5AE978C8" w14:textId="77777777" w:rsidR="006831C8" w:rsidRPr="002630C6" w:rsidRDefault="006831C8" w:rsidP="006831C8">
      <w:pPr>
        <w:spacing w:line="360" w:lineRule="auto"/>
        <w:ind w:firstLine="720"/>
        <w:jc w:val="both"/>
        <w:rPr>
          <w:shd w:val="clear" w:color="auto" w:fill="FFFFFF"/>
        </w:rPr>
      </w:pPr>
    </w:p>
    <w:p w14:paraId="49CB8086" w14:textId="77777777" w:rsidR="006831C8" w:rsidRPr="002630C6" w:rsidRDefault="006831C8" w:rsidP="006831C8">
      <w:pPr>
        <w:spacing w:line="360" w:lineRule="auto"/>
        <w:ind w:firstLine="720"/>
        <w:jc w:val="both"/>
        <w:rPr>
          <w:shd w:val="clear" w:color="auto" w:fill="FFFFFF"/>
          <w:lang w:eastAsia="zh-CN"/>
        </w:rPr>
      </w:pPr>
      <w:r w:rsidRPr="002630C6">
        <w:rPr>
          <w:shd w:val="clear" w:color="auto" w:fill="FFFFFF"/>
          <w:lang w:eastAsia="zh-CN"/>
        </w:rPr>
        <w:lastRenderedPageBreak/>
        <w:t>Akhir kata</w:t>
      </w:r>
      <w:r w:rsidRPr="002630C6">
        <w:rPr>
          <w:shd w:val="clear" w:color="auto" w:fill="FFFFFF"/>
          <w:lang w:val="en-US" w:eastAsia="zh-CN"/>
        </w:rPr>
        <w:t>,</w:t>
      </w:r>
      <w:r w:rsidRPr="002630C6">
        <w:rPr>
          <w:shd w:val="clear" w:color="auto" w:fill="FFFFFF"/>
          <w:lang w:eastAsia="zh-CN"/>
        </w:rPr>
        <w:t xml:space="preserve"> penulis </w:t>
      </w:r>
      <w:r w:rsidRPr="002630C6">
        <w:rPr>
          <w:lang w:eastAsia="zh-CN"/>
        </w:rPr>
        <w:t xml:space="preserve">ucapkan </w:t>
      </w:r>
      <w:r w:rsidRPr="002630C6">
        <w:rPr>
          <w:lang w:val="en-US" w:eastAsia="zh-CN"/>
        </w:rPr>
        <w:t xml:space="preserve"> </w:t>
      </w:r>
      <w:r w:rsidRPr="002630C6">
        <w:rPr>
          <w:lang w:eastAsia="zh-CN"/>
        </w:rPr>
        <w:t xml:space="preserve">terima kasih yang sebesar-besarnya kepada semua pihak yang telah membantu dalam segala pelaksaan kegiatan dan memohon maaf </w:t>
      </w:r>
      <w:proofErr w:type="spellStart"/>
      <w:r w:rsidRPr="002630C6">
        <w:rPr>
          <w:lang w:val="en-US" w:eastAsia="zh-CN"/>
        </w:rPr>
        <w:t>apabila</w:t>
      </w:r>
      <w:proofErr w:type="spellEnd"/>
      <w:r w:rsidRPr="002630C6">
        <w:rPr>
          <w:lang w:eastAsia="zh-CN"/>
        </w:rPr>
        <w:t xml:space="preserve"> ada kesalahan yang disengaja maupun tidak disengaja dalam rangkaian </w:t>
      </w:r>
      <w:r w:rsidRPr="002630C6">
        <w:rPr>
          <w:lang w:val="en-US" w:eastAsia="zh-CN"/>
        </w:rPr>
        <w:t xml:space="preserve"> </w:t>
      </w:r>
      <w:r w:rsidRPr="002630C6">
        <w:rPr>
          <w:lang w:eastAsia="zh-CN"/>
        </w:rPr>
        <w:t xml:space="preserve">tugas </w:t>
      </w:r>
      <w:proofErr w:type="spellStart"/>
      <w:r w:rsidRPr="002630C6">
        <w:rPr>
          <w:lang w:val="en-US" w:eastAsia="zh-CN"/>
        </w:rPr>
        <w:t>penulis</w:t>
      </w:r>
      <w:proofErr w:type="spellEnd"/>
      <w:r w:rsidRPr="002630C6">
        <w:rPr>
          <w:lang w:eastAsia="zh-CN"/>
        </w:rPr>
        <w:t xml:space="preserve">. </w:t>
      </w:r>
      <w:r w:rsidRPr="00F426C1">
        <w:rPr>
          <w:lang w:val="pt-BR"/>
        </w:rPr>
        <w:t>Penulis juga menyadari</w:t>
      </w:r>
      <w:r w:rsidRPr="002630C6">
        <w:rPr>
          <w:shd w:val="clear" w:color="auto" w:fill="FFFFFF"/>
        </w:rPr>
        <w:t xml:space="preserve"> bahwa dalam </w:t>
      </w:r>
      <w:r w:rsidRPr="00F426C1">
        <w:rPr>
          <w:shd w:val="clear" w:color="auto" w:fill="FFFFFF"/>
          <w:lang w:val="pt-BR"/>
        </w:rPr>
        <w:t xml:space="preserve"> </w:t>
      </w:r>
      <w:r w:rsidRPr="002630C6">
        <w:rPr>
          <w:shd w:val="clear" w:color="auto" w:fill="FFFFFF"/>
        </w:rPr>
        <w:t>penulisan</w:t>
      </w:r>
      <w:r w:rsidRPr="00F426C1">
        <w:rPr>
          <w:shd w:val="clear" w:color="auto" w:fill="FFFFFF"/>
          <w:lang w:val="pt-BR"/>
        </w:rPr>
        <w:t xml:space="preserve"> </w:t>
      </w:r>
      <w:r>
        <w:rPr>
          <w:shd w:val="clear" w:color="auto" w:fill="FFFFFF"/>
          <w:lang w:val="id-ID"/>
        </w:rPr>
        <w:t>hasil</w:t>
      </w:r>
      <w:r w:rsidRPr="002630C6">
        <w:rPr>
          <w:shd w:val="clear" w:color="auto" w:fill="FFFFFF"/>
        </w:rPr>
        <w:t xml:space="preserve"> penelitian  ini masih jauh dari kesempurnaan. </w:t>
      </w:r>
      <w:r w:rsidRPr="002630C6">
        <w:rPr>
          <w:shd w:val="clear" w:color="auto" w:fill="FFFFFF"/>
          <w:lang w:eastAsia="zh-CN"/>
        </w:rPr>
        <w:t>Karena itu, penulis memohon saran dan kritik yang sifatnya membangun demi kesempurnaannya dan semoga bermanfaat</w:t>
      </w:r>
      <w:r w:rsidRPr="002630C6">
        <w:rPr>
          <w:shd w:val="clear" w:color="auto" w:fill="FFFFFF"/>
          <w:lang w:val="en-US" w:eastAsia="zh-CN"/>
        </w:rPr>
        <w:t xml:space="preserve"> </w:t>
      </w:r>
      <w:proofErr w:type="spellStart"/>
      <w:r w:rsidRPr="002630C6">
        <w:rPr>
          <w:shd w:val="clear" w:color="auto" w:fill="FFFFFF"/>
          <w:lang w:val="en-US" w:eastAsia="zh-CN"/>
        </w:rPr>
        <w:t>bagi</w:t>
      </w:r>
      <w:proofErr w:type="spellEnd"/>
      <w:r w:rsidRPr="002630C6">
        <w:rPr>
          <w:shd w:val="clear" w:color="auto" w:fill="FFFFFF"/>
          <w:lang w:val="en-US" w:eastAsia="zh-CN"/>
        </w:rPr>
        <w:t xml:space="preserve"> kita semua</w:t>
      </w:r>
      <w:r w:rsidRPr="002630C6">
        <w:rPr>
          <w:shd w:val="clear" w:color="auto" w:fill="FFFFFF"/>
          <w:lang w:eastAsia="zh-CN"/>
        </w:rPr>
        <w:t xml:space="preserve"> </w:t>
      </w:r>
    </w:p>
    <w:p w14:paraId="1F0E75CA" w14:textId="77777777" w:rsidR="006831C8" w:rsidRDefault="006831C8" w:rsidP="006831C8">
      <w:pPr>
        <w:spacing w:line="360" w:lineRule="auto"/>
        <w:ind w:firstLine="720"/>
        <w:jc w:val="both"/>
        <w:rPr>
          <w:shd w:val="clear" w:color="auto" w:fill="FFFFFF"/>
          <w:lang w:val="en-US" w:eastAsia="zh-CN"/>
        </w:rPr>
      </w:pPr>
      <w:r w:rsidRPr="002630C6">
        <w:rPr>
          <w:shd w:val="clear" w:color="auto" w:fill="FFFFFF"/>
          <w:lang w:eastAsia="zh-CN"/>
        </w:rPr>
        <w:t>                                                                 </w:t>
      </w:r>
    </w:p>
    <w:p w14:paraId="018EB8C9" w14:textId="77777777" w:rsidR="001A3A23" w:rsidRPr="001A3A23" w:rsidRDefault="001A3A23" w:rsidP="006831C8">
      <w:pPr>
        <w:spacing w:line="360" w:lineRule="auto"/>
        <w:ind w:firstLine="720"/>
        <w:jc w:val="both"/>
        <w:rPr>
          <w:shd w:val="clear" w:color="auto" w:fill="FFFFFF"/>
          <w:lang w:val="en-US" w:eastAsia="zh-CN"/>
        </w:rPr>
      </w:pPr>
    </w:p>
    <w:p w14:paraId="08C98973" w14:textId="24D6E26B" w:rsidR="006831C8" w:rsidRPr="002630C6" w:rsidRDefault="006831C8" w:rsidP="005817DB">
      <w:pPr>
        <w:spacing w:line="360" w:lineRule="auto"/>
        <w:ind w:firstLine="4820"/>
        <w:rPr>
          <w:shd w:val="clear" w:color="auto" w:fill="FFFFFF"/>
        </w:rPr>
      </w:pPr>
      <w:r w:rsidRPr="002630C6">
        <w:rPr>
          <w:shd w:val="clear" w:color="auto" w:fill="FFFFFF"/>
        </w:rPr>
        <w:t xml:space="preserve">Makassar, </w:t>
      </w:r>
      <w:r>
        <w:rPr>
          <w:shd w:val="clear" w:color="auto" w:fill="FFFFFF"/>
          <w:lang w:val="en-US"/>
        </w:rPr>
        <w:t xml:space="preserve"> </w:t>
      </w:r>
      <w:r w:rsidR="00B07E46">
        <w:rPr>
          <w:shd w:val="clear" w:color="auto" w:fill="FFFFFF"/>
          <w:lang w:val="id-ID"/>
        </w:rPr>
        <w:t>Februari</w:t>
      </w:r>
      <w:r>
        <w:rPr>
          <w:shd w:val="clear" w:color="auto" w:fill="FFFFFF"/>
          <w:lang w:val="id-ID"/>
        </w:rPr>
        <w:t xml:space="preserve">  2024</w:t>
      </w:r>
      <w:r w:rsidRPr="002630C6">
        <w:rPr>
          <w:shd w:val="clear" w:color="auto" w:fill="FFFFFF"/>
        </w:rPr>
        <w:t> </w:t>
      </w:r>
    </w:p>
    <w:p w14:paraId="36AAA3B2" w14:textId="07FB6498" w:rsidR="006831C8" w:rsidRPr="004E1A67" w:rsidRDefault="006831C8" w:rsidP="005817DB">
      <w:pPr>
        <w:spacing w:line="360" w:lineRule="auto"/>
        <w:ind w:firstLine="4820"/>
        <w:rPr>
          <w:rStyle w:val="Emphasis"/>
          <w:i w:val="0"/>
          <w:color w:val="000000" w:themeColor="text1"/>
          <w:bdr w:val="none" w:sz="0" w:space="0" w:color="auto" w:frame="1"/>
          <w:lang w:val="en-US"/>
        </w:rPr>
      </w:pPr>
      <w:r w:rsidRPr="003F1DB2">
        <w:rPr>
          <w:rStyle w:val="Emphasis"/>
          <w:color w:val="000000" w:themeColor="text1"/>
          <w:bdr w:val="none" w:sz="0" w:space="0" w:color="auto" w:frame="1"/>
          <w:shd w:val="clear" w:color="auto" w:fill="FFFFFF"/>
        </w:rPr>
        <w:t>Penulis</w:t>
      </w:r>
      <w:r w:rsidR="004E1A67">
        <w:rPr>
          <w:rStyle w:val="Emphasis"/>
          <w:color w:val="000000" w:themeColor="text1"/>
          <w:bdr w:val="none" w:sz="0" w:space="0" w:color="auto" w:frame="1"/>
          <w:shd w:val="clear" w:color="auto" w:fill="FFFFFF"/>
          <w:lang w:val="en-US"/>
        </w:rPr>
        <w:t>,</w:t>
      </w:r>
    </w:p>
    <w:p w14:paraId="304149FB" w14:textId="77777777" w:rsidR="005817DB" w:rsidRDefault="005817DB" w:rsidP="005817DB">
      <w:pPr>
        <w:spacing w:line="360" w:lineRule="auto"/>
        <w:ind w:firstLine="4820"/>
        <w:rPr>
          <w:rStyle w:val="Emphasis"/>
          <w:bdr w:val="none" w:sz="0" w:space="0" w:color="auto" w:frame="1"/>
          <w:shd w:val="clear" w:color="auto" w:fill="FFFFFF"/>
          <w:lang w:val="id-ID"/>
        </w:rPr>
      </w:pPr>
    </w:p>
    <w:p w14:paraId="02B397B7" w14:textId="77777777" w:rsidR="005817DB" w:rsidRDefault="005817DB" w:rsidP="005817DB">
      <w:pPr>
        <w:spacing w:line="360" w:lineRule="auto"/>
        <w:ind w:firstLine="4820"/>
        <w:rPr>
          <w:rStyle w:val="Emphasis"/>
          <w:bdr w:val="none" w:sz="0" w:space="0" w:color="auto" w:frame="1"/>
          <w:shd w:val="clear" w:color="auto" w:fill="FFFFFF"/>
          <w:lang w:val="id-ID"/>
        </w:rPr>
      </w:pPr>
    </w:p>
    <w:p w14:paraId="57A5A712" w14:textId="53BFDDFA" w:rsidR="006831C8" w:rsidRPr="003F1DB2" w:rsidRDefault="006831C8" w:rsidP="005817DB">
      <w:pPr>
        <w:spacing w:line="360" w:lineRule="auto"/>
        <w:ind w:firstLine="4820"/>
        <w:rPr>
          <w:iCs/>
          <w:bdr w:val="none" w:sz="0" w:space="0" w:color="auto" w:frame="1"/>
          <w:shd w:val="clear" w:color="auto" w:fill="FFFFFF"/>
          <w:lang w:val="id-ID"/>
        </w:rPr>
      </w:pPr>
      <w:r w:rsidRPr="002630C6">
        <w:rPr>
          <w:rStyle w:val="Emphasis"/>
          <w:bdr w:val="none" w:sz="0" w:space="0" w:color="auto" w:frame="1"/>
          <w:shd w:val="clear" w:color="auto" w:fill="FFFFFF"/>
          <w:lang w:val="id-ID"/>
        </w:rPr>
        <w:t xml:space="preserve">dr. </w:t>
      </w:r>
      <w:r w:rsidRPr="002630C6">
        <w:rPr>
          <w:rStyle w:val="Emphasis"/>
          <w:bdr w:val="none" w:sz="0" w:space="0" w:color="auto" w:frame="1"/>
          <w:shd w:val="clear" w:color="auto" w:fill="FFFFFF"/>
        </w:rPr>
        <w:t xml:space="preserve"> </w:t>
      </w:r>
      <w:r w:rsidR="00B07E46">
        <w:rPr>
          <w:bCs/>
          <w:lang w:val="id-ID"/>
        </w:rPr>
        <w:t>Herman Mangasi Silaban</w:t>
      </w:r>
    </w:p>
    <w:p w14:paraId="005E366B" w14:textId="77777777" w:rsidR="009C2B0A" w:rsidRDefault="009C2B0A" w:rsidP="00B07E46">
      <w:pPr>
        <w:spacing w:line="360" w:lineRule="auto"/>
        <w:rPr>
          <w:rFonts w:eastAsiaTheme="minorEastAsia"/>
          <w:b/>
          <w:sz w:val="22"/>
          <w:lang w:val="id-ID" w:eastAsia="zh-CN"/>
        </w:rPr>
      </w:pPr>
    </w:p>
    <w:p w14:paraId="7D08BDC5" w14:textId="77777777" w:rsidR="009C2B0A" w:rsidRDefault="009C2B0A">
      <w:pPr>
        <w:spacing w:line="360" w:lineRule="auto"/>
        <w:jc w:val="center"/>
        <w:rPr>
          <w:rFonts w:eastAsiaTheme="minorEastAsia"/>
          <w:b/>
          <w:sz w:val="22"/>
          <w:lang w:val="id-ID" w:eastAsia="zh-CN"/>
        </w:rPr>
      </w:pPr>
    </w:p>
    <w:p w14:paraId="26C3A3DB" w14:textId="77777777" w:rsidR="009C2B0A" w:rsidRDefault="009C2B0A">
      <w:pPr>
        <w:spacing w:line="360" w:lineRule="auto"/>
        <w:jc w:val="center"/>
        <w:rPr>
          <w:rFonts w:eastAsiaTheme="minorEastAsia"/>
          <w:b/>
          <w:sz w:val="22"/>
          <w:lang w:val="id-ID" w:eastAsia="zh-CN"/>
        </w:rPr>
      </w:pPr>
    </w:p>
    <w:p w14:paraId="56763138" w14:textId="77777777" w:rsidR="009C2B0A" w:rsidRDefault="009C2B0A">
      <w:pPr>
        <w:spacing w:line="360" w:lineRule="auto"/>
        <w:jc w:val="center"/>
        <w:rPr>
          <w:rFonts w:eastAsiaTheme="minorEastAsia"/>
          <w:b/>
          <w:sz w:val="22"/>
          <w:lang w:val="id-ID" w:eastAsia="zh-CN"/>
        </w:rPr>
      </w:pPr>
    </w:p>
    <w:p w14:paraId="70724D98" w14:textId="77777777" w:rsidR="009C2B0A" w:rsidRDefault="009C2B0A">
      <w:pPr>
        <w:spacing w:line="360" w:lineRule="auto"/>
        <w:jc w:val="center"/>
        <w:rPr>
          <w:rFonts w:eastAsiaTheme="minorEastAsia"/>
          <w:b/>
          <w:sz w:val="22"/>
          <w:lang w:val="id-ID" w:eastAsia="zh-CN"/>
        </w:rPr>
      </w:pPr>
    </w:p>
    <w:p w14:paraId="1D5D97B9" w14:textId="77777777" w:rsidR="009C2B0A" w:rsidRDefault="009C2B0A">
      <w:pPr>
        <w:spacing w:line="360" w:lineRule="auto"/>
        <w:jc w:val="center"/>
        <w:rPr>
          <w:rFonts w:eastAsiaTheme="minorEastAsia"/>
          <w:b/>
          <w:sz w:val="22"/>
          <w:lang w:val="id-ID" w:eastAsia="zh-CN"/>
        </w:rPr>
      </w:pPr>
    </w:p>
    <w:p w14:paraId="4C433558" w14:textId="77777777" w:rsidR="009C2B0A" w:rsidRDefault="009C2B0A">
      <w:pPr>
        <w:spacing w:line="360" w:lineRule="auto"/>
        <w:jc w:val="center"/>
        <w:rPr>
          <w:rFonts w:eastAsiaTheme="minorEastAsia"/>
          <w:b/>
          <w:sz w:val="22"/>
          <w:lang w:val="id-ID" w:eastAsia="zh-CN"/>
        </w:rPr>
      </w:pPr>
    </w:p>
    <w:p w14:paraId="2069453E" w14:textId="77777777" w:rsidR="009C2B0A" w:rsidRDefault="009C2B0A">
      <w:pPr>
        <w:spacing w:line="360" w:lineRule="auto"/>
        <w:jc w:val="center"/>
        <w:rPr>
          <w:rFonts w:eastAsiaTheme="minorEastAsia"/>
          <w:b/>
          <w:sz w:val="22"/>
          <w:lang w:val="id-ID" w:eastAsia="zh-CN"/>
        </w:rPr>
      </w:pPr>
    </w:p>
    <w:p w14:paraId="0D95B821" w14:textId="77777777" w:rsidR="009C2B0A" w:rsidRDefault="009C2B0A">
      <w:pPr>
        <w:spacing w:line="360" w:lineRule="auto"/>
        <w:jc w:val="center"/>
        <w:rPr>
          <w:rFonts w:eastAsiaTheme="minorEastAsia"/>
          <w:b/>
          <w:sz w:val="22"/>
          <w:lang w:val="id-ID" w:eastAsia="zh-CN"/>
        </w:rPr>
      </w:pPr>
    </w:p>
    <w:p w14:paraId="2873A710" w14:textId="77777777" w:rsidR="009C2B0A" w:rsidRDefault="009C2B0A">
      <w:pPr>
        <w:spacing w:line="360" w:lineRule="auto"/>
        <w:jc w:val="center"/>
        <w:rPr>
          <w:rFonts w:eastAsiaTheme="minorEastAsia"/>
          <w:b/>
          <w:sz w:val="22"/>
          <w:lang w:val="id-ID" w:eastAsia="zh-CN"/>
        </w:rPr>
      </w:pPr>
    </w:p>
    <w:p w14:paraId="3409F77B" w14:textId="77777777" w:rsidR="009C2B0A" w:rsidRDefault="009C2B0A">
      <w:pPr>
        <w:spacing w:line="360" w:lineRule="auto"/>
        <w:jc w:val="center"/>
        <w:rPr>
          <w:rFonts w:eastAsiaTheme="minorEastAsia"/>
          <w:b/>
          <w:sz w:val="22"/>
          <w:lang w:val="id-ID" w:eastAsia="zh-CN"/>
        </w:rPr>
      </w:pPr>
    </w:p>
    <w:p w14:paraId="660462C8" w14:textId="77777777" w:rsidR="009C2B0A" w:rsidRDefault="009C2B0A">
      <w:pPr>
        <w:spacing w:line="360" w:lineRule="auto"/>
        <w:jc w:val="center"/>
        <w:rPr>
          <w:rFonts w:eastAsiaTheme="minorEastAsia"/>
          <w:b/>
          <w:sz w:val="22"/>
          <w:lang w:val="id-ID" w:eastAsia="zh-CN"/>
        </w:rPr>
      </w:pPr>
    </w:p>
    <w:p w14:paraId="27BE95EE" w14:textId="77777777" w:rsidR="009C2B0A" w:rsidRDefault="009C2B0A">
      <w:pPr>
        <w:spacing w:line="360" w:lineRule="auto"/>
        <w:jc w:val="center"/>
        <w:rPr>
          <w:rFonts w:eastAsiaTheme="minorEastAsia"/>
          <w:b/>
          <w:sz w:val="22"/>
          <w:lang w:val="id-ID" w:eastAsia="zh-CN"/>
        </w:rPr>
      </w:pPr>
    </w:p>
    <w:p w14:paraId="793F0D19" w14:textId="77777777" w:rsidR="009C2B0A" w:rsidRDefault="009C2B0A">
      <w:pPr>
        <w:spacing w:line="360" w:lineRule="auto"/>
        <w:jc w:val="center"/>
        <w:rPr>
          <w:rFonts w:eastAsiaTheme="minorEastAsia"/>
          <w:b/>
          <w:sz w:val="22"/>
          <w:lang w:val="id-ID" w:eastAsia="zh-CN"/>
        </w:rPr>
      </w:pPr>
    </w:p>
    <w:p w14:paraId="1094A442" w14:textId="77777777" w:rsidR="009C2B0A" w:rsidRDefault="009C2B0A">
      <w:pPr>
        <w:spacing w:line="360" w:lineRule="auto"/>
        <w:jc w:val="center"/>
        <w:rPr>
          <w:rFonts w:eastAsiaTheme="minorEastAsia"/>
          <w:b/>
          <w:sz w:val="22"/>
          <w:lang w:val="id-ID" w:eastAsia="zh-CN"/>
        </w:rPr>
      </w:pPr>
    </w:p>
    <w:p w14:paraId="286AC56B" w14:textId="77777777" w:rsidR="009C2B0A" w:rsidRDefault="009C2B0A">
      <w:pPr>
        <w:spacing w:line="360" w:lineRule="auto"/>
        <w:jc w:val="center"/>
        <w:rPr>
          <w:rFonts w:eastAsiaTheme="minorEastAsia"/>
          <w:b/>
          <w:sz w:val="22"/>
          <w:lang w:val="id-ID" w:eastAsia="zh-CN"/>
        </w:rPr>
      </w:pPr>
    </w:p>
    <w:p w14:paraId="68E3816A" w14:textId="77777777" w:rsidR="009C2B0A" w:rsidRDefault="009C2B0A">
      <w:pPr>
        <w:spacing w:line="360" w:lineRule="auto"/>
        <w:jc w:val="center"/>
        <w:rPr>
          <w:rFonts w:eastAsiaTheme="minorEastAsia"/>
          <w:b/>
          <w:sz w:val="22"/>
          <w:lang w:val="id-ID" w:eastAsia="zh-CN"/>
        </w:rPr>
      </w:pPr>
    </w:p>
    <w:p w14:paraId="121806B8" w14:textId="77777777" w:rsidR="009C2B0A" w:rsidRDefault="009C2B0A">
      <w:pPr>
        <w:spacing w:line="360" w:lineRule="auto"/>
        <w:jc w:val="center"/>
        <w:rPr>
          <w:rFonts w:eastAsiaTheme="minorEastAsia"/>
          <w:b/>
          <w:sz w:val="22"/>
          <w:lang w:val="id-ID" w:eastAsia="zh-CN"/>
        </w:rPr>
      </w:pPr>
    </w:p>
    <w:p w14:paraId="7B15864A" w14:textId="77777777" w:rsidR="006B6A79" w:rsidRDefault="006B6A79" w:rsidP="006B6A79">
      <w:pPr>
        <w:tabs>
          <w:tab w:val="left" w:pos="450"/>
        </w:tabs>
        <w:jc w:val="center"/>
        <w:rPr>
          <w:b/>
          <w:bCs/>
          <w:noProof/>
          <w:color w:val="000000"/>
          <w:sz w:val="28"/>
        </w:rPr>
      </w:pPr>
      <w:r w:rsidRPr="008F1C46">
        <w:rPr>
          <w:b/>
          <w:bCs/>
          <w:noProof/>
          <w:color w:val="000000"/>
          <w:sz w:val="28"/>
        </w:rPr>
        <w:lastRenderedPageBreak/>
        <w:t>Pengaruh Blok Peritonsiler Levobupiva</w:t>
      </w:r>
      <w:r>
        <w:rPr>
          <w:b/>
          <w:bCs/>
          <w:noProof/>
          <w:color w:val="000000"/>
          <w:sz w:val="28"/>
          <w:lang w:val="en-US"/>
        </w:rPr>
        <w:t>k</w:t>
      </w:r>
      <w:r w:rsidRPr="008F1C46">
        <w:rPr>
          <w:b/>
          <w:bCs/>
          <w:noProof/>
          <w:color w:val="000000"/>
          <w:sz w:val="28"/>
        </w:rPr>
        <w:t>ain Isobarik 0,125% Terhadap Intensitas Nyeri Dan Kadar Interleukin 6 Pada Pascabedah Tonsilektomi</w:t>
      </w:r>
    </w:p>
    <w:p w14:paraId="03CDABC3" w14:textId="77777777" w:rsidR="006B6A79" w:rsidRPr="007F30F0" w:rsidRDefault="006B6A79" w:rsidP="006B6A79">
      <w:pPr>
        <w:tabs>
          <w:tab w:val="left" w:pos="450"/>
        </w:tabs>
        <w:jc w:val="center"/>
        <w:rPr>
          <w:b/>
          <w:bCs/>
          <w:noProof/>
          <w:color w:val="000000"/>
          <w:sz w:val="28"/>
        </w:rPr>
      </w:pPr>
    </w:p>
    <w:p w14:paraId="04431A74" w14:textId="77777777" w:rsidR="006B6A79" w:rsidRPr="00EA18F5" w:rsidRDefault="006B6A79" w:rsidP="006B6A79">
      <w:pPr>
        <w:tabs>
          <w:tab w:val="left" w:pos="450"/>
        </w:tabs>
        <w:suppressAutoHyphens/>
        <w:autoSpaceDE w:val="0"/>
        <w:autoSpaceDN w:val="0"/>
        <w:adjustRightInd w:val="0"/>
        <w:jc w:val="center"/>
        <w:textAlignment w:val="center"/>
        <w:rPr>
          <w:b/>
          <w:bCs/>
          <w:caps/>
          <w:color w:val="000000"/>
          <w:lang w:val="sv-SE"/>
        </w:rPr>
      </w:pPr>
    </w:p>
    <w:p w14:paraId="1D5A99FA" w14:textId="77777777" w:rsidR="006B6A79" w:rsidRPr="00AF2123" w:rsidRDefault="006B6A79" w:rsidP="006B6A79">
      <w:pPr>
        <w:tabs>
          <w:tab w:val="left" w:pos="450"/>
        </w:tabs>
        <w:suppressAutoHyphens/>
        <w:autoSpaceDE w:val="0"/>
        <w:autoSpaceDN w:val="0"/>
        <w:adjustRightInd w:val="0"/>
        <w:jc w:val="center"/>
        <w:textAlignment w:val="center"/>
        <w:rPr>
          <w:b/>
          <w:bCs/>
          <w:color w:val="000000"/>
          <w:vertAlign w:val="superscript"/>
        </w:rPr>
      </w:pPr>
      <w:r w:rsidRPr="008F1C46">
        <w:rPr>
          <w:b/>
          <w:bCs/>
          <w:color w:val="000000"/>
        </w:rPr>
        <w:t>Herman Mangasi Silaban</w:t>
      </w:r>
      <w:r w:rsidRPr="00F426C1">
        <w:rPr>
          <w:b/>
          <w:bCs/>
          <w:color w:val="000000"/>
          <w:vertAlign w:val="superscript"/>
          <w:lang w:val="sv-SE"/>
        </w:rPr>
        <w:t>1</w:t>
      </w:r>
      <w:r w:rsidRPr="00F426C1">
        <w:rPr>
          <w:b/>
          <w:bCs/>
          <w:color w:val="000000"/>
          <w:lang w:val="sv-SE"/>
        </w:rPr>
        <w:t xml:space="preserve">, </w:t>
      </w:r>
      <w:r w:rsidRPr="008F1C46">
        <w:rPr>
          <w:b/>
          <w:bCs/>
          <w:color w:val="000000"/>
        </w:rPr>
        <w:t>Ari Santri Palinrungi</w:t>
      </w:r>
      <w:r w:rsidRPr="00F426C1">
        <w:rPr>
          <w:b/>
          <w:bCs/>
          <w:color w:val="000000"/>
          <w:vertAlign w:val="superscript"/>
          <w:lang w:val="sv-SE"/>
        </w:rPr>
        <w:t>1</w:t>
      </w:r>
      <w:r w:rsidRPr="00F426C1">
        <w:rPr>
          <w:b/>
          <w:bCs/>
          <w:color w:val="000000"/>
          <w:lang w:val="sv-SE"/>
        </w:rPr>
        <w:t>,Muh. Ramli Ahmad</w:t>
      </w:r>
      <w:r>
        <w:rPr>
          <w:b/>
          <w:bCs/>
          <w:color w:val="000000"/>
          <w:vertAlign w:val="superscript"/>
          <w:lang w:val="de-DE"/>
        </w:rPr>
        <w:t>1</w:t>
      </w:r>
      <w:r>
        <w:rPr>
          <w:b/>
          <w:bCs/>
          <w:color w:val="000000"/>
          <w:lang w:val="de-DE"/>
        </w:rPr>
        <w:t>, Syamsul Hilal Salam</w:t>
      </w:r>
      <w:r>
        <w:rPr>
          <w:b/>
          <w:bCs/>
          <w:color w:val="000000"/>
          <w:vertAlign w:val="superscript"/>
          <w:lang w:val="de-DE"/>
        </w:rPr>
        <w:t>1</w:t>
      </w:r>
      <w:r>
        <w:rPr>
          <w:b/>
          <w:bCs/>
          <w:color w:val="000000"/>
          <w:lang w:val="de-DE"/>
        </w:rPr>
        <w:t>, Alamsyah Ambo Ala Husain</w:t>
      </w:r>
      <w:r>
        <w:rPr>
          <w:b/>
          <w:bCs/>
          <w:color w:val="000000"/>
          <w:vertAlign w:val="superscript"/>
          <w:lang w:val="de-DE"/>
        </w:rPr>
        <w:t>1</w:t>
      </w:r>
      <w:r>
        <w:rPr>
          <w:b/>
          <w:bCs/>
          <w:color w:val="000000"/>
          <w:lang w:val="de-DE"/>
        </w:rPr>
        <w:t>, Charles Wijaya Tan</w:t>
      </w:r>
      <w:r>
        <w:rPr>
          <w:b/>
          <w:bCs/>
          <w:color w:val="000000"/>
          <w:vertAlign w:val="superscript"/>
          <w:lang w:val="de-DE"/>
        </w:rPr>
        <w:t>1</w:t>
      </w:r>
    </w:p>
    <w:p w14:paraId="37D1CA63" w14:textId="77777777" w:rsidR="006B6A79" w:rsidRPr="008F1C46" w:rsidRDefault="006B6A79" w:rsidP="006B6A79">
      <w:pPr>
        <w:tabs>
          <w:tab w:val="left" w:pos="450"/>
        </w:tabs>
        <w:suppressAutoHyphens/>
        <w:autoSpaceDE w:val="0"/>
        <w:autoSpaceDN w:val="0"/>
        <w:adjustRightInd w:val="0"/>
        <w:jc w:val="center"/>
        <w:textAlignment w:val="center"/>
        <w:rPr>
          <w:color w:val="000000"/>
          <w:lang w:eastAsia="zh-CN"/>
        </w:rPr>
      </w:pPr>
      <w:r w:rsidRPr="00EA18F5">
        <w:rPr>
          <w:color w:val="000000"/>
          <w:vertAlign w:val="superscript"/>
          <w:lang w:val="en-US" w:eastAsia="zh-CN"/>
        </w:rPr>
        <w:t>1</w:t>
      </w:r>
      <w:r>
        <w:rPr>
          <w:color w:val="000000"/>
          <w:lang w:val="en-US" w:eastAsia="zh-CN"/>
        </w:rPr>
        <w:t xml:space="preserve">Departemen </w:t>
      </w:r>
      <w:r w:rsidRPr="008F1C46">
        <w:rPr>
          <w:color w:val="000000"/>
          <w:lang w:eastAsia="zh-CN"/>
        </w:rPr>
        <w:t>Ilmu Anestesi Dan Terapi Intensif</w:t>
      </w:r>
      <w:r>
        <w:rPr>
          <w:color w:val="000000"/>
          <w:lang w:val="en-US" w:eastAsia="zh-CN"/>
        </w:rPr>
        <w:t xml:space="preserve">, </w:t>
      </w:r>
      <w:r w:rsidRPr="008F1C46">
        <w:rPr>
          <w:color w:val="000000"/>
          <w:lang w:eastAsia="zh-CN"/>
        </w:rPr>
        <w:t>Fakultas Kedokteran</w:t>
      </w:r>
      <w:r>
        <w:rPr>
          <w:color w:val="000000"/>
          <w:lang w:val="en-US" w:eastAsia="zh-CN"/>
        </w:rPr>
        <w:t xml:space="preserve">, </w:t>
      </w:r>
      <w:r w:rsidRPr="008F1C46">
        <w:rPr>
          <w:color w:val="000000"/>
          <w:lang w:eastAsia="zh-CN"/>
        </w:rPr>
        <w:t>Universitas Hasanuddin</w:t>
      </w:r>
    </w:p>
    <w:p w14:paraId="064E0525" w14:textId="77777777" w:rsidR="006B6A79" w:rsidRPr="00EA18F5" w:rsidRDefault="006B6A79" w:rsidP="006B6A79">
      <w:pPr>
        <w:tabs>
          <w:tab w:val="left" w:pos="450"/>
        </w:tabs>
        <w:suppressAutoHyphens/>
        <w:autoSpaceDE w:val="0"/>
        <w:autoSpaceDN w:val="0"/>
        <w:adjustRightInd w:val="0"/>
        <w:jc w:val="both"/>
        <w:textAlignment w:val="center"/>
        <w:rPr>
          <w:b/>
          <w:bCs/>
          <w:color w:val="000000"/>
          <w:lang w:val="en-US" w:eastAsia="zh-CN"/>
        </w:rPr>
      </w:pPr>
    </w:p>
    <w:p w14:paraId="7A28135C" w14:textId="77777777" w:rsidR="006B6A79" w:rsidRPr="00EA18F5" w:rsidRDefault="006B6A79" w:rsidP="006B6A79">
      <w:pPr>
        <w:tabs>
          <w:tab w:val="left" w:pos="450"/>
        </w:tabs>
        <w:suppressAutoHyphens/>
        <w:autoSpaceDE w:val="0"/>
        <w:autoSpaceDN w:val="0"/>
        <w:adjustRightInd w:val="0"/>
        <w:textAlignment w:val="center"/>
        <w:rPr>
          <w:b/>
          <w:bCs/>
          <w:color w:val="000000"/>
          <w:lang w:val="en-US" w:eastAsia="zh-CN"/>
        </w:rPr>
      </w:pPr>
      <w:proofErr w:type="spellStart"/>
      <w:r w:rsidRPr="00EA18F5">
        <w:rPr>
          <w:b/>
          <w:bCs/>
          <w:color w:val="000000"/>
          <w:lang w:val="en-US" w:eastAsia="zh-CN"/>
        </w:rPr>
        <w:t>Abstrak</w:t>
      </w:r>
      <w:proofErr w:type="spellEnd"/>
    </w:p>
    <w:p w14:paraId="6E7BB617" w14:textId="77777777" w:rsidR="006B6A79" w:rsidRPr="00EA18F5" w:rsidRDefault="006B6A79" w:rsidP="006B6A79">
      <w:pPr>
        <w:tabs>
          <w:tab w:val="left" w:pos="450"/>
        </w:tabs>
        <w:suppressAutoHyphens/>
        <w:autoSpaceDE w:val="0"/>
        <w:autoSpaceDN w:val="0"/>
        <w:adjustRightInd w:val="0"/>
        <w:jc w:val="center"/>
        <w:textAlignment w:val="center"/>
        <w:rPr>
          <w:b/>
          <w:bCs/>
          <w:color w:val="000000"/>
          <w:lang w:val="en-US" w:eastAsia="zh-CN"/>
        </w:rPr>
      </w:pPr>
    </w:p>
    <w:p w14:paraId="1B05925C" w14:textId="77777777" w:rsidR="006B6A79" w:rsidRPr="00F426C1" w:rsidRDefault="006B6A79" w:rsidP="006B6A79">
      <w:pPr>
        <w:tabs>
          <w:tab w:val="left" w:pos="450"/>
        </w:tabs>
        <w:suppressAutoHyphens/>
        <w:autoSpaceDE w:val="0"/>
        <w:autoSpaceDN w:val="0"/>
        <w:adjustRightInd w:val="0"/>
        <w:jc w:val="both"/>
        <w:textAlignment w:val="center"/>
        <w:rPr>
          <w:color w:val="000000"/>
          <w:lang w:val="pt-BR"/>
        </w:rPr>
      </w:pPr>
      <w:r w:rsidRPr="00B272B9">
        <w:rPr>
          <w:color w:val="000000"/>
          <w:lang w:val="en-US" w:eastAsia="zh-CN"/>
        </w:rPr>
        <w:t xml:space="preserve">Nyeri </w:t>
      </w:r>
      <w:proofErr w:type="spellStart"/>
      <w:r w:rsidRPr="00B272B9">
        <w:rPr>
          <w:color w:val="000000"/>
          <w:lang w:val="en-US" w:eastAsia="zh-CN"/>
        </w:rPr>
        <w:t>pascatonsilektomi</w:t>
      </w:r>
      <w:proofErr w:type="spellEnd"/>
      <w:r w:rsidRPr="00B272B9">
        <w:rPr>
          <w:color w:val="000000"/>
          <w:lang w:val="en-US" w:eastAsia="zh-CN"/>
        </w:rPr>
        <w:t xml:space="preserve"> </w:t>
      </w:r>
      <w:proofErr w:type="spellStart"/>
      <w:r w:rsidRPr="00B272B9">
        <w:rPr>
          <w:color w:val="000000"/>
          <w:lang w:val="en-US" w:eastAsia="zh-CN"/>
        </w:rPr>
        <w:t>memengaruhi</w:t>
      </w:r>
      <w:proofErr w:type="spellEnd"/>
      <w:r w:rsidRPr="00B272B9">
        <w:rPr>
          <w:color w:val="000000"/>
          <w:lang w:val="en-US" w:eastAsia="zh-CN"/>
        </w:rPr>
        <w:t xml:space="preserve"> </w:t>
      </w:r>
      <w:proofErr w:type="spellStart"/>
      <w:r w:rsidRPr="00B272B9">
        <w:rPr>
          <w:color w:val="000000"/>
          <w:lang w:val="en-US" w:eastAsia="zh-CN"/>
        </w:rPr>
        <w:t>banyak</w:t>
      </w:r>
      <w:proofErr w:type="spellEnd"/>
      <w:r w:rsidRPr="00B272B9">
        <w:rPr>
          <w:color w:val="000000"/>
          <w:lang w:val="en-US" w:eastAsia="zh-CN"/>
        </w:rPr>
        <w:t xml:space="preserve"> </w:t>
      </w:r>
      <w:proofErr w:type="spellStart"/>
      <w:r w:rsidRPr="00B272B9">
        <w:rPr>
          <w:color w:val="000000"/>
          <w:lang w:val="en-US" w:eastAsia="zh-CN"/>
        </w:rPr>
        <w:t>aspek</w:t>
      </w:r>
      <w:proofErr w:type="spellEnd"/>
      <w:r w:rsidRPr="00B272B9">
        <w:rPr>
          <w:color w:val="000000"/>
          <w:lang w:val="en-US" w:eastAsia="zh-CN"/>
        </w:rPr>
        <w:t xml:space="preserve"> pada pasien. </w:t>
      </w:r>
      <w:proofErr w:type="spellStart"/>
      <w:r w:rsidRPr="00B272B9">
        <w:rPr>
          <w:color w:val="000000"/>
          <w:lang w:val="en-US"/>
        </w:rPr>
        <w:t>Dilaporkan</w:t>
      </w:r>
      <w:proofErr w:type="spellEnd"/>
      <w:r w:rsidRPr="00B272B9">
        <w:rPr>
          <w:color w:val="000000"/>
          <w:lang w:val="en-US"/>
        </w:rPr>
        <w:t xml:space="preserve"> </w:t>
      </w:r>
      <w:proofErr w:type="spellStart"/>
      <w:r w:rsidRPr="00B272B9">
        <w:rPr>
          <w:color w:val="000000"/>
          <w:lang w:val="en-US"/>
        </w:rPr>
        <w:t>ada</w:t>
      </w:r>
      <w:proofErr w:type="spellEnd"/>
      <w:r w:rsidRPr="00B272B9">
        <w:rPr>
          <w:color w:val="000000"/>
          <w:lang w:val="en-US"/>
        </w:rPr>
        <w:t xml:space="preserve"> </w:t>
      </w:r>
      <w:proofErr w:type="spellStart"/>
      <w:r w:rsidRPr="00B272B9">
        <w:rPr>
          <w:color w:val="000000"/>
          <w:lang w:val="en-US"/>
        </w:rPr>
        <w:t>hubungan</w:t>
      </w:r>
      <w:proofErr w:type="spellEnd"/>
      <w:r w:rsidRPr="00B272B9">
        <w:rPr>
          <w:color w:val="000000"/>
          <w:lang w:val="en-US"/>
        </w:rPr>
        <w:t xml:space="preserve"> </w:t>
      </w:r>
      <w:proofErr w:type="spellStart"/>
      <w:r w:rsidRPr="00B272B9">
        <w:rPr>
          <w:color w:val="000000"/>
          <w:lang w:val="en-US"/>
        </w:rPr>
        <w:t>antara</w:t>
      </w:r>
      <w:proofErr w:type="spellEnd"/>
      <w:r w:rsidRPr="00B272B9">
        <w:rPr>
          <w:color w:val="000000"/>
          <w:lang w:val="en-US"/>
        </w:rPr>
        <w:t xml:space="preserve"> </w:t>
      </w:r>
      <w:proofErr w:type="spellStart"/>
      <w:r w:rsidRPr="00B272B9">
        <w:rPr>
          <w:color w:val="000000"/>
          <w:lang w:val="en-US"/>
        </w:rPr>
        <w:t>intensitas</w:t>
      </w:r>
      <w:proofErr w:type="spellEnd"/>
      <w:r w:rsidRPr="00B272B9">
        <w:rPr>
          <w:color w:val="000000"/>
          <w:lang w:val="en-US"/>
        </w:rPr>
        <w:t xml:space="preserve"> </w:t>
      </w:r>
      <w:proofErr w:type="spellStart"/>
      <w:r w:rsidRPr="00B272B9">
        <w:rPr>
          <w:color w:val="000000"/>
          <w:lang w:val="en-US"/>
        </w:rPr>
        <w:t>nyeri</w:t>
      </w:r>
      <w:proofErr w:type="spellEnd"/>
      <w:r w:rsidRPr="00B272B9">
        <w:rPr>
          <w:color w:val="000000"/>
          <w:lang w:val="en-US"/>
        </w:rPr>
        <w:t xml:space="preserve"> dengan </w:t>
      </w:r>
      <w:proofErr w:type="spellStart"/>
      <w:r w:rsidRPr="00B272B9">
        <w:rPr>
          <w:color w:val="000000"/>
          <w:lang w:val="en-US"/>
        </w:rPr>
        <w:t>kadar</w:t>
      </w:r>
      <w:proofErr w:type="spellEnd"/>
      <w:r w:rsidRPr="00B272B9">
        <w:rPr>
          <w:color w:val="000000"/>
          <w:lang w:val="en-US"/>
        </w:rPr>
        <w:t xml:space="preserve"> interleukin (IL)-6, yang </w:t>
      </w:r>
      <w:proofErr w:type="spellStart"/>
      <w:r w:rsidRPr="00B272B9">
        <w:rPr>
          <w:color w:val="000000"/>
          <w:lang w:val="en-US"/>
        </w:rPr>
        <w:t>berhubungan</w:t>
      </w:r>
      <w:proofErr w:type="spellEnd"/>
      <w:r w:rsidRPr="00B272B9">
        <w:rPr>
          <w:color w:val="000000"/>
          <w:lang w:val="en-US"/>
        </w:rPr>
        <w:t xml:space="preserve"> dengan </w:t>
      </w:r>
      <w:proofErr w:type="spellStart"/>
      <w:r w:rsidRPr="00B272B9">
        <w:rPr>
          <w:color w:val="000000"/>
          <w:lang w:val="en-US"/>
        </w:rPr>
        <w:t>inflamasi</w:t>
      </w:r>
      <w:proofErr w:type="spellEnd"/>
      <w:r w:rsidRPr="00B272B9">
        <w:rPr>
          <w:color w:val="000000"/>
          <w:lang w:val="en-US"/>
        </w:rPr>
        <w:t xml:space="preserve">. </w:t>
      </w:r>
      <w:proofErr w:type="spellStart"/>
      <w:r w:rsidRPr="00B272B9">
        <w:rPr>
          <w:color w:val="000000"/>
          <w:lang w:val="en-US"/>
        </w:rPr>
        <w:t>Levobupiva</w:t>
      </w:r>
      <w:r>
        <w:rPr>
          <w:color w:val="000000"/>
          <w:lang w:val="en-US"/>
        </w:rPr>
        <w:t>k</w:t>
      </w:r>
      <w:r w:rsidRPr="00B272B9">
        <w:rPr>
          <w:color w:val="000000"/>
          <w:lang w:val="en-US"/>
        </w:rPr>
        <w:t>ain</w:t>
      </w:r>
      <w:proofErr w:type="spellEnd"/>
      <w:r w:rsidRPr="00B272B9">
        <w:rPr>
          <w:color w:val="000000"/>
          <w:lang w:val="en-US"/>
        </w:rPr>
        <w:t xml:space="preserve"> </w:t>
      </w:r>
      <w:proofErr w:type="spellStart"/>
      <w:r w:rsidRPr="00B272B9">
        <w:rPr>
          <w:color w:val="000000"/>
          <w:lang w:val="en-US"/>
        </w:rPr>
        <w:t>merupakan</w:t>
      </w:r>
      <w:proofErr w:type="spellEnd"/>
      <w:r w:rsidRPr="00B272B9">
        <w:rPr>
          <w:color w:val="000000"/>
          <w:lang w:val="en-US"/>
        </w:rPr>
        <w:t xml:space="preserve"> </w:t>
      </w:r>
      <w:proofErr w:type="spellStart"/>
      <w:r w:rsidRPr="00B272B9">
        <w:rPr>
          <w:color w:val="000000"/>
          <w:lang w:val="en-US"/>
        </w:rPr>
        <w:t>anestesi</w:t>
      </w:r>
      <w:proofErr w:type="spellEnd"/>
      <w:r w:rsidRPr="00B272B9">
        <w:rPr>
          <w:color w:val="000000"/>
          <w:lang w:val="en-US"/>
        </w:rPr>
        <w:t xml:space="preserve"> </w:t>
      </w:r>
      <w:proofErr w:type="spellStart"/>
      <w:r w:rsidRPr="00B272B9">
        <w:rPr>
          <w:color w:val="000000"/>
          <w:lang w:val="en-US"/>
        </w:rPr>
        <w:t>lokal</w:t>
      </w:r>
      <w:proofErr w:type="spellEnd"/>
      <w:r w:rsidRPr="00B272B9">
        <w:rPr>
          <w:color w:val="000000"/>
          <w:lang w:val="en-US"/>
        </w:rPr>
        <w:t xml:space="preserve"> </w:t>
      </w:r>
      <w:proofErr w:type="spellStart"/>
      <w:r w:rsidRPr="00B272B9">
        <w:rPr>
          <w:color w:val="000000"/>
          <w:lang w:val="en-US"/>
        </w:rPr>
        <w:t>potensi</w:t>
      </w:r>
      <w:proofErr w:type="spellEnd"/>
      <w:r w:rsidRPr="00B272B9">
        <w:rPr>
          <w:color w:val="000000"/>
          <w:lang w:val="en-US"/>
        </w:rPr>
        <w:t xml:space="preserve"> </w:t>
      </w:r>
      <w:proofErr w:type="spellStart"/>
      <w:r w:rsidRPr="00B272B9">
        <w:rPr>
          <w:color w:val="000000"/>
          <w:lang w:val="en-US"/>
        </w:rPr>
        <w:t>tinggi</w:t>
      </w:r>
      <w:proofErr w:type="spellEnd"/>
      <w:r w:rsidRPr="00B272B9">
        <w:rPr>
          <w:color w:val="000000"/>
          <w:lang w:val="en-US"/>
        </w:rPr>
        <w:t xml:space="preserve">, </w:t>
      </w:r>
      <w:proofErr w:type="spellStart"/>
      <w:r w:rsidRPr="00B272B9">
        <w:rPr>
          <w:color w:val="000000"/>
          <w:lang w:val="en-US"/>
        </w:rPr>
        <w:t>kerja</w:t>
      </w:r>
      <w:proofErr w:type="spellEnd"/>
      <w:r w:rsidRPr="00B272B9">
        <w:rPr>
          <w:color w:val="000000"/>
          <w:lang w:val="en-US"/>
        </w:rPr>
        <w:t xml:space="preserve"> lama dengan onset </w:t>
      </w:r>
      <w:proofErr w:type="spellStart"/>
      <w:r w:rsidRPr="00B272B9">
        <w:rPr>
          <w:color w:val="000000"/>
          <w:lang w:val="en-US"/>
        </w:rPr>
        <w:t>kerja</w:t>
      </w:r>
      <w:proofErr w:type="spellEnd"/>
      <w:r w:rsidRPr="00B272B9">
        <w:rPr>
          <w:color w:val="000000"/>
          <w:lang w:val="en-US"/>
        </w:rPr>
        <w:t xml:space="preserve"> yang </w:t>
      </w:r>
      <w:proofErr w:type="spellStart"/>
      <w:r w:rsidRPr="00B272B9">
        <w:rPr>
          <w:color w:val="000000"/>
          <w:lang w:val="en-US"/>
        </w:rPr>
        <w:t>relatif</w:t>
      </w:r>
      <w:proofErr w:type="spellEnd"/>
      <w:r w:rsidRPr="00B272B9">
        <w:rPr>
          <w:color w:val="000000"/>
          <w:lang w:val="en-US"/>
        </w:rPr>
        <w:t xml:space="preserve"> </w:t>
      </w:r>
      <w:proofErr w:type="spellStart"/>
      <w:r w:rsidRPr="00B272B9">
        <w:rPr>
          <w:color w:val="000000"/>
          <w:lang w:val="en-US"/>
        </w:rPr>
        <w:t>lambat</w:t>
      </w:r>
      <w:proofErr w:type="spellEnd"/>
      <w:r w:rsidRPr="00B272B9">
        <w:rPr>
          <w:color w:val="000000"/>
          <w:lang w:val="en-US"/>
        </w:rPr>
        <w:t xml:space="preserve">. </w:t>
      </w:r>
      <w:proofErr w:type="spellStart"/>
      <w:r>
        <w:rPr>
          <w:color w:val="000000"/>
          <w:lang w:val="en-US"/>
        </w:rPr>
        <w:t>Penelitian</w:t>
      </w:r>
      <w:proofErr w:type="spellEnd"/>
      <w:r>
        <w:rPr>
          <w:color w:val="000000"/>
          <w:lang w:val="en-US"/>
        </w:rPr>
        <w:t xml:space="preserve"> ini untuk </w:t>
      </w:r>
      <w:proofErr w:type="spellStart"/>
      <w:r>
        <w:rPr>
          <w:color w:val="000000"/>
          <w:lang w:val="en-US"/>
        </w:rPr>
        <w:t>m</w:t>
      </w:r>
      <w:r w:rsidRPr="00B272B9">
        <w:rPr>
          <w:color w:val="000000"/>
          <w:lang w:val="en-US"/>
        </w:rPr>
        <w:t>engetahui</w:t>
      </w:r>
      <w:proofErr w:type="spellEnd"/>
      <w:r w:rsidRPr="00B272B9">
        <w:rPr>
          <w:color w:val="000000"/>
          <w:lang w:val="en-US"/>
        </w:rPr>
        <w:t xml:space="preserve"> </w:t>
      </w:r>
      <w:proofErr w:type="spellStart"/>
      <w:r w:rsidRPr="00B272B9">
        <w:rPr>
          <w:color w:val="000000"/>
          <w:lang w:val="en-US"/>
        </w:rPr>
        <w:t>pengaruh</w:t>
      </w:r>
      <w:proofErr w:type="spellEnd"/>
      <w:r w:rsidRPr="00B272B9">
        <w:rPr>
          <w:color w:val="000000"/>
          <w:lang w:val="en-US"/>
        </w:rPr>
        <w:t xml:space="preserve"> </w:t>
      </w:r>
      <w:proofErr w:type="spellStart"/>
      <w:r w:rsidRPr="00B272B9">
        <w:rPr>
          <w:color w:val="000000"/>
          <w:lang w:val="en-US"/>
        </w:rPr>
        <w:t>blok</w:t>
      </w:r>
      <w:proofErr w:type="spellEnd"/>
      <w:r w:rsidRPr="00B272B9">
        <w:rPr>
          <w:color w:val="000000"/>
          <w:lang w:val="en-US"/>
        </w:rPr>
        <w:t xml:space="preserve"> </w:t>
      </w:r>
      <w:proofErr w:type="spellStart"/>
      <w:r w:rsidRPr="00B272B9">
        <w:rPr>
          <w:color w:val="000000"/>
          <w:lang w:val="en-US"/>
        </w:rPr>
        <w:t>peritonsiler</w:t>
      </w:r>
      <w:proofErr w:type="spellEnd"/>
      <w:r w:rsidRPr="00B272B9">
        <w:rPr>
          <w:color w:val="000000"/>
          <w:lang w:val="en-US"/>
        </w:rPr>
        <w:t xml:space="preserve"> </w:t>
      </w:r>
      <w:proofErr w:type="spellStart"/>
      <w:r w:rsidRPr="00B272B9">
        <w:rPr>
          <w:color w:val="000000"/>
          <w:lang w:val="en-US"/>
        </w:rPr>
        <w:t>levobupiva</w:t>
      </w:r>
      <w:r>
        <w:rPr>
          <w:color w:val="000000"/>
          <w:lang w:val="en-US"/>
        </w:rPr>
        <w:t>k</w:t>
      </w:r>
      <w:r w:rsidRPr="00B272B9">
        <w:rPr>
          <w:color w:val="000000"/>
          <w:lang w:val="en-US"/>
        </w:rPr>
        <w:t>ain</w:t>
      </w:r>
      <w:proofErr w:type="spellEnd"/>
      <w:r w:rsidRPr="00B272B9">
        <w:rPr>
          <w:color w:val="000000"/>
          <w:lang w:val="en-US"/>
        </w:rPr>
        <w:t xml:space="preserve"> </w:t>
      </w:r>
      <w:proofErr w:type="spellStart"/>
      <w:r w:rsidRPr="00B272B9">
        <w:rPr>
          <w:color w:val="000000"/>
          <w:lang w:val="en-US"/>
        </w:rPr>
        <w:t>isobarik</w:t>
      </w:r>
      <w:proofErr w:type="spellEnd"/>
      <w:r w:rsidRPr="00B272B9">
        <w:rPr>
          <w:color w:val="000000"/>
          <w:lang w:val="en-US"/>
        </w:rPr>
        <w:t xml:space="preserve"> terhadap </w:t>
      </w:r>
      <w:proofErr w:type="spellStart"/>
      <w:r w:rsidRPr="00B272B9">
        <w:rPr>
          <w:color w:val="000000"/>
          <w:lang w:val="en-US"/>
        </w:rPr>
        <w:t>intensitas</w:t>
      </w:r>
      <w:proofErr w:type="spellEnd"/>
      <w:r w:rsidRPr="00B272B9">
        <w:rPr>
          <w:color w:val="000000"/>
          <w:lang w:val="en-US"/>
        </w:rPr>
        <w:t xml:space="preserve"> </w:t>
      </w:r>
      <w:proofErr w:type="spellStart"/>
      <w:r w:rsidRPr="00B272B9">
        <w:rPr>
          <w:color w:val="000000"/>
          <w:lang w:val="en-US"/>
        </w:rPr>
        <w:t>nyeri</w:t>
      </w:r>
      <w:proofErr w:type="spellEnd"/>
      <w:r w:rsidRPr="00B272B9">
        <w:rPr>
          <w:color w:val="000000"/>
          <w:lang w:val="en-US"/>
        </w:rPr>
        <w:t xml:space="preserve"> dan </w:t>
      </w:r>
      <w:proofErr w:type="spellStart"/>
      <w:r w:rsidRPr="00B272B9">
        <w:rPr>
          <w:color w:val="000000"/>
          <w:lang w:val="en-US"/>
        </w:rPr>
        <w:t>kadar</w:t>
      </w:r>
      <w:proofErr w:type="spellEnd"/>
      <w:r w:rsidRPr="00B272B9">
        <w:rPr>
          <w:color w:val="000000"/>
          <w:lang w:val="en-US"/>
        </w:rPr>
        <w:t xml:space="preserve"> interleukin 6 </w:t>
      </w:r>
      <w:proofErr w:type="spellStart"/>
      <w:r w:rsidRPr="00B272B9">
        <w:rPr>
          <w:color w:val="000000"/>
          <w:lang w:val="en-US"/>
        </w:rPr>
        <w:t>pascatonsilektomi</w:t>
      </w:r>
      <w:proofErr w:type="spellEnd"/>
      <w:r w:rsidRPr="00B272B9">
        <w:rPr>
          <w:color w:val="000000"/>
          <w:lang w:val="en-US"/>
        </w:rPr>
        <w:t>.</w:t>
      </w:r>
      <w:r>
        <w:rPr>
          <w:color w:val="000000"/>
          <w:lang w:val="en-US"/>
        </w:rPr>
        <w:t xml:space="preserve"> </w:t>
      </w:r>
      <w:proofErr w:type="spellStart"/>
      <w:r w:rsidRPr="00B272B9">
        <w:rPr>
          <w:color w:val="000000"/>
          <w:lang w:val="en-US"/>
        </w:rPr>
        <w:t>Penelitian</w:t>
      </w:r>
      <w:proofErr w:type="spellEnd"/>
      <w:r w:rsidRPr="00B272B9">
        <w:rPr>
          <w:color w:val="000000"/>
          <w:lang w:val="en-US"/>
        </w:rPr>
        <w:t xml:space="preserve"> ini </w:t>
      </w:r>
      <w:proofErr w:type="spellStart"/>
      <w:r w:rsidRPr="00B272B9">
        <w:rPr>
          <w:color w:val="000000"/>
          <w:lang w:val="en-US"/>
        </w:rPr>
        <w:t>merupakan</w:t>
      </w:r>
      <w:proofErr w:type="spellEnd"/>
      <w:r w:rsidRPr="00B272B9">
        <w:rPr>
          <w:color w:val="000000"/>
          <w:lang w:val="en-US"/>
        </w:rPr>
        <w:t xml:space="preserve"> </w:t>
      </w:r>
      <w:proofErr w:type="spellStart"/>
      <w:r w:rsidRPr="00B272B9">
        <w:rPr>
          <w:color w:val="000000"/>
          <w:lang w:val="en-US"/>
        </w:rPr>
        <w:t>penelitian</w:t>
      </w:r>
      <w:proofErr w:type="spellEnd"/>
      <w:r w:rsidRPr="00B272B9">
        <w:rPr>
          <w:color w:val="000000"/>
          <w:lang w:val="en-US"/>
        </w:rPr>
        <w:t xml:space="preserve"> </w:t>
      </w:r>
      <w:proofErr w:type="spellStart"/>
      <w:r w:rsidRPr="00B272B9">
        <w:rPr>
          <w:color w:val="000000"/>
          <w:lang w:val="en-US"/>
        </w:rPr>
        <w:t>eksperimental</w:t>
      </w:r>
      <w:proofErr w:type="spellEnd"/>
      <w:r w:rsidRPr="00B272B9">
        <w:rPr>
          <w:color w:val="000000"/>
          <w:lang w:val="en-US"/>
        </w:rPr>
        <w:t xml:space="preserve"> dengan </w:t>
      </w:r>
      <w:proofErr w:type="spellStart"/>
      <w:r w:rsidRPr="00B272B9">
        <w:rPr>
          <w:color w:val="000000"/>
          <w:lang w:val="en-US"/>
        </w:rPr>
        <w:t>desain</w:t>
      </w:r>
      <w:proofErr w:type="spellEnd"/>
      <w:r w:rsidRPr="00B272B9">
        <w:rPr>
          <w:color w:val="000000"/>
          <w:lang w:val="en-US"/>
        </w:rPr>
        <w:t xml:space="preserve"> uji klinis </w:t>
      </w:r>
      <w:proofErr w:type="spellStart"/>
      <w:r w:rsidRPr="00B272B9">
        <w:rPr>
          <w:color w:val="000000"/>
          <w:lang w:val="en-US"/>
        </w:rPr>
        <w:t>acak</w:t>
      </w:r>
      <w:proofErr w:type="spellEnd"/>
      <w:r w:rsidRPr="00B272B9">
        <w:rPr>
          <w:color w:val="000000"/>
          <w:lang w:val="en-US"/>
        </w:rPr>
        <w:t xml:space="preserve"> </w:t>
      </w:r>
      <w:proofErr w:type="spellStart"/>
      <w:r w:rsidRPr="00B272B9">
        <w:rPr>
          <w:color w:val="000000"/>
          <w:lang w:val="en-US"/>
        </w:rPr>
        <w:t>tersamar</w:t>
      </w:r>
      <w:proofErr w:type="spellEnd"/>
      <w:r w:rsidRPr="00B272B9">
        <w:rPr>
          <w:color w:val="000000"/>
          <w:lang w:val="en-US"/>
        </w:rPr>
        <w:t xml:space="preserve"> </w:t>
      </w:r>
      <w:proofErr w:type="spellStart"/>
      <w:r w:rsidRPr="00B272B9">
        <w:rPr>
          <w:color w:val="000000"/>
          <w:lang w:val="en-US"/>
        </w:rPr>
        <w:t>tunggal</w:t>
      </w:r>
      <w:proofErr w:type="spellEnd"/>
      <w:r w:rsidRPr="00B272B9">
        <w:rPr>
          <w:color w:val="000000"/>
          <w:lang w:val="en-US"/>
        </w:rPr>
        <w:t xml:space="preserve"> yang </w:t>
      </w:r>
      <w:proofErr w:type="spellStart"/>
      <w:r w:rsidRPr="00B272B9">
        <w:rPr>
          <w:color w:val="000000"/>
          <w:lang w:val="en-US"/>
        </w:rPr>
        <w:t>dilakukan</w:t>
      </w:r>
      <w:proofErr w:type="spellEnd"/>
      <w:r w:rsidRPr="00B272B9">
        <w:rPr>
          <w:color w:val="000000"/>
          <w:lang w:val="en-US"/>
        </w:rPr>
        <w:t xml:space="preserve"> di RS</w:t>
      </w:r>
      <w:r>
        <w:rPr>
          <w:color w:val="000000"/>
          <w:lang w:val="en-US"/>
        </w:rPr>
        <w:t>PTN Universitas Hasanuddin</w:t>
      </w:r>
      <w:r w:rsidRPr="00B272B9">
        <w:rPr>
          <w:color w:val="000000"/>
          <w:lang w:val="en-US"/>
        </w:rPr>
        <w:t xml:space="preserve"> dan RS </w:t>
      </w:r>
      <w:proofErr w:type="spellStart"/>
      <w:r w:rsidRPr="00B272B9">
        <w:rPr>
          <w:color w:val="000000"/>
          <w:lang w:val="en-US"/>
        </w:rPr>
        <w:t>jejaring</w:t>
      </w:r>
      <w:proofErr w:type="spellEnd"/>
      <w:r w:rsidRPr="00B272B9">
        <w:rPr>
          <w:color w:val="000000"/>
          <w:lang w:val="en-US"/>
        </w:rPr>
        <w:t xml:space="preserve"> </w:t>
      </w:r>
      <w:proofErr w:type="spellStart"/>
      <w:r w:rsidRPr="00B272B9">
        <w:rPr>
          <w:color w:val="000000"/>
          <w:lang w:val="en-US"/>
        </w:rPr>
        <w:t>pendidikan</w:t>
      </w:r>
      <w:proofErr w:type="spellEnd"/>
      <w:r>
        <w:rPr>
          <w:color w:val="000000"/>
          <w:lang w:val="en-US"/>
        </w:rPr>
        <w:t xml:space="preserve"> pada </w:t>
      </w:r>
      <w:proofErr w:type="spellStart"/>
      <w:r>
        <w:rPr>
          <w:color w:val="000000"/>
          <w:lang w:val="en-US"/>
        </w:rPr>
        <w:t>bulan</w:t>
      </w:r>
      <w:proofErr w:type="spellEnd"/>
      <w:r>
        <w:rPr>
          <w:color w:val="000000"/>
          <w:lang w:val="en-US"/>
        </w:rPr>
        <w:t xml:space="preserve"> </w:t>
      </w:r>
      <w:proofErr w:type="spellStart"/>
      <w:r>
        <w:rPr>
          <w:color w:val="000000"/>
          <w:lang w:val="en-US"/>
        </w:rPr>
        <w:t>Desember</w:t>
      </w:r>
      <w:proofErr w:type="spellEnd"/>
      <w:r>
        <w:rPr>
          <w:color w:val="000000"/>
          <w:lang w:val="en-US"/>
        </w:rPr>
        <w:t xml:space="preserve"> 2023 – Januari 2024</w:t>
      </w:r>
      <w:r w:rsidRPr="00B272B9">
        <w:rPr>
          <w:color w:val="000000"/>
          <w:lang w:val="en-US"/>
        </w:rPr>
        <w:t xml:space="preserve">. Pasien </w:t>
      </w:r>
      <w:proofErr w:type="spellStart"/>
      <w:r w:rsidRPr="00B272B9">
        <w:rPr>
          <w:color w:val="000000"/>
          <w:lang w:val="en-US"/>
        </w:rPr>
        <w:t>dibagi</w:t>
      </w:r>
      <w:proofErr w:type="spellEnd"/>
      <w:r w:rsidRPr="00B272B9">
        <w:rPr>
          <w:color w:val="000000"/>
          <w:lang w:val="en-US"/>
        </w:rPr>
        <w:t xml:space="preserve"> </w:t>
      </w:r>
      <w:proofErr w:type="spellStart"/>
      <w:r w:rsidRPr="00B272B9">
        <w:rPr>
          <w:color w:val="000000"/>
          <w:lang w:val="en-US"/>
        </w:rPr>
        <w:t>secara</w:t>
      </w:r>
      <w:proofErr w:type="spellEnd"/>
      <w:r w:rsidRPr="00B272B9">
        <w:rPr>
          <w:color w:val="000000"/>
          <w:lang w:val="en-US"/>
        </w:rPr>
        <w:t xml:space="preserve"> </w:t>
      </w:r>
      <w:proofErr w:type="spellStart"/>
      <w:r w:rsidRPr="00B272B9">
        <w:rPr>
          <w:color w:val="000000"/>
          <w:lang w:val="en-US"/>
        </w:rPr>
        <w:t>acak</w:t>
      </w:r>
      <w:proofErr w:type="spellEnd"/>
      <w:r w:rsidRPr="00B272B9">
        <w:rPr>
          <w:color w:val="000000"/>
          <w:lang w:val="en-US"/>
        </w:rPr>
        <w:t xml:space="preserve"> </w:t>
      </w:r>
      <w:r>
        <w:rPr>
          <w:color w:val="000000"/>
          <w:lang w:val="en-US"/>
        </w:rPr>
        <w:t>dalam</w:t>
      </w:r>
      <w:r w:rsidRPr="00B272B9">
        <w:rPr>
          <w:color w:val="000000"/>
          <w:lang w:val="en-US"/>
        </w:rPr>
        <w:t xml:space="preserve"> dua </w:t>
      </w:r>
      <w:proofErr w:type="spellStart"/>
      <w:r w:rsidRPr="00B272B9">
        <w:rPr>
          <w:color w:val="000000"/>
          <w:lang w:val="en-US"/>
        </w:rPr>
        <w:t>kelompok</w:t>
      </w:r>
      <w:proofErr w:type="spellEnd"/>
      <w:r w:rsidRPr="00B272B9">
        <w:rPr>
          <w:color w:val="000000"/>
          <w:lang w:val="en-US"/>
        </w:rPr>
        <w:t xml:space="preserve">: </w:t>
      </w:r>
      <w:proofErr w:type="spellStart"/>
      <w:r w:rsidRPr="00B272B9">
        <w:rPr>
          <w:color w:val="000000"/>
          <w:lang w:val="en-US"/>
        </w:rPr>
        <w:t>intervensi</w:t>
      </w:r>
      <w:proofErr w:type="spellEnd"/>
      <w:r w:rsidRPr="00B272B9">
        <w:rPr>
          <w:color w:val="000000"/>
          <w:lang w:val="en-US"/>
        </w:rPr>
        <w:t xml:space="preserve"> (</w:t>
      </w:r>
      <w:proofErr w:type="spellStart"/>
      <w:r w:rsidRPr="00B272B9">
        <w:rPr>
          <w:color w:val="000000"/>
          <w:lang w:val="en-US"/>
        </w:rPr>
        <w:t>diberikan</w:t>
      </w:r>
      <w:proofErr w:type="spellEnd"/>
      <w:r w:rsidRPr="00B272B9">
        <w:rPr>
          <w:color w:val="000000"/>
          <w:lang w:val="en-US"/>
        </w:rPr>
        <w:t xml:space="preserve"> </w:t>
      </w:r>
      <w:proofErr w:type="spellStart"/>
      <w:r w:rsidRPr="00B272B9">
        <w:rPr>
          <w:color w:val="000000"/>
          <w:lang w:val="en-US"/>
        </w:rPr>
        <w:t>levobupiva</w:t>
      </w:r>
      <w:r>
        <w:rPr>
          <w:color w:val="000000"/>
          <w:lang w:val="en-US"/>
        </w:rPr>
        <w:t>k</w:t>
      </w:r>
      <w:r w:rsidRPr="00B272B9">
        <w:rPr>
          <w:color w:val="000000"/>
          <w:lang w:val="en-US"/>
        </w:rPr>
        <w:t>ain</w:t>
      </w:r>
      <w:proofErr w:type="spellEnd"/>
      <w:r w:rsidRPr="00B272B9">
        <w:rPr>
          <w:color w:val="000000"/>
          <w:lang w:val="en-US"/>
        </w:rPr>
        <w:t xml:space="preserve"> </w:t>
      </w:r>
      <w:proofErr w:type="spellStart"/>
      <w:r w:rsidRPr="00B272B9">
        <w:rPr>
          <w:color w:val="000000"/>
          <w:lang w:val="en-US"/>
        </w:rPr>
        <w:t>isobarik</w:t>
      </w:r>
      <w:proofErr w:type="spellEnd"/>
      <w:r w:rsidRPr="00B272B9">
        <w:rPr>
          <w:color w:val="000000"/>
          <w:lang w:val="en-US"/>
        </w:rPr>
        <w:t xml:space="preserve"> </w:t>
      </w:r>
      <w:proofErr w:type="spellStart"/>
      <w:r w:rsidRPr="00B272B9">
        <w:rPr>
          <w:color w:val="000000"/>
          <w:lang w:val="en-US"/>
        </w:rPr>
        <w:t>pascabedah</w:t>
      </w:r>
      <w:proofErr w:type="spellEnd"/>
      <w:r w:rsidRPr="00B272B9">
        <w:rPr>
          <w:color w:val="000000"/>
          <w:lang w:val="en-US"/>
        </w:rPr>
        <w:t xml:space="preserve">) dan </w:t>
      </w:r>
      <w:proofErr w:type="spellStart"/>
      <w:r w:rsidRPr="00B272B9">
        <w:rPr>
          <w:color w:val="000000"/>
          <w:lang w:val="en-US"/>
        </w:rPr>
        <w:t>kontrol</w:t>
      </w:r>
      <w:proofErr w:type="spellEnd"/>
      <w:r w:rsidRPr="00B272B9">
        <w:rPr>
          <w:color w:val="000000"/>
          <w:lang w:val="en-US"/>
        </w:rPr>
        <w:t xml:space="preserve">. </w:t>
      </w:r>
      <w:r w:rsidRPr="00F426C1">
        <w:rPr>
          <w:color w:val="000000"/>
          <w:lang w:val="pt-BR"/>
        </w:rPr>
        <w:t>Intensitas nyeri, jumlah opioid, dan efek samping pada 4, 8, 12, 24 jam pascabedah dievaluasi. Pemeriksaan IL-6 dilakukan sebelum pembedahan dan 12 jam pascabedah.Total 30 pasien diikutkan dengan 15 pasien pada tiap kelompok. Intensitas nyeri pada kelompok kontrol lebih tinggi secara signifikan pada kelompok intervensi pascabedah tonsilektomi pada 2, 4, 6, hingga 8 jam pascabedah (P&lt;0,05). Perubahan kadar IL-6 juga berbeda secara signifikan pascabedah (p = 0,033), dimana kelompok kontrol (74,56 ± 33,79) mengalami kenaikan yang lebih tinggi dibanding kelompok intervensi (44,67 ± 45,44).Didapatkan bahwa levobupivakain isobarik dapat menurunkan intensitas nyeri dan kadar IL-6 pascatonsilektomi.</w:t>
      </w:r>
    </w:p>
    <w:p w14:paraId="3FCC8C98" w14:textId="77777777" w:rsidR="006B6A79" w:rsidRPr="00F426C1" w:rsidRDefault="006B6A79" w:rsidP="006B6A79">
      <w:pPr>
        <w:tabs>
          <w:tab w:val="left" w:pos="450"/>
        </w:tabs>
        <w:suppressAutoHyphens/>
        <w:autoSpaceDE w:val="0"/>
        <w:autoSpaceDN w:val="0"/>
        <w:adjustRightInd w:val="0"/>
        <w:jc w:val="both"/>
        <w:textAlignment w:val="center"/>
        <w:rPr>
          <w:color w:val="000000"/>
          <w:lang w:val="pt-BR"/>
        </w:rPr>
      </w:pPr>
    </w:p>
    <w:p w14:paraId="253A6D66" w14:textId="77777777" w:rsidR="006B6A79" w:rsidRPr="00F426C1" w:rsidRDefault="006B6A79" w:rsidP="006B6A79">
      <w:pPr>
        <w:tabs>
          <w:tab w:val="left" w:pos="450"/>
        </w:tabs>
        <w:suppressAutoHyphens/>
        <w:autoSpaceDE w:val="0"/>
        <w:autoSpaceDN w:val="0"/>
        <w:adjustRightInd w:val="0"/>
        <w:textAlignment w:val="center"/>
        <w:rPr>
          <w:i/>
          <w:iCs/>
          <w:color w:val="000000"/>
          <w:lang w:val="pt-BR"/>
        </w:rPr>
      </w:pPr>
      <w:r w:rsidRPr="00F426C1">
        <w:rPr>
          <w:b/>
          <w:bCs/>
          <w:color w:val="000000"/>
          <w:lang w:val="pt-BR"/>
        </w:rPr>
        <w:t xml:space="preserve">Kata kunci: </w:t>
      </w:r>
      <w:r w:rsidRPr="00F426C1">
        <w:rPr>
          <w:color w:val="000000"/>
          <w:lang w:val="pt-BR"/>
        </w:rPr>
        <w:t>Interleukin-6; Levobupivakain; Nyeri; Tonsilektomi</w:t>
      </w:r>
    </w:p>
    <w:p w14:paraId="4D83B526" w14:textId="77777777" w:rsidR="006B6A79" w:rsidRPr="00F426C1" w:rsidRDefault="006B6A79" w:rsidP="006B6A79">
      <w:pPr>
        <w:tabs>
          <w:tab w:val="left" w:pos="450"/>
        </w:tabs>
        <w:suppressAutoHyphens/>
        <w:autoSpaceDE w:val="0"/>
        <w:autoSpaceDN w:val="0"/>
        <w:adjustRightInd w:val="0"/>
        <w:textAlignment w:val="center"/>
        <w:rPr>
          <w:color w:val="000000"/>
          <w:lang w:val="pt-BR"/>
        </w:rPr>
      </w:pPr>
    </w:p>
    <w:p w14:paraId="50C95D80" w14:textId="77777777" w:rsidR="006B6A79" w:rsidRDefault="006B6A79" w:rsidP="006B6A79">
      <w:pPr>
        <w:rPr>
          <w:b/>
          <w:bCs/>
          <w:color w:val="000000"/>
          <w:sz w:val="28"/>
        </w:rPr>
      </w:pPr>
      <w:r>
        <w:rPr>
          <w:b/>
          <w:bCs/>
          <w:color w:val="000000"/>
          <w:sz w:val="28"/>
        </w:rPr>
        <w:br w:type="page"/>
      </w:r>
    </w:p>
    <w:p w14:paraId="5814EA84" w14:textId="77777777" w:rsidR="006B6A79" w:rsidRPr="008F1C46" w:rsidRDefault="006B6A79" w:rsidP="006B6A79">
      <w:pPr>
        <w:tabs>
          <w:tab w:val="left" w:pos="450"/>
        </w:tabs>
        <w:jc w:val="center"/>
        <w:rPr>
          <w:b/>
          <w:bCs/>
          <w:color w:val="000000"/>
          <w:sz w:val="28"/>
        </w:rPr>
      </w:pPr>
      <w:r w:rsidRPr="008F1C46">
        <w:rPr>
          <w:b/>
          <w:bCs/>
          <w:color w:val="000000"/>
          <w:sz w:val="28"/>
        </w:rPr>
        <w:lastRenderedPageBreak/>
        <w:t>The Effect of Levobupivacaine Isobaric Peritonsillar Block 0.125% on Pain Intensity and Interleukin 6 Level</w:t>
      </w:r>
      <w:r w:rsidRPr="008F1C46">
        <w:rPr>
          <w:b/>
          <w:bCs/>
          <w:color w:val="000000"/>
          <w:sz w:val="28"/>
          <w:lang w:val="en-US"/>
        </w:rPr>
        <w:t xml:space="preserve"> </w:t>
      </w:r>
      <w:r w:rsidRPr="008F1C46">
        <w:rPr>
          <w:b/>
          <w:bCs/>
          <w:color w:val="000000"/>
          <w:sz w:val="28"/>
        </w:rPr>
        <w:t>in Post-Tonsillectomy Surgery</w:t>
      </w:r>
    </w:p>
    <w:p w14:paraId="35759CD3" w14:textId="77777777" w:rsidR="006B6A79" w:rsidRPr="00381D26" w:rsidRDefault="006B6A79" w:rsidP="006B6A79">
      <w:pPr>
        <w:tabs>
          <w:tab w:val="left" w:pos="450"/>
        </w:tabs>
        <w:suppressAutoHyphens/>
        <w:autoSpaceDE w:val="0"/>
        <w:autoSpaceDN w:val="0"/>
        <w:adjustRightInd w:val="0"/>
        <w:jc w:val="center"/>
        <w:textAlignment w:val="center"/>
        <w:rPr>
          <w:b/>
          <w:bCs/>
          <w:color w:val="000000"/>
          <w:sz w:val="28"/>
        </w:rPr>
      </w:pPr>
    </w:p>
    <w:p w14:paraId="7C0E2071" w14:textId="77777777" w:rsidR="006B6A79" w:rsidRPr="00EA18F5" w:rsidRDefault="006B6A79" w:rsidP="006B6A79">
      <w:pPr>
        <w:tabs>
          <w:tab w:val="left" w:pos="450"/>
        </w:tabs>
        <w:suppressAutoHyphens/>
        <w:autoSpaceDE w:val="0"/>
        <w:autoSpaceDN w:val="0"/>
        <w:adjustRightInd w:val="0"/>
        <w:textAlignment w:val="center"/>
        <w:rPr>
          <w:color w:val="000000"/>
          <w:lang w:val="en-US"/>
        </w:rPr>
      </w:pPr>
    </w:p>
    <w:p w14:paraId="44FF8E6E" w14:textId="77777777" w:rsidR="006B6A79" w:rsidRPr="00EA18F5" w:rsidRDefault="006B6A79" w:rsidP="006B6A79">
      <w:pPr>
        <w:tabs>
          <w:tab w:val="left" w:pos="450"/>
        </w:tabs>
        <w:suppressAutoHyphens/>
        <w:autoSpaceDE w:val="0"/>
        <w:autoSpaceDN w:val="0"/>
        <w:adjustRightInd w:val="0"/>
        <w:textAlignment w:val="center"/>
        <w:rPr>
          <w:b/>
          <w:bCs/>
          <w:color w:val="000000"/>
          <w:lang w:val="en-US"/>
        </w:rPr>
      </w:pPr>
      <w:r w:rsidRPr="00EA18F5">
        <w:rPr>
          <w:b/>
          <w:bCs/>
          <w:color w:val="000000"/>
          <w:lang w:val="en-US"/>
        </w:rPr>
        <w:t>Abstract</w:t>
      </w:r>
    </w:p>
    <w:p w14:paraId="1B07E3B6" w14:textId="77777777" w:rsidR="006B6A79" w:rsidRPr="00EA18F5" w:rsidRDefault="006B6A79" w:rsidP="006B6A79">
      <w:pPr>
        <w:tabs>
          <w:tab w:val="left" w:pos="450"/>
        </w:tabs>
        <w:suppressAutoHyphens/>
        <w:autoSpaceDE w:val="0"/>
        <w:autoSpaceDN w:val="0"/>
        <w:adjustRightInd w:val="0"/>
        <w:textAlignment w:val="center"/>
        <w:rPr>
          <w:b/>
          <w:bCs/>
          <w:color w:val="000000"/>
          <w:lang w:val="en-US"/>
        </w:rPr>
      </w:pPr>
    </w:p>
    <w:p w14:paraId="18B7771D" w14:textId="77777777" w:rsidR="006B6A79" w:rsidRDefault="006B6A79" w:rsidP="006B6A79">
      <w:pPr>
        <w:tabs>
          <w:tab w:val="left" w:pos="450"/>
        </w:tabs>
        <w:suppressAutoHyphens/>
        <w:autoSpaceDE w:val="0"/>
        <w:autoSpaceDN w:val="0"/>
        <w:adjustRightInd w:val="0"/>
        <w:jc w:val="both"/>
        <w:textAlignment w:val="center"/>
        <w:rPr>
          <w:color w:val="000000"/>
          <w:lang w:val="en-US"/>
        </w:rPr>
      </w:pPr>
      <w:r w:rsidRPr="00B272B9">
        <w:rPr>
          <w:color w:val="000000"/>
          <w:lang w:val="en-US"/>
        </w:rPr>
        <w:t>Post</w:t>
      </w:r>
      <w:r>
        <w:rPr>
          <w:color w:val="000000"/>
          <w:lang w:val="en-US"/>
        </w:rPr>
        <w:t>-</w:t>
      </w:r>
      <w:r w:rsidRPr="00B272B9">
        <w:rPr>
          <w:color w:val="000000"/>
          <w:lang w:val="en-US"/>
        </w:rPr>
        <w:t xml:space="preserve">tonsillectomy pain affects many aspects of the patient. </w:t>
      </w:r>
      <w:r>
        <w:rPr>
          <w:color w:val="000000"/>
          <w:lang w:val="en-US"/>
        </w:rPr>
        <w:t>It’s</w:t>
      </w:r>
      <w:r w:rsidRPr="00B272B9">
        <w:rPr>
          <w:color w:val="000000"/>
          <w:lang w:val="en-US"/>
        </w:rPr>
        <w:t xml:space="preserve"> reported that there </w:t>
      </w:r>
      <w:proofErr w:type="gramStart"/>
      <w:r w:rsidRPr="00B272B9">
        <w:rPr>
          <w:color w:val="000000"/>
          <w:lang w:val="en-US"/>
        </w:rPr>
        <w:t>is  relationship</w:t>
      </w:r>
      <w:proofErr w:type="gramEnd"/>
      <w:r w:rsidRPr="00B272B9">
        <w:rPr>
          <w:color w:val="000000"/>
          <w:lang w:val="en-US"/>
        </w:rPr>
        <w:t xml:space="preserve"> between pain intensity and interleukin (IL)-6 level, which is associated with inflammation. Levobupivacaine is high-potency, long-acting local anesthetic </w:t>
      </w:r>
      <w:proofErr w:type="gramStart"/>
      <w:r w:rsidRPr="00B272B9">
        <w:rPr>
          <w:color w:val="000000"/>
          <w:lang w:val="en-US"/>
        </w:rPr>
        <w:t>with  relatively</w:t>
      </w:r>
      <w:proofErr w:type="gramEnd"/>
      <w:r w:rsidRPr="00B272B9">
        <w:rPr>
          <w:color w:val="000000"/>
          <w:lang w:val="en-US"/>
        </w:rPr>
        <w:t xml:space="preserve"> slow onset of action.</w:t>
      </w:r>
      <w:r>
        <w:rPr>
          <w:color w:val="000000"/>
          <w:lang w:val="en-US"/>
        </w:rPr>
        <w:t xml:space="preserve"> This study aims to</w:t>
      </w:r>
      <w:r w:rsidRPr="00B272B9">
        <w:rPr>
          <w:color w:val="000000"/>
          <w:lang w:val="en-US"/>
        </w:rPr>
        <w:t xml:space="preserve"> determine the effect of isobaric levobupivacaine peritonsillar block on pain intensity and interleukin 6 levels </w:t>
      </w:r>
      <w:r>
        <w:rPr>
          <w:color w:val="000000"/>
          <w:lang w:val="en-US"/>
        </w:rPr>
        <w:t xml:space="preserve">after </w:t>
      </w:r>
      <w:r w:rsidRPr="00B272B9">
        <w:rPr>
          <w:color w:val="000000"/>
          <w:lang w:val="en-US"/>
        </w:rPr>
        <w:t>tonsillectomy.</w:t>
      </w:r>
      <w:r>
        <w:rPr>
          <w:color w:val="000000"/>
          <w:lang w:val="en-US"/>
        </w:rPr>
        <w:t xml:space="preserve"> A </w:t>
      </w:r>
      <w:r w:rsidRPr="00B272B9">
        <w:rPr>
          <w:color w:val="000000"/>
          <w:lang w:val="en-US"/>
        </w:rPr>
        <w:t>randomized</w:t>
      </w:r>
      <w:r>
        <w:rPr>
          <w:color w:val="000000"/>
          <w:lang w:val="en-US"/>
        </w:rPr>
        <w:t xml:space="preserve">, </w:t>
      </w:r>
      <w:r w:rsidRPr="00B272B9">
        <w:rPr>
          <w:color w:val="000000"/>
          <w:lang w:val="en-US"/>
        </w:rPr>
        <w:t>single-blind</w:t>
      </w:r>
      <w:r>
        <w:rPr>
          <w:color w:val="000000"/>
          <w:lang w:val="en-US"/>
        </w:rPr>
        <w:t>ed</w:t>
      </w:r>
      <w:r w:rsidRPr="00B272B9">
        <w:rPr>
          <w:color w:val="000000"/>
          <w:lang w:val="en-US"/>
        </w:rPr>
        <w:t xml:space="preserve">, clinical trial </w:t>
      </w:r>
      <w:r>
        <w:rPr>
          <w:color w:val="000000"/>
          <w:lang w:val="en-US"/>
        </w:rPr>
        <w:t>study was</w:t>
      </w:r>
      <w:r w:rsidRPr="00B272B9">
        <w:rPr>
          <w:color w:val="000000"/>
          <w:lang w:val="en-US"/>
        </w:rPr>
        <w:t xml:space="preserve"> conducted at </w:t>
      </w:r>
      <w:r>
        <w:rPr>
          <w:color w:val="000000"/>
          <w:lang w:val="en-US"/>
        </w:rPr>
        <w:t>Universitas Hasanuddin</w:t>
      </w:r>
      <w:r w:rsidRPr="00B272B9">
        <w:rPr>
          <w:color w:val="000000"/>
          <w:lang w:val="en-US"/>
        </w:rPr>
        <w:t xml:space="preserve"> General Hospital and network hospitals</w:t>
      </w:r>
      <w:r>
        <w:rPr>
          <w:color w:val="000000"/>
          <w:lang w:val="en-US"/>
        </w:rPr>
        <w:t xml:space="preserve"> from </w:t>
      </w:r>
      <w:proofErr w:type="spellStart"/>
      <w:r>
        <w:rPr>
          <w:color w:val="000000"/>
          <w:lang w:val="en-US"/>
        </w:rPr>
        <w:t>Desember</w:t>
      </w:r>
      <w:proofErr w:type="spellEnd"/>
      <w:r>
        <w:rPr>
          <w:color w:val="000000"/>
          <w:lang w:val="en-US"/>
        </w:rPr>
        <w:t xml:space="preserve"> 2023 – January 2024</w:t>
      </w:r>
      <w:r w:rsidRPr="00B272B9">
        <w:rPr>
          <w:color w:val="000000"/>
          <w:lang w:val="en-US"/>
        </w:rPr>
        <w:t>. Patients were randomly divided into two groups: intervention (given postoperative isobaric levobupivacaine) and control. Pain intensity, opioid</w:t>
      </w:r>
      <w:r>
        <w:rPr>
          <w:color w:val="000000"/>
          <w:lang w:val="en-US"/>
        </w:rPr>
        <w:t xml:space="preserve"> </w:t>
      </w:r>
      <w:proofErr w:type="spellStart"/>
      <w:r>
        <w:rPr>
          <w:color w:val="000000"/>
          <w:lang w:val="en-US"/>
        </w:rPr>
        <w:t>resque</w:t>
      </w:r>
      <w:proofErr w:type="spellEnd"/>
      <w:r w:rsidRPr="00B272B9">
        <w:rPr>
          <w:color w:val="000000"/>
          <w:lang w:val="en-US"/>
        </w:rPr>
        <w:t>, and side effects at 4, 8, 12, 24 hours after surgery were evaluated. IL-6 examination was carried out before surgery and 12 hours after surgery.</w:t>
      </w:r>
      <w:r>
        <w:rPr>
          <w:color w:val="000000"/>
          <w:lang w:val="en-US"/>
        </w:rPr>
        <w:t xml:space="preserve"> Thirty</w:t>
      </w:r>
      <w:r w:rsidRPr="00B272B9">
        <w:rPr>
          <w:color w:val="000000"/>
          <w:lang w:val="en-US"/>
        </w:rPr>
        <w:t xml:space="preserve"> patients were included with 15 patients in each group. Pain intensity in the control group was significantly higher in the intervention group after tonsillectomy surgery at 2, 4, 6, to 8 hours after surgery (P&lt;0.05). Changes in IL-6 levels were also significantly different after surgery (p = 0.033), where the control group (74.56 ± 33.79) experienced a higher increase than the intervention group (44.67 ± 45.44).</w:t>
      </w:r>
    </w:p>
    <w:p w14:paraId="51615DA3" w14:textId="77777777" w:rsidR="006B6A79" w:rsidRPr="00EA18F5" w:rsidRDefault="006B6A79" w:rsidP="006B6A79">
      <w:pPr>
        <w:tabs>
          <w:tab w:val="left" w:pos="450"/>
        </w:tabs>
        <w:suppressAutoHyphens/>
        <w:autoSpaceDE w:val="0"/>
        <w:autoSpaceDN w:val="0"/>
        <w:adjustRightInd w:val="0"/>
        <w:jc w:val="both"/>
        <w:textAlignment w:val="center"/>
        <w:rPr>
          <w:b/>
          <w:bCs/>
          <w:i/>
          <w:iCs/>
          <w:color w:val="000000"/>
          <w:lang w:val="en-US"/>
        </w:rPr>
      </w:pPr>
      <w:r>
        <w:rPr>
          <w:color w:val="000000"/>
          <w:lang w:val="en-US"/>
        </w:rPr>
        <w:t>Study found that</w:t>
      </w:r>
      <w:r w:rsidRPr="00B272B9">
        <w:rPr>
          <w:color w:val="000000"/>
        </w:rPr>
        <w:t xml:space="preserve"> </w:t>
      </w:r>
      <w:proofErr w:type="spellStart"/>
      <w:r>
        <w:rPr>
          <w:color w:val="000000"/>
          <w:lang w:val="en-US"/>
        </w:rPr>
        <w:t>i</w:t>
      </w:r>
      <w:proofErr w:type="spellEnd"/>
      <w:r w:rsidRPr="00B272B9">
        <w:rPr>
          <w:color w:val="000000"/>
        </w:rPr>
        <w:t xml:space="preserve">sobaric levobupivacaine can reduce pain intensity and IL-6 levels </w:t>
      </w:r>
      <w:r>
        <w:rPr>
          <w:color w:val="000000"/>
          <w:lang w:val="en-US"/>
        </w:rPr>
        <w:t xml:space="preserve">after </w:t>
      </w:r>
      <w:r w:rsidRPr="00B272B9">
        <w:rPr>
          <w:color w:val="000000"/>
          <w:lang w:val="en-US"/>
        </w:rPr>
        <w:t>tonsillectomy</w:t>
      </w:r>
    </w:p>
    <w:p w14:paraId="1F5228B5" w14:textId="77777777" w:rsidR="006B6A79" w:rsidRPr="00E84AF6" w:rsidRDefault="006B6A79" w:rsidP="006B6A79">
      <w:pPr>
        <w:tabs>
          <w:tab w:val="left" w:pos="450"/>
        </w:tabs>
        <w:suppressAutoHyphens/>
        <w:autoSpaceDE w:val="0"/>
        <w:autoSpaceDN w:val="0"/>
        <w:adjustRightInd w:val="0"/>
        <w:textAlignment w:val="center"/>
        <w:rPr>
          <w:i/>
          <w:iCs/>
          <w:color w:val="000000"/>
          <w:lang w:val="en-US"/>
        </w:rPr>
      </w:pPr>
      <w:r w:rsidRPr="00EA18F5">
        <w:rPr>
          <w:b/>
          <w:bCs/>
          <w:color w:val="000000"/>
          <w:lang w:val="en-US"/>
        </w:rPr>
        <w:t>Key words</w:t>
      </w:r>
      <w:r w:rsidRPr="00EA18F5">
        <w:rPr>
          <w:color w:val="000000"/>
          <w:lang w:val="en-US"/>
        </w:rPr>
        <w:t>:</w:t>
      </w:r>
      <w:r>
        <w:rPr>
          <w:color w:val="000000"/>
          <w:lang w:val="en-US"/>
        </w:rPr>
        <w:t xml:space="preserve"> </w:t>
      </w:r>
      <w:r w:rsidRPr="007F17D9">
        <w:rPr>
          <w:color w:val="000000"/>
          <w:lang w:val="en-US"/>
        </w:rPr>
        <w:t>Interleukin-6; Levobupivacaine; Pain; Tonsillectomy</w:t>
      </w:r>
    </w:p>
    <w:p w14:paraId="2DF07036" w14:textId="77777777" w:rsidR="006B6A79" w:rsidRDefault="006B6A79" w:rsidP="006B6A79">
      <w:pPr>
        <w:tabs>
          <w:tab w:val="left" w:pos="450"/>
        </w:tabs>
        <w:suppressAutoHyphens/>
        <w:autoSpaceDE w:val="0"/>
        <w:autoSpaceDN w:val="0"/>
        <w:adjustRightInd w:val="0"/>
        <w:textAlignment w:val="center"/>
        <w:rPr>
          <w:color w:val="000000"/>
        </w:rPr>
      </w:pPr>
      <w:r>
        <w:rPr>
          <w:color w:val="000000"/>
        </w:rPr>
        <w:br w:type="page"/>
      </w:r>
    </w:p>
    <w:p w14:paraId="44FC1954" w14:textId="77777777" w:rsidR="003B79BC" w:rsidRDefault="00000000">
      <w:pPr>
        <w:pStyle w:val="Heading1"/>
        <w:spacing w:after="0"/>
        <w:rPr>
          <w:sz w:val="24"/>
          <w:szCs w:val="24"/>
          <w:lang w:val="id-ID"/>
        </w:rPr>
      </w:pPr>
      <w:bookmarkStart w:id="3" w:name="_Toc158290219"/>
      <w:r>
        <w:rPr>
          <w:sz w:val="24"/>
          <w:szCs w:val="24"/>
          <w:lang w:val="id-ID"/>
        </w:rPr>
        <w:lastRenderedPageBreak/>
        <w:t>DAFTAR ISI</w:t>
      </w:r>
      <w:bookmarkEnd w:id="3"/>
    </w:p>
    <w:sdt>
      <w:sdtPr>
        <w:rPr>
          <w:rFonts w:ascii="Times New Roman" w:eastAsia="Times New Roman" w:hAnsi="Times New Roman" w:cs="Times New Roman"/>
          <w:color w:val="auto"/>
          <w:sz w:val="24"/>
          <w:szCs w:val="24"/>
          <w:lang w:val="zh-CN"/>
        </w:rPr>
        <w:id w:val="-2030093734"/>
        <w:docPartObj>
          <w:docPartGallery w:val="Table of Contents"/>
          <w:docPartUnique/>
        </w:docPartObj>
      </w:sdtPr>
      <w:sdtEndPr>
        <w:rPr>
          <w:b/>
          <w:bCs/>
        </w:rPr>
      </w:sdtEndPr>
      <w:sdtContent>
        <w:p w14:paraId="16647E50" w14:textId="77777777" w:rsidR="003B79BC" w:rsidRDefault="003B79BC">
          <w:pPr>
            <w:pStyle w:val="TOCHeading1"/>
          </w:pPr>
        </w:p>
        <w:p w14:paraId="5A4985AB" w14:textId="3ABC962F" w:rsidR="006F2657" w:rsidRDefault="00000000">
          <w:pPr>
            <w:pStyle w:val="TOC1"/>
            <w:rPr>
              <w:rFonts w:asciiTheme="minorHAnsi" w:eastAsiaTheme="minorEastAsia" w:hAnsiTheme="minorHAnsi" w:cstheme="minorBidi"/>
              <w:noProof/>
              <w:kern w:val="2"/>
              <w:sz w:val="22"/>
              <w:szCs w:val="22"/>
              <w:lang w:val="id-ID" w:eastAsia="id-ID"/>
              <w14:ligatures w14:val="standardContextual"/>
            </w:rPr>
          </w:pPr>
          <w:r>
            <w:fldChar w:fldCharType="begin"/>
          </w:r>
          <w:r>
            <w:instrText xml:space="preserve"> TOC \o "1-3" \h \z \u </w:instrText>
          </w:r>
          <w:r>
            <w:fldChar w:fldCharType="separate"/>
          </w:r>
          <w:hyperlink w:anchor="_Toc158290219" w:history="1">
            <w:r w:rsidR="006F2657" w:rsidRPr="009334D3">
              <w:rPr>
                <w:rStyle w:val="Hyperlink"/>
                <w:noProof/>
                <w:lang w:val="id-ID"/>
              </w:rPr>
              <w:t>DAFTAR ISI</w:t>
            </w:r>
            <w:r w:rsidR="006F2657">
              <w:rPr>
                <w:noProof/>
                <w:webHidden/>
              </w:rPr>
              <w:tab/>
            </w:r>
            <w:r w:rsidR="006F2657">
              <w:rPr>
                <w:noProof/>
                <w:webHidden/>
              </w:rPr>
              <w:fldChar w:fldCharType="begin"/>
            </w:r>
            <w:r w:rsidR="006F2657">
              <w:rPr>
                <w:noProof/>
                <w:webHidden/>
              </w:rPr>
              <w:instrText xml:space="preserve"> PAGEREF _Toc158290219 \h </w:instrText>
            </w:r>
            <w:r w:rsidR="006F2657">
              <w:rPr>
                <w:noProof/>
                <w:webHidden/>
              </w:rPr>
            </w:r>
            <w:r w:rsidR="006F2657">
              <w:rPr>
                <w:noProof/>
                <w:webHidden/>
              </w:rPr>
              <w:fldChar w:fldCharType="separate"/>
            </w:r>
            <w:r w:rsidR="00D671E3">
              <w:rPr>
                <w:noProof/>
                <w:webHidden/>
              </w:rPr>
              <w:t>ii</w:t>
            </w:r>
            <w:r w:rsidR="006F2657">
              <w:rPr>
                <w:noProof/>
                <w:webHidden/>
              </w:rPr>
              <w:fldChar w:fldCharType="end"/>
            </w:r>
          </w:hyperlink>
        </w:p>
        <w:p w14:paraId="17D1E597" w14:textId="3B9931F3" w:rsidR="006F2657" w:rsidRDefault="00000000">
          <w:pPr>
            <w:pStyle w:val="TOC1"/>
            <w:rPr>
              <w:rFonts w:asciiTheme="minorHAnsi" w:eastAsiaTheme="minorEastAsia" w:hAnsiTheme="minorHAnsi" w:cstheme="minorBidi"/>
              <w:noProof/>
              <w:kern w:val="2"/>
              <w:sz w:val="22"/>
              <w:szCs w:val="22"/>
              <w:lang w:val="id-ID" w:eastAsia="id-ID"/>
              <w14:ligatures w14:val="standardContextual"/>
            </w:rPr>
          </w:pPr>
          <w:hyperlink w:anchor="_Toc158290220" w:history="1">
            <w:r w:rsidR="006F2657" w:rsidRPr="009334D3">
              <w:rPr>
                <w:rStyle w:val="Hyperlink"/>
                <w:noProof/>
              </w:rPr>
              <w:t>BAB I</w:t>
            </w:r>
            <w:r w:rsidR="006F2657">
              <w:rPr>
                <w:noProof/>
                <w:webHidden/>
              </w:rPr>
              <w:tab/>
            </w:r>
          </w:hyperlink>
          <w:hyperlink w:anchor="_Toc158290221" w:history="1">
            <w:r w:rsidR="006F2657" w:rsidRPr="009334D3">
              <w:rPr>
                <w:rStyle w:val="Hyperlink"/>
                <w:noProof/>
              </w:rPr>
              <w:t>PENDAHULUAN</w:t>
            </w:r>
            <w:r w:rsidR="006F2657">
              <w:rPr>
                <w:noProof/>
                <w:webHidden/>
              </w:rPr>
              <w:tab/>
            </w:r>
            <w:r w:rsidR="006F2657">
              <w:rPr>
                <w:noProof/>
                <w:webHidden/>
              </w:rPr>
              <w:fldChar w:fldCharType="begin"/>
            </w:r>
            <w:r w:rsidR="006F2657">
              <w:rPr>
                <w:noProof/>
                <w:webHidden/>
              </w:rPr>
              <w:instrText xml:space="preserve"> PAGEREF _Toc158290221 \h </w:instrText>
            </w:r>
            <w:r w:rsidR="006F2657">
              <w:rPr>
                <w:noProof/>
                <w:webHidden/>
              </w:rPr>
            </w:r>
            <w:r w:rsidR="006F2657">
              <w:rPr>
                <w:noProof/>
                <w:webHidden/>
              </w:rPr>
              <w:fldChar w:fldCharType="separate"/>
            </w:r>
            <w:r w:rsidR="00D671E3">
              <w:rPr>
                <w:noProof/>
                <w:webHidden/>
              </w:rPr>
              <w:t>1</w:t>
            </w:r>
            <w:r w:rsidR="006F2657">
              <w:rPr>
                <w:noProof/>
                <w:webHidden/>
              </w:rPr>
              <w:fldChar w:fldCharType="end"/>
            </w:r>
          </w:hyperlink>
        </w:p>
        <w:p w14:paraId="6A618148" w14:textId="3E7269DB"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22" w:history="1">
            <w:r w:rsidR="006F2657" w:rsidRPr="009334D3">
              <w:rPr>
                <w:rStyle w:val="Hyperlink"/>
                <w:noProof/>
                <w:lang w:eastAsia="zh-CN"/>
              </w:rPr>
              <w:t>1.1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Latar Belakang</w:t>
            </w:r>
            <w:r w:rsidR="006F2657">
              <w:rPr>
                <w:noProof/>
                <w:webHidden/>
              </w:rPr>
              <w:tab/>
            </w:r>
            <w:r w:rsidR="006F2657">
              <w:rPr>
                <w:noProof/>
                <w:webHidden/>
              </w:rPr>
              <w:fldChar w:fldCharType="begin"/>
            </w:r>
            <w:r w:rsidR="006F2657">
              <w:rPr>
                <w:noProof/>
                <w:webHidden/>
              </w:rPr>
              <w:instrText xml:space="preserve"> PAGEREF _Toc158290222 \h </w:instrText>
            </w:r>
            <w:r w:rsidR="006F2657">
              <w:rPr>
                <w:noProof/>
                <w:webHidden/>
              </w:rPr>
            </w:r>
            <w:r w:rsidR="006F2657">
              <w:rPr>
                <w:noProof/>
                <w:webHidden/>
              </w:rPr>
              <w:fldChar w:fldCharType="separate"/>
            </w:r>
            <w:r w:rsidR="00D671E3">
              <w:rPr>
                <w:noProof/>
                <w:webHidden/>
              </w:rPr>
              <w:t>1</w:t>
            </w:r>
            <w:r w:rsidR="006F2657">
              <w:rPr>
                <w:noProof/>
                <w:webHidden/>
              </w:rPr>
              <w:fldChar w:fldCharType="end"/>
            </w:r>
          </w:hyperlink>
        </w:p>
        <w:p w14:paraId="39A9A689" w14:textId="198E1DCC"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23" w:history="1">
            <w:r w:rsidR="006F2657" w:rsidRPr="009334D3">
              <w:rPr>
                <w:rStyle w:val="Hyperlink"/>
                <w:noProof/>
              </w:rPr>
              <w:t>1.2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Rumusan</w:t>
            </w:r>
            <w:r w:rsidR="006F2657" w:rsidRPr="009334D3">
              <w:rPr>
                <w:rStyle w:val="Hyperlink"/>
                <w:bCs/>
                <w:noProof/>
              </w:rPr>
              <w:t xml:space="preserve"> Masalah</w:t>
            </w:r>
            <w:r w:rsidR="006F2657">
              <w:rPr>
                <w:noProof/>
                <w:webHidden/>
              </w:rPr>
              <w:tab/>
            </w:r>
            <w:r w:rsidR="006F2657">
              <w:rPr>
                <w:noProof/>
                <w:webHidden/>
              </w:rPr>
              <w:fldChar w:fldCharType="begin"/>
            </w:r>
            <w:r w:rsidR="006F2657">
              <w:rPr>
                <w:noProof/>
                <w:webHidden/>
              </w:rPr>
              <w:instrText xml:space="preserve"> PAGEREF _Toc158290223 \h </w:instrText>
            </w:r>
            <w:r w:rsidR="006F2657">
              <w:rPr>
                <w:noProof/>
                <w:webHidden/>
              </w:rPr>
            </w:r>
            <w:r w:rsidR="006F2657">
              <w:rPr>
                <w:noProof/>
                <w:webHidden/>
              </w:rPr>
              <w:fldChar w:fldCharType="separate"/>
            </w:r>
            <w:r w:rsidR="00D671E3">
              <w:rPr>
                <w:noProof/>
                <w:webHidden/>
              </w:rPr>
              <w:t>4</w:t>
            </w:r>
            <w:r w:rsidR="006F2657">
              <w:rPr>
                <w:noProof/>
                <w:webHidden/>
              </w:rPr>
              <w:fldChar w:fldCharType="end"/>
            </w:r>
          </w:hyperlink>
        </w:p>
        <w:p w14:paraId="3C66A784" w14:textId="068151DF"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24" w:history="1">
            <w:r w:rsidR="006F2657" w:rsidRPr="009334D3">
              <w:rPr>
                <w:rStyle w:val="Hyperlink"/>
                <w:noProof/>
              </w:rPr>
              <w:t>1.3</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bCs/>
                <w:noProof/>
              </w:rPr>
              <w:t xml:space="preserve">Tujuan </w:t>
            </w:r>
            <w:r w:rsidR="006F2657" w:rsidRPr="009334D3">
              <w:rPr>
                <w:rStyle w:val="Hyperlink"/>
                <w:noProof/>
              </w:rPr>
              <w:t>Penelitian</w:t>
            </w:r>
            <w:r w:rsidR="006F2657">
              <w:rPr>
                <w:noProof/>
                <w:webHidden/>
              </w:rPr>
              <w:tab/>
            </w:r>
            <w:r w:rsidR="006F2657">
              <w:rPr>
                <w:noProof/>
                <w:webHidden/>
              </w:rPr>
              <w:fldChar w:fldCharType="begin"/>
            </w:r>
            <w:r w:rsidR="006F2657">
              <w:rPr>
                <w:noProof/>
                <w:webHidden/>
              </w:rPr>
              <w:instrText xml:space="preserve"> PAGEREF _Toc158290224 \h </w:instrText>
            </w:r>
            <w:r w:rsidR="006F2657">
              <w:rPr>
                <w:noProof/>
                <w:webHidden/>
              </w:rPr>
            </w:r>
            <w:r w:rsidR="006F2657">
              <w:rPr>
                <w:noProof/>
                <w:webHidden/>
              </w:rPr>
              <w:fldChar w:fldCharType="separate"/>
            </w:r>
            <w:r w:rsidR="00D671E3">
              <w:rPr>
                <w:noProof/>
                <w:webHidden/>
              </w:rPr>
              <w:t>4</w:t>
            </w:r>
            <w:r w:rsidR="006F2657">
              <w:rPr>
                <w:noProof/>
                <w:webHidden/>
              </w:rPr>
              <w:fldChar w:fldCharType="end"/>
            </w:r>
          </w:hyperlink>
        </w:p>
        <w:p w14:paraId="49355350" w14:textId="5944EE14"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25" w:history="1">
            <w:r w:rsidR="006F2657" w:rsidRPr="009334D3">
              <w:rPr>
                <w:rStyle w:val="Hyperlink"/>
                <w:noProof/>
              </w:rPr>
              <w:t>1.3.1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Tujuan Umum</w:t>
            </w:r>
            <w:r w:rsidR="006F2657">
              <w:rPr>
                <w:noProof/>
                <w:webHidden/>
              </w:rPr>
              <w:tab/>
            </w:r>
            <w:r w:rsidR="006F2657">
              <w:rPr>
                <w:noProof/>
                <w:webHidden/>
              </w:rPr>
              <w:fldChar w:fldCharType="begin"/>
            </w:r>
            <w:r w:rsidR="006F2657">
              <w:rPr>
                <w:noProof/>
                <w:webHidden/>
              </w:rPr>
              <w:instrText xml:space="preserve"> PAGEREF _Toc158290225 \h </w:instrText>
            </w:r>
            <w:r w:rsidR="006F2657">
              <w:rPr>
                <w:noProof/>
                <w:webHidden/>
              </w:rPr>
            </w:r>
            <w:r w:rsidR="006F2657">
              <w:rPr>
                <w:noProof/>
                <w:webHidden/>
              </w:rPr>
              <w:fldChar w:fldCharType="separate"/>
            </w:r>
            <w:r w:rsidR="00D671E3">
              <w:rPr>
                <w:noProof/>
                <w:webHidden/>
              </w:rPr>
              <w:t>4</w:t>
            </w:r>
            <w:r w:rsidR="006F2657">
              <w:rPr>
                <w:noProof/>
                <w:webHidden/>
              </w:rPr>
              <w:fldChar w:fldCharType="end"/>
            </w:r>
          </w:hyperlink>
        </w:p>
        <w:p w14:paraId="1DC9EE2B" w14:textId="573F4C15"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26" w:history="1">
            <w:r w:rsidR="006F2657" w:rsidRPr="009334D3">
              <w:rPr>
                <w:rStyle w:val="Hyperlink"/>
                <w:noProof/>
              </w:rPr>
              <w:t>1.3.2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bCs/>
                <w:noProof/>
              </w:rPr>
              <w:t xml:space="preserve">Tujuan </w:t>
            </w:r>
            <w:r w:rsidR="006F2657" w:rsidRPr="009334D3">
              <w:rPr>
                <w:rStyle w:val="Hyperlink"/>
                <w:noProof/>
              </w:rPr>
              <w:t>Khusus</w:t>
            </w:r>
            <w:r w:rsidR="006F2657">
              <w:rPr>
                <w:noProof/>
                <w:webHidden/>
              </w:rPr>
              <w:tab/>
            </w:r>
            <w:r w:rsidR="006F2657">
              <w:rPr>
                <w:noProof/>
                <w:webHidden/>
              </w:rPr>
              <w:fldChar w:fldCharType="begin"/>
            </w:r>
            <w:r w:rsidR="006F2657">
              <w:rPr>
                <w:noProof/>
                <w:webHidden/>
              </w:rPr>
              <w:instrText xml:space="preserve"> PAGEREF _Toc158290226 \h </w:instrText>
            </w:r>
            <w:r w:rsidR="006F2657">
              <w:rPr>
                <w:noProof/>
                <w:webHidden/>
              </w:rPr>
            </w:r>
            <w:r w:rsidR="006F2657">
              <w:rPr>
                <w:noProof/>
                <w:webHidden/>
              </w:rPr>
              <w:fldChar w:fldCharType="separate"/>
            </w:r>
            <w:r w:rsidR="00D671E3">
              <w:rPr>
                <w:noProof/>
                <w:webHidden/>
              </w:rPr>
              <w:t>4</w:t>
            </w:r>
            <w:r w:rsidR="006F2657">
              <w:rPr>
                <w:noProof/>
                <w:webHidden/>
              </w:rPr>
              <w:fldChar w:fldCharType="end"/>
            </w:r>
          </w:hyperlink>
        </w:p>
        <w:p w14:paraId="66C2B3BF" w14:textId="41858606"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27" w:history="1">
            <w:r w:rsidR="006F2657" w:rsidRPr="009334D3">
              <w:rPr>
                <w:rStyle w:val="Hyperlink"/>
                <w:noProof/>
              </w:rPr>
              <w:t>1.4</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Hipotesis</w:t>
            </w:r>
            <w:r w:rsidR="006F2657">
              <w:rPr>
                <w:noProof/>
                <w:webHidden/>
              </w:rPr>
              <w:tab/>
            </w:r>
            <w:r w:rsidR="006F2657">
              <w:rPr>
                <w:noProof/>
                <w:webHidden/>
              </w:rPr>
              <w:fldChar w:fldCharType="begin"/>
            </w:r>
            <w:r w:rsidR="006F2657">
              <w:rPr>
                <w:noProof/>
                <w:webHidden/>
              </w:rPr>
              <w:instrText xml:space="preserve"> PAGEREF _Toc158290227 \h </w:instrText>
            </w:r>
            <w:r w:rsidR="006F2657">
              <w:rPr>
                <w:noProof/>
                <w:webHidden/>
              </w:rPr>
            </w:r>
            <w:r w:rsidR="006F2657">
              <w:rPr>
                <w:noProof/>
                <w:webHidden/>
              </w:rPr>
              <w:fldChar w:fldCharType="separate"/>
            </w:r>
            <w:r w:rsidR="00D671E3">
              <w:rPr>
                <w:noProof/>
                <w:webHidden/>
              </w:rPr>
              <w:t>5</w:t>
            </w:r>
            <w:r w:rsidR="006F2657">
              <w:rPr>
                <w:noProof/>
                <w:webHidden/>
              </w:rPr>
              <w:fldChar w:fldCharType="end"/>
            </w:r>
          </w:hyperlink>
        </w:p>
        <w:p w14:paraId="56769534" w14:textId="7681E7D1"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28" w:history="1">
            <w:r w:rsidR="006F2657" w:rsidRPr="009334D3">
              <w:rPr>
                <w:rStyle w:val="Hyperlink"/>
                <w:noProof/>
                <w:lang w:val="id-ID"/>
              </w:rPr>
              <w:t>1.5</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bCs/>
                <w:noProof/>
              </w:rPr>
              <w:t xml:space="preserve">Manfaat </w:t>
            </w:r>
            <w:r w:rsidR="006F2657" w:rsidRPr="009334D3">
              <w:rPr>
                <w:rStyle w:val="Hyperlink"/>
                <w:noProof/>
              </w:rPr>
              <w:t>Penelitian</w:t>
            </w:r>
            <w:r w:rsidR="006F2657">
              <w:rPr>
                <w:noProof/>
                <w:webHidden/>
              </w:rPr>
              <w:tab/>
            </w:r>
            <w:r w:rsidR="006F2657">
              <w:rPr>
                <w:noProof/>
                <w:webHidden/>
              </w:rPr>
              <w:fldChar w:fldCharType="begin"/>
            </w:r>
            <w:r w:rsidR="006F2657">
              <w:rPr>
                <w:noProof/>
                <w:webHidden/>
              </w:rPr>
              <w:instrText xml:space="preserve"> PAGEREF _Toc158290228 \h </w:instrText>
            </w:r>
            <w:r w:rsidR="006F2657">
              <w:rPr>
                <w:noProof/>
                <w:webHidden/>
              </w:rPr>
            </w:r>
            <w:r w:rsidR="006F2657">
              <w:rPr>
                <w:noProof/>
                <w:webHidden/>
              </w:rPr>
              <w:fldChar w:fldCharType="separate"/>
            </w:r>
            <w:r w:rsidR="00D671E3">
              <w:rPr>
                <w:noProof/>
                <w:webHidden/>
              </w:rPr>
              <w:t>5</w:t>
            </w:r>
            <w:r w:rsidR="006F2657">
              <w:rPr>
                <w:noProof/>
                <w:webHidden/>
              </w:rPr>
              <w:fldChar w:fldCharType="end"/>
            </w:r>
          </w:hyperlink>
        </w:p>
        <w:p w14:paraId="1E46DE89" w14:textId="59FAF714"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29" w:history="1">
            <w:r w:rsidR="006F2657" w:rsidRPr="009334D3">
              <w:rPr>
                <w:rStyle w:val="Hyperlink"/>
                <w:noProof/>
                <w:lang w:val="id-ID"/>
              </w:rPr>
              <w:t>1.5.1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 xml:space="preserve">Manfaat </w:t>
            </w:r>
            <w:r w:rsidR="006F2657" w:rsidRPr="009334D3">
              <w:rPr>
                <w:rStyle w:val="Hyperlink"/>
                <w:noProof/>
                <w:lang w:val="en-US"/>
              </w:rPr>
              <w:t>Ilmiah</w:t>
            </w:r>
            <w:r w:rsidR="006F2657">
              <w:rPr>
                <w:noProof/>
                <w:webHidden/>
              </w:rPr>
              <w:tab/>
            </w:r>
            <w:r w:rsidR="006F2657">
              <w:rPr>
                <w:noProof/>
                <w:webHidden/>
              </w:rPr>
              <w:fldChar w:fldCharType="begin"/>
            </w:r>
            <w:r w:rsidR="006F2657">
              <w:rPr>
                <w:noProof/>
                <w:webHidden/>
              </w:rPr>
              <w:instrText xml:space="preserve"> PAGEREF _Toc158290229 \h </w:instrText>
            </w:r>
            <w:r w:rsidR="006F2657">
              <w:rPr>
                <w:noProof/>
                <w:webHidden/>
              </w:rPr>
            </w:r>
            <w:r w:rsidR="006F2657">
              <w:rPr>
                <w:noProof/>
                <w:webHidden/>
              </w:rPr>
              <w:fldChar w:fldCharType="separate"/>
            </w:r>
            <w:r w:rsidR="00D671E3">
              <w:rPr>
                <w:noProof/>
                <w:webHidden/>
              </w:rPr>
              <w:t>5</w:t>
            </w:r>
            <w:r w:rsidR="006F2657">
              <w:rPr>
                <w:noProof/>
                <w:webHidden/>
              </w:rPr>
              <w:fldChar w:fldCharType="end"/>
            </w:r>
          </w:hyperlink>
        </w:p>
        <w:p w14:paraId="1FD3DDCD" w14:textId="05D66ECA"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30" w:history="1">
            <w:r w:rsidR="006F2657" w:rsidRPr="009334D3">
              <w:rPr>
                <w:rStyle w:val="Hyperlink"/>
                <w:noProof/>
                <w:lang w:val="id-ID"/>
              </w:rPr>
              <w:t>1.5.2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Manfaat Praktis</w:t>
            </w:r>
            <w:r w:rsidR="006F2657">
              <w:rPr>
                <w:noProof/>
                <w:webHidden/>
              </w:rPr>
              <w:tab/>
            </w:r>
            <w:r w:rsidR="006F2657">
              <w:rPr>
                <w:noProof/>
                <w:webHidden/>
              </w:rPr>
              <w:fldChar w:fldCharType="begin"/>
            </w:r>
            <w:r w:rsidR="006F2657">
              <w:rPr>
                <w:noProof/>
                <w:webHidden/>
              </w:rPr>
              <w:instrText xml:space="preserve"> PAGEREF _Toc158290230 \h </w:instrText>
            </w:r>
            <w:r w:rsidR="006F2657">
              <w:rPr>
                <w:noProof/>
                <w:webHidden/>
              </w:rPr>
            </w:r>
            <w:r w:rsidR="006F2657">
              <w:rPr>
                <w:noProof/>
                <w:webHidden/>
              </w:rPr>
              <w:fldChar w:fldCharType="separate"/>
            </w:r>
            <w:r w:rsidR="00D671E3">
              <w:rPr>
                <w:noProof/>
                <w:webHidden/>
              </w:rPr>
              <w:t>5</w:t>
            </w:r>
            <w:r w:rsidR="006F2657">
              <w:rPr>
                <w:noProof/>
                <w:webHidden/>
              </w:rPr>
              <w:fldChar w:fldCharType="end"/>
            </w:r>
          </w:hyperlink>
        </w:p>
        <w:p w14:paraId="38D5E35E" w14:textId="507A079C" w:rsidR="006F2657" w:rsidRDefault="00000000">
          <w:pPr>
            <w:pStyle w:val="TOC1"/>
            <w:rPr>
              <w:rFonts w:asciiTheme="minorHAnsi" w:eastAsiaTheme="minorEastAsia" w:hAnsiTheme="minorHAnsi" w:cstheme="minorBidi"/>
              <w:noProof/>
              <w:kern w:val="2"/>
              <w:sz w:val="22"/>
              <w:szCs w:val="22"/>
              <w:lang w:val="id-ID" w:eastAsia="id-ID"/>
              <w14:ligatures w14:val="standardContextual"/>
            </w:rPr>
          </w:pPr>
          <w:hyperlink w:anchor="_Toc158290231" w:history="1">
            <w:r w:rsidR="006F2657" w:rsidRPr="009334D3">
              <w:rPr>
                <w:rStyle w:val="Hyperlink"/>
                <w:noProof/>
              </w:rPr>
              <w:t>BAB II</w:t>
            </w:r>
            <w:r w:rsidR="006F2657">
              <w:rPr>
                <w:noProof/>
                <w:webHidden/>
              </w:rPr>
              <w:tab/>
            </w:r>
          </w:hyperlink>
          <w:hyperlink w:anchor="_Toc158290232" w:history="1">
            <w:r w:rsidR="006F2657" w:rsidRPr="009334D3">
              <w:rPr>
                <w:rStyle w:val="Hyperlink"/>
                <w:noProof/>
              </w:rPr>
              <w:t>TINJAUAN PUSTAKA</w:t>
            </w:r>
            <w:r w:rsidR="006F2657">
              <w:rPr>
                <w:noProof/>
                <w:webHidden/>
              </w:rPr>
              <w:tab/>
            </w:r>
            <w:r w:rsidR="006F2657">
              <w:rPr>
                <w:noProof/>
                <w:webHidden/>
              </w:rPr>
              <w:fldChar w:fldCharType="begin"/>
            </w:r>
            <w:r w:rsidR="006F2657">
              <w:rPr>
                <w:noProof/>
                <w:webHidden/>
              </w:rPr>
              <w:instrText xml:space="preserve"> PAGEREF _Toc158290232 \h </w:instrText>
            </w:r>
            <w:r w:rsidR="006F2657">
              <w:rPr>
                <w:noProof/>
                <w:webHidden/>
              </w:rPr>
            </w:r>
            <w:r w:rsidR="006F2657">
              <w:rPr>
                <w:noProof/>
                <w:webHidden/>
              </w:rPr>
              <w:fldChar w:fldCharType="separate"/>
            </w:r>
            <w:r w:rsidR="00D671E3">
              <w:rPr>
                <w:noProof/>
                <w:webHidden/>
              </w:rPr>
              <w:t>6</w:t>
            </w:r>
            <w:r w:rsidR="006F2657">
              <w:rPr>
                <w:noProof/>
                <w:webHidden/>
              </w:rPr>
              <w:fldChar w:fldCharType="end"/>
            </w:r>
          </w:hyperlink>
        </w:p>
        <w:p w14:paraId="00807082" w14:textId="5B9A5953"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33" w:history="1">
            <w:r w:rsidR="006F2657" w:rsidRPr="009334D3">
              <w:rPr>
                <w:rStyle w:val="Hyperlink"/>
                <w:noProof/>
                <w:lang w:eastAsia="zh-CN"/>
              </w:rPr>
              <w:t>2.1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Tonsil</w:t>
            </w:r>
            <w:r w:rsidR="006F2657">
              <w:rPr>
                <w:noProof/>
                <w:webHidden/>
              </w:rPr>
              <w:tab/>
            </w:r>
            <w:r w:rsidR="006F2657">
              <w:rPr>
                <w:noProof/>
                <w:webHidden/>
              </w:rPr>
              <w:fldChar w:fldCharType="begin"/>
            </w:r>
            <w:r w:rsidR="006F2657">
              <w:rPr>
                <w:noProof/>
                <w:webHidden/>
              </w:rPr>
              <w:instrText xml:space="preserve"> PAGEREF _Toc158290233 \h </w:instrText>
            </w:r>
            <w:r w:rsidR="006F2657">
              <w:rPr>
                <w:noProof/>
                <w:webHidden/>
              </w:rPr>
            </w:r>
            <w:r w:rsidR="006F2657">
              <w:rPr>
                <w:noProof/>
                <w:webHidden/>
              </w:rPr>
              <w:fldChar w:fldCharType="separate"/>
            </w:r>
            <w:r w:rsidR="00D671E3">
              <w:rPr>
                <w:noProof/>
                <w:webHidden/>
              </w:rPr>
              <w:t>6</w:t>
            </w:r>
            <w:r w:rsidR="006F2657">
              <w:rPr>
                <w:noProof/>
                <w:webHidden/>
              </w:rPr>
              <w:fldChar w:fldCharType="end"/>
            </w:r>
          </w:hyperlink>
        </w:p>
        <w:p w14:paraId="5A68D928" w14:textId="7D003237"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34" w:history="1">
            <w:r w:rsidR="006F2657" w:rsidRPr="009334D3">
              <w:rPr>
                <w:rStyle w:val="Hyperlink"/>
                <w:noProof/>
                <w:lang w:val="id-ID"/>
              </w:rPr>
              <w:t>2.2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Tonsilektomi</w:t>
            </w:r>
            <w:r w:rsidR="006F2657">
              <w:rPr>
                <w:noProof/>
                <w:webHidden/>
              </w:rPr>
              <w:tab/>
            </w:r>
            <w:r w:rsidR="006F2657">
              <w:rPr>
                <w:noProof/>
                <w:webHidden/>
              </w:rPr>
              <w:fldChar w:fldCharType="begin"/>
            </w:r>
            <w:r w:rsidR="006F2657">
              <w:rPr>
                <w:noProof/>
                <w:webHidden/>
              </w:rPr>
              <w:instrText xml:space="preserve"> PAGEREF _Toc158290234 \h </w:instrText>
            </w:r>
            <w:r w:rsidR="006F2657">
              <w:rPr>
                <w:noProof/>
                <w:webHidden/>
              </w:rPr>
            </w:r>
            <w:r w:rsidR="006F2657">
              <w:rPr>
                <w:noProof/>
                <w:webHidden/>
              </w:rPr>
              <w:fldChar w:fldCharType="separate"/>
            </w:r>
            <w:r w:rsidR="00D671E3">
              <w:rPr>
                <w:noProof/>
                <w:webHidden/>
              </w:rPr>
              <w:t>8</w:t>
            </w:r>
            <w:r w:rsidR="006F2657">
              <w:rPr>
                <w:noProof/>
                <w:webHidden/>
              </w:rPr>
              <w:fldChar w:fldCharType="end"/>
            </w:r>
          </w:hyperlink>
        </w:p>
        <w:p w14:paraId="035FBAA3" w14:textId="30BA68B4"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35" w:history="1">
            <w:r w:rsidR="006F2657" w:rsidRPr="009334D3">
              <w:rPr>
                <w:rStyle w:val="Hyperlink"/>
                <w:noProof/>
                <w:lang w:val="id-ID"/>
              </w:rPr>
              <w:t>2.2.1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Pengertian Tonsilektomi</w:t>
            </w:r>
            <w:r w:rsidR="006F2657">
              <w:rPr>
                <w:noProof/>
                <w:webHidden/>
              </w:rPr>
              <w:tab/>
            </w:r>
            <w:r w:rsidR="006F2657">
              <w:rPr>
                <w:noProof/>
                <w:webHidden/>
              </w:rPr>
              <w:fldChar w:fldCharType="begin"/>
            </w:r>
            <w:r w:rsidR="006F2657">
              <w:rPr>
                <w:noProof/>
                <w:webHidden/>
              </w:rPr>
              <w:instrText xml:space="preserve"> PAGEREF _Toc158290235 \h </w:instrText>
            </w:r>
            <w:r w:rsidR="006F2657">
              <w:rPr>
                <w:noProof/>
                <w:webHidden/>
              </w:rPr>
            </w:r>
            <w:r w:rsidR="006F2657">
              <w:rPr>
                <w:noProof/>
                <w:webHidden/>
              </w:rPr>
              <w:fldChar w:fldCharType="separate"/>
            </w:r>
            <w:r w:rsidR="00D671E3">
              <w:rPr>
                <w:noProof/>
                <w:webHidden/>
              </w:rPr>
              <w:t>8</w:t>
            </w:r>
            <w:r w:rsidR="006F2657">
              <w:rPr>
                <w:noProof/>
                <w:webHidden/>
              </w:rPr>
              <w:fldChar w:fldCharType="end"/>
            </w:r>
          </w:hyperlink>
        </w:p>
        <w:p w14:paraId="0A87BBC3" w14:textId="57850053"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36" w:history="1">
            <w:r w:rsidR="006F2657" w:rsidRPr="009334D3">
              <w:rPr>
                <w:rStyle w:val="Hyperlink"/>
                <w:noProof/>
                <w:lang w:val="id-ID"/>
              </w:rPr>
              <w:t>2.2.2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Indikasi Dan Kontraindikasi Tonsilektomi</w:t>
            </w:r>
            <w:r w:rsidR="006F2657">
              <w:rPr>
                <w:noProof/>
                <w:webHidden/>
              </w:rPr>
              <w:tab/>
            </w:r>
            <w:r w:rsidR="006F2657">
              <w:rPr>
                <w:noProof/>
                <w:webHidden/>
              </w:rPr>
              <w:fldChar w:fldCharType="begin"/>
            </w:r>
            <w:r w:rsidR="006F2657">
              <w:rPr>
                <w:noProof/>
                <w:webHidden/>
              </w:rPr>
              <w:instrText xml:space="preserve"> PAGEREF _Toc158290236 \h </w:instrText>
            </w:r>
            <w:r w:rsidR="006F2657">
              <w:rPr>
                <w:noProof/>
                <w:webHidden/>
              </w:rPr>
            </w:r>
            <w:r w:rsidR="006F2657">
              <w:rPr>
                <w:noProof/>
                <w:webHidden/>
              </w:rPr>
              <w:fldChar w:fldCharType="separate"/>
            </w:r>
            <w:r w:rsidR="00D671E3">
              <w:rPr>
                <w:noProof/>
                <w:webHidden/>
              </w:rPr>
              <w:t>8</w:t>
            </w:r>
            <w:r w:rsidR="006F2657">
              <w:rPr>
                <w:noProof/>
                <w:webHidden/>
              </w:rPr>
              <w:fldChar w:fldCharType="end"/>
            </w:r>
          </w:hyperlink>
        </w:p>
        <w:p w14:paraId="143AD254" w14:textId="1EEFCC91"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37" w:history="1">
            <w:r w:rsidR="006F2657" w:rsidRPr="009334D3">
              <w:rPr>
                <w:rStyle w:val="Hyperlink"/>
                <w:noProof/>
                <w:lang w:val="id-ID"/>
              </w:rPr>
              <w:t>2.2.3</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Prosedur Tonsilektomi</w:t>
            </w:r>
            <w:r w:rsidR="006F2657">
              <w:rPr>
                <w:noProof/>
                <w:webHidden/>
              </w:rPr>
              <w:tab/>
            </w:r>
            <w:r w:rsidR="006F2657">
              <w:rPr>
                <w:noProof/>
                <w:webHidden/>
              </w:rPr>
              <w:fldChar w:fldCharType="begin"/>
            </w:r>
            <w:r w:rsidR="006F2657">
              <w:rPr>
                <w:noProof/>
                <w:webHidden/>
              </w:rPr>
              <w:instrText xml:space="preserve"> PAGEREF _Toc158290237 \h </w:instrText>
            </w:r>
            <w:r w:rsidR="006F2657">
              <w:rPr>
                <w:noProof/>
                <w:webHidden/>
              </w:rPr>
            </w:r>
            <w:r w:rsidR="006F2657">
              <w:rPr>
                <w:noProof/>
                <w:webHidden/>
              </w:rPr>
              <w:fldChar w:fldCharType="separate"/>
            </w:r>
            <w:r w:rsidR="00D671E3">
              <w:rPr>
                <w:noProof/>
                <w:webHidden/>
              </w:rPr>
              <w:t>10</w:t>
            </w:r>
            <w:r w:rsidR="006F2657">
              <w:rPr>
                <w:noProof/>
                <w:webHidden/>
              </w:rPr>
              <w:fldChar w:fldCharType="end"/>
            </w:r>
          </w:hyperlink>
        </w:p>
        <w:p w14:paraId="2FA3939E" w14:textId="1B3906EE"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38" w:history="1">
            <w:r w:rsidR="006F2657" w:rsidRPr="009334D3">
              <w:rPr>
                <w:rStyle w:val="Hyperlink"/>
                <w:noProof/>
                <w:lang w:val="id-ID"/>
              </w:rPr>
              <w:t>2.2.4</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 xml:space="preserve">Prosedur Blok </w:t>
            </w:r>
            <w:r w:rsidR="006F2657" w:rsidRPr="009334D3">
              <w:rPr>
                <w:rStyle w:val="Hyperlink"/>
                <w:noProof/>
                <w:lang w:val="en-US"/>
              </w:rPr>
              <w:t>Peritonsiler</w:t>
            </w:r>
            <w:r w:rsidR="006F2657">
              <w:rPr>
                <w:noProof/>
                <w:webHidden/>
              </w:rPr>
              <w:tab/>
            </w:r>
            <w:r w:rsidR="006F2657">
              <w:rPr>
                <w:noProof/>
                <w:webHidden/>
              </w:rPr>
              <w:fldChar w:fldCharType="begin"/>
            </w:r>
            <w:r w:rsidR="006F2657">
              <w:rPr>
                <w:noProof/>
                <w:webHidden/>
              </w:rPr>
              <w:instrText xml:space="preserve"> PAGEREF _Toc158290238 \h </w:instrText>
            </w:r>
            <w:r w:rsidR="006F2657">
              <w:rPr>
                <w:noProof/>
                <w:webHidden/>
              </w:rPr>
            </w:r>
            <w:r w:rsidR="006F2657">
              <w:rPr>
                <w:noProof/>
                <w:webHidden/>
              </w:rPr>
              <w:fldChar w:fldCharType="separate"/>
            </w:r>
            <w:r w:rsidR="00D671E3">
              <w:rPr>
                <w:noProof/>
                <w:webHidden/>
              </w:rPr>
              <w:t>11</w:t>
            </w:r>
            <w:r w:rsidR="006F2657">
              <w:rPr>
                <w:noProof/>
                <w:webHidden/>
              </w:rPr>
              <w:fldChar w:fldCharType="end"/>
            </w:r>
          </w:hyperlink>
        </w:p>
        <w:p w14:paraId="3162E998" w14:textId="1C3A4E12"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39" w:history="1">
            <w:r w:rsidR="006F2657" w:rsidRPr="009334D3">
              <w:rPr>
                <w:rStyle w:val="Hyperlink"/>
                <w:noProof/>
                <w:lang w:val="id-ID"/>
              </w:rPr>
              <w:t>2.2.</w:t>
            </w:r>
            <w:r w:rsidR="006F2657" w:rsidRPr="009334D3">
              <w:rPr>
                <w:rStyle w:val="Hyperlink"/>
                <w:noProof/>
                <w:lang w:val="en-US"/>
              </w:rPr>
              <w:t>5</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Komplikasi</w:t>
            </w:r>
            <w:r w:rsidR="006F2657" w:rsidRPr="009334D3">
              <w:rPr>
                <w:rStyle w:val="Hyperlink"/>
                <w:noProof/>
              </w:rPr>
              <w:t xml:space="preserve"> Tonsilektomi</w:t>
            </w:r>
            <w:r w:rsidR="006F2657">
              <w:rPr>
                <w:noProof/>
                <w:webHidden/>
              </w:rPr>
              <w:tab/>
            </w:r>
            <w:r w:rsidR="006F2657">
              <w:rPr>
                <w:noProof/>
                <w:webHidden/>
              </w:rPr>
              <w:fldChar w:fldCharType="begin"/>
            </w:r>
            <w:r w:rsidR="006F2657">
              <w:rPr>
                <w:noProof/>
                <w:webHidden/>
              </w:rPr>
              <w:instrText xml:space="preserve"> PAGEREF _Toc158290239 \h </w:instrText>
            </w:r>
            <w:r w:rsidR="006F2657">
              <w:rPr>
                <w:noProof/>
                <w:webHidden/>
              </w:rPr>
            </w:r>
            <w:r w:rsidR="006F2657">
              <w:rPr>
                <w:noProof/>
                <w:webHidden/>
              </w:rPr>
              <w:fldChar w:fldCharType="separate"/>
            </w:r>
            <w:r w:rsidR="00D671E3">
              <w:rPr>
                <w:noProof/>
                <w:webHidden/>
              </w:rPr>
              <w:t>12</w:t>
            </w:r>
            <w:r w:rsidR="006F2657">
              <w:rPr>
                <w:noProof/>
                <w:webHidden/>
              </w:rPr>
              <w:fldChar w:fldCharType="end"/>
            </w:r>
          </w:hyperlink>
        </w:p>
        <w:p w14:paraId="3AA833DA" w14:textId="21012D4C"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40" w:history="1">
            <w:r w:rsidR="006F2657" w:rsidRPr="009334D3">
              <w:rPr>
                <w:rStyle w:val="Hyperlink"/>
                <w:noProof/>
                <w:lang w:val="id-ID"/>
              </w:rPr>
              <w:t>2.2.</w:t>
            </w:r>
            <w:r w:rsidR="006F2657" w:rsidRPr="009334D3">
              <w:rPr>
                <w:rStyle w:val="Hyperlink"/>
                <w:noProof/>
                <w:lang w:val="en-US"/>
              </w:rPr>
              <w:t>6</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 xml:space="preserve">Manajemen Anestesi </w:t>
            </w:r>
            <w:r w:rsidR="006F2657" w:rsidRPr="009334D3">
              <w:rPr>
                <w:rStyle w:val="Hyperlink"/>
                <w:noProof/>
                <w:lang w:val="en-US"/>
              </w:rPr>
              <w:t>p</w:t>
            </w:r>
            <w:r w:rsidR="006F2657" w:rsidRPr="009334D3">
              <w:rPr>
                <w:rStyle w:val="Hyperlink"/>
                <w:noProof/>
                <w:lang w:val="id-ID"/>
              </w:rPr>
              <w:t>ada</w:t>
            </w:r>
            <w:r w:rsidR="006F2657" w:rsidRPr="009334D3">
              <w:rPr>
                <w:rStyle w:val="Hyperlink"/>
                <w:noProof/>
              </w:rPr>
              <w:t xml:space="preserve"> Tonsilektomi</w:t>
            </w:r>
            <w:r w:rsidR="006F2657">
              <w:rPr>
                <w:noProof/>
                <w:webHidden/>
              </w:rPr>
              <w:tab/>
            </w:r>
            <w:r w:rsidR="006F2657">
              <w:rPr>
                <w:noProof/>
                <w:webHidden/>
              </w:rPr>
              <w:fldChar w:fldCharType="begin"/>
            </w:r>
            <w:r w:rsidR="006F2657">
              <w:rPr>
                <w:noProof/>
                <w:webHidden/>
              </w:rPr>
              <w:instrText xml:space="preserve"> PAGEREF _Toc158290240 \h </w:instrText>
            </w:r>
            <w:r w:rsidR="006F2657">
              <w:rPr>
                <w:noProof/>
                <w:webHidden/>
              </w:rPr>
            </w:r>
            <w:r w:rsidR="006F2657">
              <w:rPr>
                <w:noProof/>
                <w:webHidden/>
              </w:rPr>
              <w:fldChar w:fldCharType="separate"/>
            </w:r>
            <w:r w:rsidR="00D671E3">
              <w:rPr>
                <w:noProof/>
                <w:webHidden/>
              </w:rPr>
              <w:t>13</w:t>
            </w:r>
            <w:r w:rsidR="006F2657">
              <w:rPr>
                <w:noProof/>
                <w:webHidden/>
              </w:rPr>
              <w:fldChar w:fldCharType="end"/>
            </w:r>
          </w:hyperlink>
        </w:p>
        <w:p w14:paraId="61D9FE8C" w14:textId="661CD716"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41" w:history="1">
            <w:r w:rsidR="006F2657" w:rsidRPr="009334D3">
              <w:rPr>
                <w:rStyle w:val="Hyperlink"/>
                <w:noProof/>
              </w:rPr>
              <w:t>2.3</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 xml:space="preserve">Nyeri </w:t>
            </w:r>
            <w:r w:rsidR="006F2657" w:rsidRPr="009334D3">
              <w:rPr>
                <w:rStyle w:val="Hyperlink"/>
                <w:noProof/>
                <w:lang w:val="en-US"/>
              </w:rPr>
              <w:t>P</w:t>
            </w:r>
            <w:r w:rsidR="006F2657" w:rsidRPr="009334D3">
              <w:rPr>
                <w:rStyle w:val="Hyperlink"/>
                <w:noProof/>
                <w:lang w:val="id-ID"/>
              </w:rPr>
              <w:t>embedahan</w:t>
            </w:r>
            <w:r w:rsidR="006F2657">
              <w:rPr>
                <w:noProof/>
                <w:webHidden/>
              </w:rPr>
              <w:tab/>
            </w:r>
            <w:r w:rsidR="006F2657">
              <w:rPr>
                <w:noProof/>
                <w:webHidden/>
              </w:rPr>
              <w:fldChar w:fldCharType="begin"/>
            </w:r>
            <w:r w:rsidR="006F2657">
              <w:rPr>
                <w:noProof/>
                <w:webHidden/>
              </w:rPr>
              <w:instrText xml:space="preserve"> PAGEREF _Toc158290241 \h </w:instrText>
            </w:r>
            <w:r w:rsidR="006F2657">
              <w:rPr>
                <w:noProof/>
                <w:webHidden/>
              </w:rPr>
            </w:r>
            <w:r w:rsidR="006F2657">
              <w:rPr>
                <w:noProof/>
                <w:webHidden/>
              </w:rPr>
              <w:fldChar w:fldCharType="separate"/>
            </w:r>
            <w:r w:rsidR="00D671E3">
              <w:rPr>
                <w:noProof/>
                <w:webHidden/>
              </w:rPr>
              <w:t>15</w:t>
            </w:r>
            <w:r w:rsidR="006F2657">
              <w:rPr>
                <w:noProof/>
                <w:webHidden/>
              </w:rPr>
              <w:fldChar w:fldCharType="end"/>
            </w:r>
          </w:hyperlink>
        </w:p>
        <w:p w14:paraId="03071E39" w14:textId="39ADD199"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42" w:history="1">
            <w:r w:rsidR="006F2657" w:rsidRPr="009334D3">
              <w:rPr>
                <w:rStyle w:val="Hyperlink"/>
                <w:noProof/>
              </w:rPr>
              <w:t>2.3.1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Pengertian Nyeri</w:t>
            </w:r>
            <w:r w:rsidR="006F2657">
              <w:rPr>
                <w:noProof/>
                <w:webHidden/>
              </w:rPr>
              <w:tab/>
            </w:r>
            <w:r w:rsidR="006F2657">
              <w:rPr>
                <w:noProof/>
                <w:webHidden/>
              </w:rPr>
              <w:fldChar w:fldCharType="begin"/>
            </w:r>
            <w:r w:rsidR="006F2657">
              <w:rPr>
                <w:noProof/>
                <w:webHidden/>
              </w:rPr>
              <w:instrText xml:space="preserve"> PAGEREF _Toc158290242 \h </w:instrText>
            </w:r>
            <w:r w:rsidR="006F2657">
              <w:rPr>
                <w:noProof/>
                <w:webHidden/>
              </w:rPr>
            </w:r>
            <w:r w:rsidR="006F2657">
              <w:rPr>
                <w:noProof/>
                <w:webHidden/>
              </w:rPr>
              <w:fldChar w:fldCharType="separate"/>
            </w:r>
            <w:r w:rsidR="00D671E3">
              <w:rPr>
                <w:noProof/>
                <w:webHidden/>
              </w:rPr>
              <w:t>15</w:t>
            </w:r>
            <w:r w:rsidR="006F2657">
              <w:rPr>
                <w:noProof/>
                <w:webHidden/>
              </w:rPr>
              <w:fldChar w:fldCharType="end"/>
            </w:r>
          </w:hyperlink>
        </w:p>
        <w:p w14:paraId="431F309F" w14:textId="51D6EBA1"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43" w:history="1">
            <w:r w:rsidR="006F2657" w:rsidRPr="009334D3">
              <w:rPr>
                <w:rStyle w:val="Hyperlink"/>
                <w:noProof/>
              </w:rPr>
              <w:t>2.3.2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Nyeri nosiseptif</w:t>
            </w:r>
            <w:r w:rsidR="006F2657">
              <w:rPr>
                <w:noProof/>
                <w:webHidden/>
              </w:rPr>
              <w:tab/>
            </w:r>
            <w:r w:rsidR="006F2657">
              <w:rPr>
                <w:noProof/>
                <w:webHidden/>
              </w:rPr>
              <w:fldChar w:fldCharType="begin"/>
            </w:r>
            <w:r w:rsidR="006F2657">
              <w:rPr>
                <w:noProof/>
                <w:webHidden/>
              </w:rPr>
              <w:instrText xml:space="preserve"> PAGEREF _Toc158290243 \h </w:instrText>
            </w:r>
            <w:r w:rsidR="006F2657">
              <w:rPr>
                <w:noProof/>
                <w:webHidden/>
              </w:rPr>
            </w:r>
            <w:r w:rsidR="006F2657">
              <w:rPr>
                <w:noProof/>
                <w:webHidden/>
              </w:rPr>
              <w:fldChar w:fldCharType="separate"/>
            </w:r>
            <w:r w:rsidR="00D671E3">
              <w:rPr>
                <w:noProof/>
                <w:webHidden/>
              </w:rPr>
              <w:t>16</w:t>
            </w:r>
            <w:r w:rsidR="006F2657">
              <w:rPr>
                <w:noProof/>
                <w:webHidden/>
              </w:rPr>
              <w:fldChar w:fldCharType="end"/>
            </w:r>
          </w:hyperlink>
        </w:p>
        <w:p w14:paraId="1E991B48" w14:textId="3A2ED72B"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44" w:history="1">
            <w:r w:rsidR="006F2657" w:rsidRPr="009334D3">
              <w:rPr>
                <w:rStyle w:val="Hyperlink"/>
                <w:noProof/>
              </w:rPr>
              <w:t>2.3.3</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Pengukuran Nyeri</w:t>
            </w:r>
            <w:r w:rsidR="006F2657">
              <w:rPr>
                <w:noProof/>
                <w:webHidden/>
              </w:rPr>
              <w:tab/>
            </w:r>
            <w:r w:rsidR="006F2657">
              <w:rPr>
                <w:noProof/>
                <w:webHidden/>
              </w:rPr>
              <w:fldChar w:fldCharType="begin"/>
            </w:r>
            <w:r w:rsidR="006F2657">
              <w:rPr>
                <w:noProof/>
                <w:webHidden/>
              </w:rPr>
              <w:instrText xml:space="preserve"> PAGEREF _Toc158290244 \h </w:instrText>
            </w:r>
            <w:r w:rsidR="006F2657">
              <w:rPr>
                <w:noProof/>
                <w:webHidden/>
              </w:rPr>
            </w:r>
            <w:r w:rsidR="006F2657">
              <w:rPr>
                <w:noProof/>
                <w:webHidden/>
              </w:rPr>
              <w:fldChar w:fldCharType="separate"/>
            </w:r>
            <w:r w:rsidR="00D671E3">
              <w:rPr>
                <w:noProof/>
                <w:webHidden/>
              </w:rPr>
              <w:t>19</w:t>
            </w:r>
            <w:r w:rsidR="006F2657">
              <w:rPr>
                <w:noProof/>
                <w:webHidden/>
              </w:rPr>
              <w:fldChar w:fldCharType="end"/>
            </w:r>
          </w:hyperlink>
        </w:p>
        <w:p w14:paraId="72B869A0" w14:textId="775AB5DA"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45" w:history="1">
            <w:r w:rsidR="006F2657" w:rsidRPr="009334D3">
              <w:rPr>
                <w:rStyle w:val="Hyperlink"/>
                <w:noProof/>
                <w:lang w:val="en-US"/>
              </w:rPr>
              <w:t>2.4</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D</w:t>
            </w:r>
            <w:r w:rsidR="006F2657" w:rsidRPr="009334D3">
              <w:rPr>
                <w:rStyle w:val="Hyperlink"/>
                <w:noProof/>
              </w:rPr>
              <w:t>exme</w:t>
            </w:r>
            <w:r w:rsidR="006F2657" w:rsidRPr="009334D3">
              <w:rPr>
                <w:rStyle w:val="Hyperlink"/>
                <w:noProof/>
                <w:lang w:val="en-US"/>
              </w:rPr>
              <w:t>de</w:t>
            </w:r>
            <w:r w:rsidR="006F2657" w:rsidRPr="009334D3">
              <w:rPr>
                <w:rStyle w:val="Hyperlink"/>
                <w:noProof/>
              </w:rPr>
              <w:t>tomidine</w:t>
            </w:r>
            <w:r w:rsidR="006F2657">
              <w:rPr>
                <w:noProof/>
                <w:webHidden/>
              </w:rPr>
              <w:tab/>
            </w:r>
            <w:r w:rsidR="006F2657">
              <w:rPr>
                <w:noProof/>
                <w:webHidden/>
              </w:rPr>
              <w:fldChar w:fldCharType="begin"/>
            </w:r>
            <w:r w:rsidR="006F2657">
              <w:rPr>
                <w:noProof/>
                <w:webHidden/>
              </w:rPr>
              <w:instrText xml:space="preserve"> PAGEREF _Toc158290245 \h </w:instrText>
            </w:r>
            <w:r w:rsidR="006F2657">
              <w:rPr>
                <w:noProof/>
                <w:webHidden/>
              </w:rPr>
            </w:r>
            <w:r w:rsidR="006F2657">
              <w:rPr>
                <w:noProof/>
                <w:webHidden/>
              </w:rPr>
              <w:fldChar w:fldCharType="separate"/>
            </w:r>
            <w:r w:rsidR="00D671E3">
              <w:rPr>
                <w:noProof/>
                <w:webHidden/>
              </w:rPr>
              <w:t>20</w:t>
            </w:r>
            <w:r w:rsidR="006F2657">
              <w:rPr>
                <w:noProof/>
                <w:webHidden/>
              </w:rPr>
              <w:fldChar w:fldCharType="end"/>
            </w:r>
          </w:hyperlink>
        </w:p>
        <w:p w14:paraId="27B9227A" w14:textId="78E32E56"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46" w:history="1">
            <w:r w:rsidR="006F2657" w:rsidRPr="009334D3">
              <w:rPr>
                <w:rStyle w:val="Hyperlink"/>
                <w:bCs/>
                <w:noProof/>
                <w:lang w:val="id-ID"/>
              </w:rPr>
              <w:t>2.4.1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 xml:space="preserve">Pengertian dan Fungsi </w:t>
            </w:r>
            <w:r w:rsidR="006F2657" w:rsidRPr="009334D3">
              <w:rPr>
                <w:rStyle w:val="Hyperlink"/>
                <w:noProof/>
              </w:rPr>
              <w:t>Dexme</w:t>
            </w:r>
            <w:r w:rsidR="006F2657" w:rsidRPr="009334D3">
              <w:rPr>
                <w:rStyle w:val="Hyperlink"/>
                <w:noProof/>
                <w:lang w:val="en-US"/>
              </w:rPr>
              <w:t>de</w:t>
            </w:r>
            <w:r w:rsidR="006F2657" w:rsidRPr="009334D3">
              <w:rPr>
                <w:rStyle w:val="Hyperlink"/>
                <w:noProof/>
              </w:rPr>
              <w:t>tomidine</w:t>
            </w:r>
            <w:r w:rsidR="006F2657">
              <w:rPr>
                <w:noProof/>
                <w:webHidden/>
              </w:rPr>
              <w:tab/>
            </w:r>
            <w:r w:rsidR="006F2657">
              <w:rPr>
                <w:noProof/>
                <w:webHidden/>
              </w:rPr>
              <w:fldChar w:fldCharType="begin"/>
            </w:r>
            <w:r w:rsidR="006F2657">
              <w:rPr>
                <w:noProof/>
                <w:webHidden/>
              </w:rPr>
              <w:instrText xml:space="preserve"> PAGEREF _Toc158290246 \h </w:instrText>
            </w:r>
            <w:r w:rsidR="006F2657">
              <w:rPr>
                <w:noProof/>
                <w:webHidden/>
              </w:rPr>
            </w:r>
            <w:r w:rsidR="006F2657">
              <w:rPr>
                <w:noProof/>
                <w:webHidden/>
              </w:rPr>
              <w:fldChar w:fldCharType="separate"/>
            </w:r>
            <w:r w:rsidR="00D671E3">
              <w:rPr>
                <w:noProof/>
                <w:webHidden/>
              </w:rPr>
              <w:t>20</w:t>
            </w:r>
            <w:r w:rsidR="006F2657">
              <w:rPr>
                <w:noProof/>
                <w:webHidden/>
              </w:rPr>
              <w:fldChar w:fldCharType="end"/>
            </w:r>
          </w:hyperlink>
        </w:p>
        <w:p w14:paraId="046C65D6" w14:textId="3EF44E87"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47" w:history="1">
            <w:r w:rsidR="006F2657" w:rsidRPr="009334D3">
              <w:rPr>
                <w:rStyle w:val="Hyperlink"/>
                <w:bCs/>
                <w:noProof/>
                <w:lang w:val="id-ID"/>
              </w:rPr>
              <w:t>2.4.2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 xml:space="preserve">Indikasi dan kontraindikasi </w:t>
            </w:r>
            <w:r w:rsidR="006F2657" w:rsidRPr="009334D3">
              <w:rPr>
                <w:rStyle w:val="Hyperlink"/>
                <w:noProof/>
              </w:rPr>
              <w:t>dexme</w:t>
            </w:r>
            <w:r w:rsidR="006F2657" w:rsidRPr="009334D3">
              <w:rPr>
                <w:rStyle w:val="Hyperlink"/>
                <w:noProof/>
                <w:lang w:val="en-US"/>
              </w:rPr>
              <w:t>de</w:t>
            </w:r>
            <w:r w:rsidR="006F2657" w:rsidRPr="009334D3">
              <w:rPr>
                <w:rStyle w:val="Hyperlink"/>
                <w:noProof/>
              </w:rPr>
              <w:t>tomidine</w:t>
            </w:r>
            <w:r w:rsidR="006F2657">
              <w:rPr>
                <w:noProof/>
                <w:webHidden/>
              </w:rPr>
              <w:tab/>
            </w:r>
            <w:r w:rsidR="006F2657">
              <w:rPr>
                <w:noProof/>
                <w:webHidden/>
              </w:rPr>
              <w:fldChar w:fldCharType="begin"/>
            </w:r>
            <w:r w:rsidR="006F2657">
              <w:rPr>
                <w:noProof/>
                <w:webHidden/>
              </w:rPr>
              <w:instrText xml:space="preserve"> PAGEREF _Toc158290247 \h </w:instrText>
            </w:r>
            <w:r w:rsidR="006F2657">
              <w:rPr>
                <w:noProof/>
                <w:webHidden/>
              </w:rPr>
            </w:r>
            <w:r w:rsidR="006F2657">
              <w:rPr>
                <w:noProof/>
                <w:webHidden/>
              </w:rPr>
              <w:fldChar w:fldCharType="separate"/>
            </w:r>
            <w:r w:rsidR="00D671E3">
              <w:rPr>
                <w:noProof/>
                <w:webHidden/>
              </w:rPr>
              <w:t>20</w:t>
            </w:r>
            <w:r w:rsidR="006F2657">
              <w:rPr>
                <w:noProof/>
                <w:webHidden/>
              </w:rPr>
              <w:fldChar w:fldCharType="end"/>
            </w:r>
          </w:hyperlink>
        </w:p>
        <w:p w14:paraId="4D8B691B" w14:textId="594237EC"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48" w:history="1">
            <w:r w:rsidR="006F2657" w:rsidRPr="009334D3">
              <w:rPr>
                <w:rStyle w:val="Hyperlink"/>
                <w:bCs/>
                <w:noProof/>
                <w:lang w:val="id-ID"/>
              </w:rPr>
              <w:t>2.4.3</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 xml:space="preserve">Mekanisme Aksi </w:t>
            </w:r>
            <w:r w:rsidR="006F2657" w:rsidRPr="009334D3">
              <w:rPr>
                <w:rStyle w:val="Hyperlink"/>
                <w:noProof/>
              </w:rPr>
              <w:t>Dexme</w:t>
            </w:r>
            <w:r w:rsidR="006F2657" w:rsidRPr="009334D3">
              <w:rPr>
                <w:rStyle w:val="Hyperlink"/>
                <w:noProof/>
                <w:lang w:val="en-US"/>
              </w:rPr>
              <w:t>de</w:t>
            </w:r>
            <w:r w:rsidR="006F2657" w:rsidRPr="009334D3">
              <w:rPr>
                <w:rStyle w:val="Hyperlink"/>
                <w:noProof/>
              </w:rPr>
              <w:t>tomidine</w:t>
            </w:r>
            <w:r w:rsidR="006F2657">
              <w:rPr>
                <w:noProof/>
                <w:webHidden/>
              </w:rPr>
              <w:tab/>
            </w:r>
            <w:r w:rsidR="006F2657">
              <w:rPr>
                <w:noProof/>
                <w:webHidden/>
              </w:rPr>
              <w:fldChar w:fldCharType="begin"/>
            </w:r>
            <w:r w:rsidR="006F2657">
              <w:rPr>
                <w:noProof/>
                <w:webHidden/>
              </w:rPr>
              <w:instrText xml:space="preserve"> PAGEREF _Toc158290248 \h </w:instrText>
            </w:r>
            <w:r w:rsidR="006F2657">
              <w:rPr>
                <w:noProof/>
                <w:webHidden/>
              </w:rPr>
            </w:r>
            <w:r w:rsidR="006F2657">
              <w:rPr>
                <w:noProof/>
                <w:webHidden/>
              </w:rPr>
              <w:fldChar w:fldCharType="separate"/>
            </w:r>
            <w:r w:rsidR="00D671E3">
              <w:rPr>
                <w:noProof/>
                <w:webHidden/>
              </w:rPr>
              <w:t>21</w:t>
            </w:r>
            <w:r w:rsidR="006F2657">
              <w:rPr>
                <w:noProof/>
                <w:webHidden/>
              </w:rPr>
              <w:fldChar w:fldCharType="end"/>
            </w:r>
          </w:hyperlink>
        </w:p>
        <w:p w14:paraId="784C0AA5" w14:textId="284E7633"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49" w:history="1">
            <w:r w:rsidR="006F2657" w:rsidRPr="009334D3">
              <w:rPr>
                <w:rStyle w:val="Hyperlink"/>
                <w:bCs/>
                <w:noProof/>
                <w:lang w:eastAsia="zh-CN"/>
              </w:rPr>
              <w:t>2.4.4</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eastAsia="zh-CN"/>
              </w:rPr>
              <w:t xml:space="preserve">Farmakologi </w:t>
            </w:r>
            <w:r w:rsidR="006F2657" w:rsidRPr="009334D3">
              <w:rPr>
                <w:rStyle w:val="Hyperlink"/>
                <w:noProof/>
              </w:rPr>
              <w:t>Dexme</w:t>
            </w:r>
            <w:r w:rsidR="006F2657" w:rsidRPr="009334D3">
              <w:rPr>
                <w:rStyle w:val="Hyperlink"/>
                <w:noProof/>
                <w:lang w:val="en-US"/>
              </w:rPr>
              <w:t>de</w:t>
            </w:r>
            <w:r w:rsidR="006F2657" w:rsidRPr="009334D3">
              <w:rPr>
                <w:rStyle w:val="Hyperlink"/>
                <w:noProof/>
              </w:rPr>
              <w:t>tomidine</w:t>
            </w:r>
            <w:r w:rsidR="006F2657">
              <w:rPr>
                <w:noProof/>
                <w:webHidden/>
              </w:rPr>
              <w:tab/>
            </w:r>
            <w:r w:rsidR="006F2657">
              <w:rPr>
                <w:noProof/>
                <w:webHidden/>
              </w:rPr>
              <w:fldChar w:fldCharType="begin"/>
            </w:r>
            <w:r w:rsidR="006F2657">
              <w:rPr>
                <w:noProof/>
                <w:webHidden/>
              </w:rPr>
              <w:instrText xml:space="preserve"> PAGEREF _Toc158290249 \h </w:instrText>
            </w:r>
            <w:r w:rsidR="006F2657">
              <w:rPr>
                <w:noProof/>
                <w:webHidden/>
              </w:rPr>
            </w:r>
            <w:r w:rsidR="006F2657">
              <w:rPr>
                <w:noProof/>
                <w:webHidden/>
              </w:rPr>
              <w:fldChar w:fldCharType="separate"/>
            </w:r>
            <w:r w:rsidR="00D671E3">
              <w:rPr>
                <w:noProof/>
                <w:webHidden/>
              </w:rPr>
              <w:t>25</w:t>
            </w:r>
            <w:r w:rsidR="006F2657">
              <w:rPr>
                <w:noProof/>
                <w:webHidden/>
              </w:rPr>
              <w:fldChar w:fldCharType="end"/>
            </w:r>
          </w:hyperlink>
        </w:p>
        <w:p w14:paraId="184153FB" w14:textId="1752C6D6"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50" w:history="1">
            <w:r w:rsidR="006F2657" w:rsidRPr="009334D3">
              <w:rPr>
                <w:rStyle w:val="Hyperlink"/>
                <w:bCs/>
                <w:noProof/>
                <w:lang w:eastAsia="zh-CN"/>
              </w:rPr>
              <w:t>2.4.5</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eastAsia="zh-CN"/>
              </w:rPr>
              <w:t xml:space="preserve">Efek Samping </w:t>
            </w:r>
            <w:r w:rsidR="006F2657" w:rsidRPr="009334D3">
              <w:rPr>
                <w:rStyle w:val="Hyperlink"/>
                <w:noProof/>
              </w:rPr>
              <w:t>Dexme</w:t>
            </w:r>
            <w:r w:rsidR="006F2657" w:rsidRPr="009334D3">
              <w:rPr>
                <w:rStyle w:val="Hyperlink"/>
                <w:noProof/>
                <w:lang w:val="en-US"/>
              </w:rPr>
              <w:t>de</w:t>
            </w:r>
            <w:r w:rsidR="006F2657" w:rsidRPr="009334D3">
              <w:rPr>
                <w:rStyle w:val="Hyperlink"/>
                <w:noProof/>
              </w:rPr>
              <w:t>tomidine</w:t>
            </w:r>
            <w:r w:rsidR="006F2657">
              <w:rPr>
                <w:noProof/>
                <w:webHidden/>
              </w:rPr>
              <w:tab/>
            </w:r>
            <w:r w:rsidR="006F2657">
              <w:rPr>
                <w:noProof/>
                <w:webHidden/>
              </w:rPr>
              <w:fldChar w:fldCharType="begin"/>
            </w:r>
            <w:r w:rsidR="006F2657">
              <w:rPr>
                <w:noProof/>
                <w:webHidden/>
              </w:rPr>
              <w:instrText xml:space="preserve"> PAGEREF _Toc158290250 \h </w:instrText>
            </w:r>
            <w:r w:rsidR="006F2657">
              <w:rPr>
                <w:noProof/>
                <w:webHidden/>
              </w:rPr>
            </w:r>
            <w:r w:rsidR="006F2657">
              <w:rPr>
                <w:noProof/>
                <w:webHidden/>
              </w:rPr>
              <w:fldChar w:fldCharType="separate"/>
            </w:r>
            <w:r w:rsidR="00D671E3">
              <w:rPr>
                <w:noProof/>
                <w:webHidden/>
              </w:rPr>
              <w:t>26</w:t>
            </w:r>
            <w:r w:rsidR="006F2657">
              <w:rPr>
                <w:noProof/>
                <w:webHidden/>
              </w:rPr>
              <w:fldChar w:fldCharType="end"/>
            </w:r>
          </w:hyperlink>
        </w:p>
        <w:p w14:paraId="1D3F775D" w14:textId="447D6BA1"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51" w:history="1">
            <w:r w:rsidR="006F2657" w:rsidRPr="009334D3">
              <w:rPr>
                <w:rStyle w:val="Hyperlink"/>
                <w:bCs/>
                <w:noProof/>
                <w:lang w:eastAsia="zh-CN"/>
              </w:rPr>
              <w:t>2.4.6</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P</w:t>
            </w:r>
            <w:r w:rsidR="006F2657" w:rsidRPr="009334D3">
              <w:rPr>
                <w:rStyle w:val="Hyperlink"/>
                <w:noProof/>
              </w:rPr>
              <w:t>enggunaan Dexme</w:t>
            </w:r>
            <w:r w:rsidR="006F2657" w:rsidRPr="009334D3">
              <w:rPr>
                <w:rStyle w:val="Hyperlink"/>
                <w:noProof/>
                <w:lang w:val="en-US"/>
              </w:rPr>
              <w:t>de</w:t>
            </w:r>
            <w:r w:rsidR="006F2657" w:rsidRPr="009334D3">
              <w:rPr>
                <w:rStyle w:val="Hyperlink"/>
                <w:noProof/>
              </w:rPr>
              <w:t xml:space="preserve">tomidine </w:t>
            </w:r>
            <w:r w:rsidR="006F2657" w:rsidRPr="009334D3">
              <w:rPr>
                <w:rStyle w:val="Hyperlink"/>
                <w:noProof/>
                <w:lang w:val="id-ID"/>
              </w:rPr>
              <w:t>Intravena</w:t>
            </w:r>
            <w:r w:rsidR="006F2657">
              <w:rPr>
                <w:noProof/>
                <w:webHidden/>
              </w:rPr>
              <w:tab/>
            </w:r>
            <w:r w:rsidR="006F2657">
              <w:rPr>
                <w:noProof/>
                <w:webHidden/>
              </w:rPr>
              <w:fldChar w:fldCharType="begin"/>
            </w:r>
            <w:r w:rsidR="006F2657">
              <w:rPr>
                <w:noProof/>
                <w:webHidden/>
              </w:rPr>
              <w:instrText xml:space="preserve"> PAGEREF _Toc158290251 \h </w:instrText>
            </w:r>
            <w:r w:rsidR="006F2657">
              <w:rPr>
                <w:noProof/>
                <w:webHidden/>
              </w:rPr>
            </w:r>
            <w:r w:rsidR="006F2657">
              <w:rPr>
                <w:noProof/>
                <w:webHidden/>
              </w:rPr>
              <w:fldChar w:fldCharType="separate"/>
            </w:r>
            <w:r w:rsidR="00D671E3">
              <w:rPr>
                <w:noProof/>
                <w:webHidden/>
              </w:rPr>
              <w:t>27</w:t>
            </w:r>
            <w:r w:rsidR="006F2657">
              <w:rPr>
                <w:noProof/>
                <w:webHidden/>
              </w:rPr>
              <w:fldChar w:fldCharType="end"/>
            </w:r>
          </w:hyperlink>
        </w:p>
        <w:p w14:paraId="26D2E096" w14:textId="28D714C8"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52" w:history="1">
            <w:r w:rsidR="006F2657" w:rsidRPr="009334D3">
              <w:rPr>
                <w:rStyle w:val="Hyperlink"/>
                <w:noProof/>
                <w:lang w:val="en-US"/>
              </w:rPr>
              <w:t>2.5</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Levob</w:t>
            </w:r>
            <w:r w:rsidR="006F2657" w:rsidRPr="009334D3">
              <w:rPr>
                <w:rStyle w:val="Hyperlink"/>
                <w:noProof/>
              </w:rPr>
              <w:t>upivacaine</w:t>
            </w:r>
            <w:r w:rsidR="006F2657">
              <w:rPr>
                <w:noProof/>
                <w:webHidden/>
              </w:rPr>
              <w:tab/>
            </w:r>
            <w:r w:rsidR="006F2657">
              <w:rPr>
                <w:noProof/>
                <w:webHidden/>
              </w:rPr>
              <w:fldChar w:fldCharType="begin"/>
            </w:r>
            <w:r w:rsidR="006F2657">
              <w:rPr>
                <w:noProof/>
                <w:webHidden/>
              </w:rPr>
              <w:instrText xml:space="preserve"> PAGEREF _Toc158290252 \h </w:instrText>
            </w:r>
            <w:r w:rsidR="006F2657">
              <w:rPr>
                <w:noProof/>
                <w:webHidden/>
              </w:rPr>
            </w:r>
            <w:r w:rsidR="006F2657">
              <w:rPr>
                <w:noProof/>
                <w:webHidden/>
              </w:rPr>
              <w:fldChar w:fldCharType="separate"/>
            </w:r>
            <w:r w:rsidR="00D671E3">
              <w:rPr>
                <w:noProof/>
                <w:webHidden/>
              </w:rPr>
              <w:t>29</w:t>
            </w:r>
            <w:r w:rsidR="006F2657">
              <w:rPr>
                <w:noProof/>
                <w:webHidden/>
              </w:rPr>
              <w:fldChar w:fldCharType="end"/>
            </w:r>
          </w:hyperlink>
        </w:p>
        <w:p w14:paraId="02FE9E02" w14:textId="1B85776C"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53" w:history="1">
            <w:r w:rsidR="006F2657" w:rsidRPr="009334D3">
              <w:rPr>
                <w:rStyle w:val="Hyperlink"/>
                <w:bCs/>
                <w:noProof/>
                <w:lang w:val="id-ID"/>
              </w:rPr>
              <w:t>2.5.1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Pengertian dan Fungsi Levob</w:t>
            </w:r>
            <w:r w:rsidR="006F2657" w:rsidRPr="009334D3">
              <w:rPr>
                <w:rStyle w:val="Hyperlink"/>
                <w:noProof/>
              </w:rPr>
              <w:t>upivacaine</w:t>
            </w:r>
            <w:r w:rsidR="006F2657">
              <w:rPr>
                <w:noProof/>
                <w:webHidden/>
              </w:rPr>
              <w:tab/>
            </w:r>
            <w:r w:rsidR="006F2657">
              <w:rPr>
                <w:noProof/>
                <w:webHidden/>
              </w:rPr>
              <w:fldChar w:fldCharType="begin"/>
            </w:r>
            <w:r w:rsidR="006F2657">
              <w:rPr>
                <w:noProof/>
                <w:webHidden/>
              </w:rPr>
              <w:instrText xml:space="preserve"> PAGEREF _Toc158290253 \h </w:instrText>
            </w:r>
            <w:r w:rsidR="006F2657">
              <w:rPr>
                <w:noProof/>
                <w:webHidden/>
              </w:rPr>
            </w:r>
            <w:r w:rsidR="006F2657">
              <w:rPr>
                <w:noProof/>
                <w:webHidden/>
              </w:rPr>
              <w:fldChar w:fldCharType="separate"/>
            </w:r>
            <w:r w:rsidR="00D671E3">
              <w:rPr>
                <w:noProof/>
                <w:webHidden/>
              </w:rPr>
              <w:t>29</w:t>
            </w:r>
            <w:r w:rsidR="006F2657">
              <w:rPr>
                <w:noProof/>
                <w:webHidden/>
              </w:rPr>
              <w:fldChar w:fldCharType="end"/>
            </w:r>
          </w:hyperlink>
        </w:p>
        <w:p w14:paraId="7D005916" w14:textId="2FABD4B1"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54" w:history="1">
            <w:r w:rsidR="006F2657" w:rsidRPr="009334D3">
              <w:rPr>
                <w:rStyle w:val="Hyperlink"/>
                <w:bCs/>
                <w:noProof/>
                <w:lang w:val="id-ID"/>
              </w:rPr>
              <w:t>2.5.2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Indikasi dan Kontraindikasi Levob</w:t>
            </w:r>
            <w:r w:rsidR="006F2657" w:rsidRPr="009334D3">
              <w:rPr>
                <w:rStyle w:val="Hyperlink"/>
                <w:noProof/>
              </w:rPr>
              <w:t>upivacaine</w:t>
            </w:r>
            <w:r w:rsidR="006F2657">
              <w:rPr>
                <w:noProof/>
                <w:webHidden/>
              </w:rPr>
              <w:tab/>
            </w:r>
            <w:r w:rsidR="006F2657">
              <w:rPr>
                <w:noProof/>
                <w:webHidden/>
              </w:rPr>
              <w:fldChar w:fldCharType="begin"/>
            </w:r>
            <w:r w:rsidR="006F2657">
              <w:rPr>
                <w:noProof/>
                <w:webHidden/>
              </w:rPr>
              <w:instrText xml:space="preserve"> PAGEREF _Toc158290254 \h </w:instrText>
            </w:r>
            <w:r w:rsidR="006F2657">
              <w:rPr>
                <w:noProof/>
                <w:webHidden/>
              </w:rPr>
            </w:r>
            <w:r w:rsidR="006F2657">
              <w:rPr>
                <w:noProof/>
                <w:webHidden/>
              </w:rPr>
              <w:fldChar w:fldCharType="separate"/>
            </w:r>
            <w:r w:rsidR="00D671E3">
              <w:rPr>
                <w:noProof/>
                <w:webHidden/>
              </w:rPr>
              <w:t>30</w:t>
            </w:r>
            <w:r w:rsidR="006F2657">
              <w:rPr>
                <w:noProof/>
                <w:webHidden/>
              </w:rPr>
              <w:fldChar w:fldCharType="end"/>
            </w:r>
          </w:hyperlink>
        </w:p>
        <w:p w14:paraId="1166A133" w14:textId="425BD54C"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55" w:history="1">
            <w:r w:rsidR="006F2657" w:rsidRPr="009334D3">
              <w:rPr>
                <w:rStyle w:val="Hyperlink"/>
                <w:bCs/>
                <w:noProof/>
                <w:lang w:val="id-ID"/>
              </w:rPr>
              <w:t>2.5.3</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Mekanisme Aksi Levob</w:t>
            </w:r>
            <w:r w:rsidR="006F2657" w:rsidRPr="009334D3">
              <w:rPr>
                <w:rStyle w:val="Hyperlink"/>
                <w:noProof/>
              </w:rPr>
              <w:t>upivacaine</w:t>
            </w:r>
            <w:r w:rsidR="006F2657">
              <w:rPr>
                <w:noProof/>
                <w:webHidden/>
              </w:rPr>
              <w:tab/>
            </w:r>
            <w:r w:rsidR="006F2657">
              <w:rPr>
                <w:noProof/>
                <w:webHidden/>
              </w:rPr>
              <w:fldChar w:fldCharType="begin"/>
            </w:r>
            <w:r w:rsidR="006F2657">
              <w:rPr>
                <w:noProof/>
                <w:webHidden/>
              </w:rPr>
              <w:instrText xml:space="preserve"> PAGEREF _Toc158290255 \h </w:instrText>
            </w:r>
            <w:r w:rsidR="006F2657">
              <w:rPr>
                <w:noProof/>
                <w:webHidden/>
              </w:rPr>
            </w:r>
            <w:r w:rsidR="006F2657">
              <w:rPr>
                <w:noProof/>
                <w:webHidden/>
              </w:rPr>
              <w:fldChar w:fldCharType="separate"/>
            </w:r>
            <w:r w:rsidR="00D671E3">
              <w:rPr>
                <w:noProof/>
                <w:webHidden/>
              </w:rPr>
              <w:t>30</w:t>
            </w:r>
            <w:r w:rsidR="006F2657">
              <w:rPr>
                <w:noProof/>
                <w:webHidden/>
              </w:rPr>
              <w:fldChar w:fldCharType="end"/>
            </w:r>
          </w:hyperlink>
        </w:p>
        <w:p w14:paraId="2942E3D7" w14:textId="5F3E1D76"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56" w:history="1">
            <w:r w:rsidR="006F2657" w:rsidRPr="009334D3">
              <w:rPr>
                <w:rStyle w:val="Hyperlink"/>
                <w:bCs/>
                <w:noProof/>
                <w:lang w:eastAsia="zh-CN"/>
              </w:rPr>
              <w:t>2.5.4</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eastAsia="zh-CN"/>
              </w:rPr>
              <w:t xml:space="preserve">Farmakologi </w:t>
            </w:r>
            <w:r w:rsidR="006F2657" w:rsidRPr="009334D3">
              <w:rPr>
                <w:rStyle w:val="Hyperlink"/>
                <w:noProof/>
                <w:lang w:val="id-ID"/>
              </w:rPr>
              <w:t>Levob</w:t>
            </w:r>
            <w:r w:rsidR="006F2657" w:rsidRPr="009334D3">
              <w:rPr>
                <w:rStyle w:val="Hyperlink"/>
                <w:noProof/>
              </w:rPr>
              <w:t>upivacaine</w:t>
            </w:r>
            <w:r w:rsidR="006F2657">
              <w:rPr>
                <w:noProof/>
                <w:webHidden/>
              </w:rPr>
              <w:tab/>
            </w:r>
            <w:r w:rsidR="006F2657">
              <w:rPr>
                <w:noProof/>
                <w:webHidden/>
              </w:rPr>
              <w:fldChar w:fldCharType="begin"/>
            </w:r>
            <w:r w:rsidR="006F2657">
              <w:rPr>
                <w:noProof/>
                <w:webHidden/>
              </w:rPr>
              <w:instrText xml:space="preserve"> PAGEREF _Toc158290256 \h </w:instrText>
            </w:r>
            <w:r w:rsidR="006F2657">
              <w:rPr>
                <w:noProof/>
                <w:webHidden/>
              </w:rPr>
            </w:r>
            <w:r w:rsidR="006F2657">
              <w:rPr>
                <w:noProof/>
                <w:webHidden/>
              </w:rPr>
              <w:fldChar w:fldCharType="separate"/>
            </w:r>
            <w:r w:rsidR="00D671E3">
              <w:rPr>
                <w:noProof/>
                <w:webHidden/>
              </w:rPr>
              <w:t>33</w:t>
            </w:r>
            <w:r w:rsidR="006F2657">
              <w:rPr>
                <w:noProof/>
                <w:webHidden/>
              </w:rPr>
              <w:fldChar w:fldCharType="end"/>
            </w:r>
          </w:hyperlink>
        </w:p>
        <w:p w14:paraId="062B7F6F" w14:textId="47CA6E51"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57" w:history="1">
            <w:r w:rsidR="006F2657" w:rsidRPr="009334D3">
              <w:rPr>
                <w:rStyle w:val="Hyperlink"/>
                <w:bCs/>
                <w:noProof/>
                <w:lang w:eastAsia="zh-CN"/>
              </w:rPr>
              <w:t>2.5.5</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eastAsia="zh-CN"/>
              </w:rPr>
              <w:t xml:space="preserve">Efek Samping </w:t>
            </w:r>
            <w:r w:rsidR="006F2657" w:rsidRPr="009334D3">
              <w:rPr>
                <w:rStyle w:val="Hyperlink"/>
                <w:noProof/>
                <w:lang w:val="id-ID"/>
              </w:rPr>
              <w:t>Levob</w:t>
            </w:r>
            <w:r w:rsidR="006F2657" w:rsidRPr="009334D3">
              <w:rPr>
                <w:rStyle w:val="Hyperlink"/>
                <w:noProof/>
              </w:rPr>
              <w:t>upivacaine</w:t>
            </w:r>
            <w:r w:rsidR="006F2657">
              <w:rPr>
                <w:noProof/>
                <w:webHidden/>
              </w:rPr>
              <w:tab/>
            </w:r>
            <w:r w:rsidR="006F2657">
              <w:rPr>
                <w:noProof/>
                <w:webHidden/>
              </w:rPr>
              <w:fldChar w:fldCharType="begin"/>
            </w:r>
            <w:r w:rsidR="006F2657">
              <w:rPr>
                <w:noProof/>
                <w:webHidden/>
              </w:rPr>
              <w:instrText xml:space="preserve"> PAGEREF _Toc158290257 \h </w:instrText>
            </w:r>
            <w:r w:rsidR="006F2657">
              <w:rPr>
                <w:noProof/>
                <w:webHidden/>
              </w:rPr>
            </w:r>
            <w:r w:rsidR="006F2657">
              <w:rPr>
                <w:noProof/>
                <w:webHidden/>
              </w:rPr>
              <w:fldChar w:fldCharType="separate"/>
            </w:r>
            <w:r w:rsidR="00D671E3">
              <w:rPr>
                <w:noProof/>
                <w:webHidden/>
              </w:rPr>
              <w:t>35</w:t>
            </w:r>
            <w:r w:rsidR="006F2657">
              <w:rPr>
                <w:noProof/>
                <w:webHidden/>
              </w:rPr>
              <w:fldChar w:fldCharType="end"/>
            </w:r>
          </w:hyperlink>
        </w:p>
        <w:p w14:paraId="4DC46E03" w14:textId="0C0D474F"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58" w:history="1">
            <w:r w:rsidR="006F2657" w:rsidRPr="009334D3">
              <w:rPr>
                <w:rStyle w:val="Hyperlink"/>
                <w:bCs/>
                <w:noProof/>
                <w:lang w:eastAsia="zh-CN"/>
              </w:rPr>
              <w:t>2.5.6</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P</w:t>
            </w:r>
            <w:r w:rsidR="006F2657" w:rsidRPr="009334D3">
              <w:rPr>
                <w:rStyle w:val="Hyperlink"/>
                <w:noProof/>
              </w:rPr>
              <w:t xml:space="preserve">enggunaan </w:t>
            </w:r>
            <w:r w:rsidR="006F2657" w:rsidRPr="009334D3">
              <w:rPr>
                <w:rStyle w:val="Hyperlink"/>
                <w:noProof/>
                <w:lang w:val="id-ID"/>
              </w:rPr>
              <w:t>Levo</w:t>
            </w:r>
            <w:r w:rsidR="006F2657" w:rsidRPr="009334D3">
              <w:rPr>
                <w:rStyle w:val="Hyperlink"/>
                <w:noProof/>
              </w:rPr>
              <w:t xml:space="preserve">bupicavaine Infiltrasi </w:t>
            </w:r>
            <w:r w:rsidR="006F2657" w:rsidRPr="009334D3">
              <w:rPr>
                <w:rStyle w:val="Hyperlink"/>
                <w:noProof/>
                <w:lang w:val="en-US"/>
              </w:rPr>
              <w:t>p</w:t>
            </w:r>
            <w:r w:rsidR="006F2657" w:rsidRPr="009334D3">
              <w:rPr>
                <w:rStyle w:val="Hyperlink"/>
                <w:noProof/>
                <w:lang w:val="id-ID"/>
              </w:rPr>
              <w:t>ada Tonsilektomi</w:t>
            </w:r>
            <w:r w:rsidR="006F2657">
              <w:rPr>
                <w:noProof/>
                <w:webHidden/>
              </w:rPr>
              <w:tab/>
            </w:r>
            <w:r w:rsidR="006F2657">
              <w:rPr>
                <w:noProof/>
                <w:webHidden/>
              </w:rPr>
              <w:fldChar w:fldCharType="begin"/>
            </w:r>
            <w:r w:rsidR="006F2657">
              <w:rPr>
                <w:noProof/>
                <w:webHidden/>
              </w:rPr>
              <w:instrText xml:space="preserve"> PAGEREF _Toc158290258 \h </w:instrText>
            </w:r>
            <w:r w:rsidR="006F2657">
              <w:rPr>
                <w:noProof/>
                <w:webHidden/>
              </w:rPr>
            </w:r>
            <w:r w:rsidR="006F2657">
              <w:rPr>
                <w:noProof/>
                <w:webHidden/>
              </w:rPr>
              <w:fldChar w:fldCharType="separate"/>
            </w:r>
            <w:r w:rsidR="00D671E3">
              <w:rPr>
                <w:noProof/>
                <w:webHidden/>
              </w:rPr>
              <w:t>35</w:t>
            </w:r>
            <w:r w:rsidR="006F2657">
              <w:rPr>
                <w:noProof/>
                <w:webHidden/>
              </w:rPr>
              <w:fldChar w:fldCharType="end"/>
            </w:r>
          </w:hyperlink>
        </w:p>
        <w:p w14:paraId="03BD34C5" w14:textId="55DE1F2C" w:rsidR="006F2657" w:rsidRDefault="00000000" w:rsidP="006F2657">
          <w:pPr>
            <w:pStyle w:val="TOC2"/>
            <w:ind w:left="1418" w:hanging="567"/>
            <w:rPr>
              <w:rFonts w:asciiTheme="minorHAnsi" w:eastAsiaTheme="minorEastAsia" w:hAnsiTheme="minorHAnsi" w:cstheme="minorBidi"/>
              <w:noProof/>
              <w:kern w:val="2"/>
              <w:sz w:val="22"/>
              <w:szCs w:val="22"/>
              <w:lang w:val="id-ID" w:eastAsia="id-ID"/>
              <w14:ligatures w14:val="standardContextual"/>
            </w:rPr>
          </w:pPr>
          <w:hyperlink w:anchor="_Toc158290259" w:history="1">
            <w:r w:rsidR="006F2657" w:rsidRPr="009334D3">
              <w:rPr>
                <w:rStyle w:val="Hyperlink"/>
                <w:noProof/>
              </w:rPr>
              <w:t>2.6</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bCs/>
                <w:noProof/>
              </w:rPr>
              <w:t>Penggunaan Dexme</w:t>
            </w:r>
            <w:r w:rsidR="006F2657" w:rsidRPr="009334D3">
              <w:rPr>
                <w:rStyle w:val="Hyperlink"/>
                <w:bCs/>
                <w:noProof/>
                <w:lang w:val="en-US"/>
              </w:rPr>
              <w:t>de</w:t>
            </w:r>
            <w:r w:rsidR="006F2657" w:rsidRPr="009334D3">
              <w:rPr>
                <w:rStyle w:val="Hyperlink"/>
                <w:bCs/>
                <w:noProof/>
              </w:rPr>
              <w:t xml:space="preserve">tomidine Intravena </w:t>
            </w:r>
            <w:r w:rsidR="006F2657" w:rsidRPr="009334D3">
              <w:rPr>
                <w:rStyle w:val="Hyperlink"/>
                <w:bCs/>
                <w:noProof/>
                <w:lang w:val="en-US"/>
              </w:rPr>
              <w:t>d</w:t>
            </w:r>
            <w:r w:rsidR="006F2657" w:rsidRPr="009334D3">
              <w:rPr>
                <w:rStyle w:val="Hyperlink"/>
                <w:bCs/>
                <w:noProof/>
              </w:rPr>
              <w:t xml:space="preserve">an </w:t>
            </w:r>
            <w:r w:rsidR="006F2657" w:rsidRPr="009334D3">
              <w:rPr>
                <w:rStyle w:val="Hyperlink"/>
                <w:noProof/>
                <w:lang w:val="id-ID"/>
              </w:rPr>
              <w:t>Levo</w:t>
            </w:r>
            <w:r w:rsidR="006F2657" w:rsidRPr="009334D3">
              <w:rPr>
                <w:rStyle w:val="Hyperlink"/>
                <w:bCs/>
                <w:noProof/>
              </w:rPr>
              <w:t>bupicavaine Infiltrasi</w:t>
            </w:r>
            <w:r w:rsidR="006F2657">
              <w:rPr>
                <w:noProof/>
                <w:webHidden/>
              </w:rPr>
              <w:tab/>
            </w:r>
            <w:r w:rsidR="006F2657">
              <w:rPr>
                <w:noProof/>
                <w:webHidden/>
              </w:rPr>
              <w:fldChar w:fldCharType="begin"/>
            </w:r>
            <w:r w:rsidR="006F2657">
              <w:rPr>
                <w:noProof/>
                <w:webHidden/>
              </w:rPr>
              <w:instrText xml:space="preserve"> PAGEREF _Toc158290259 \h </w:instrText>
            </w:r>
            <w:r w:rsidR="006F2657">
              <w:rPr>
                <w:noProof/>
                <w:webHidden/>
              </w:rPr>
            </w:r>
            <w:r w:rsidR="006F2657">
              <w:rPr>
                <w:noProof/>
                <w:webHidden/>
              </w:rPr>
              <w:fldChar w:fldCharType="separate"/>
            </w:r>
            <w:r w:rsidR="00D671E3">
              <w:rPr>
                <w:noProof/>
                <w:webHidden/>
              </w:rPr>
              <w:t>36</w:t>
            </w:r>
            <w:r w:rsidR="006F2657">
              <w:rPr>
                <w:noProof/>
                <w:webHidden/>
              </w:rPr>
              <w:fldChar w:fldCharType="end"/>
            </w:r>
          </w:hyperlink>
        </w:p>
        <w:p w14:paraId="0C9E2E94" w14:textId="5E3D4976"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60" w:history="1">
            <w:r w:rsidR="006F2657" w:rsidRPr="009334D3">
              <w:rPr>
                <w:rStyle w:val="Hyperlink"/>
                <w:bCs/>
                <w:noProof/>
              </w:rPr>
              <w:t>2.5. Interleukin 6 (IL-6)</w:t>
            </w:r>
            <w:r w:rsidR="006F2657">
              <w:rPr>
                <w:noProof/>
                <w:webHidden/>
              </w:rPr>
              <w:tab/>
            </w:r>
            <w:r w:rsidR="006F2657">
              <w:rPr>
                <w:noProof/>
                <w:webHidden/>
              </w:rPr>
              <w:fldChar w:fldCharType="begin"/>
            </w:r>
            <w:r w:rsidR="006F2657">
              <w:rPr>
                <w:noProof/>
                <w:webHidden/>
              </w:rPr>
              <w:instrText xml:space="preserve"> PAGEREF _Toc158290260 \h </w:instrText>
            </w:r>
            <w:r w:rsidR="006F2657">
              <w:rPr>
                <w:noProof/>
                <w:webHidden/>
              </w:rPr>
            </w:r>
            <w:r w:rsidR="006F2657">
              <w:rPr>
                <w:noProof/>
                <w:webHidden/>
              </w:rPr>
              <w:fldChar w:fldCharType="separate"/>
            </w:r>
            <w:r w:rsidR="00D671E3">
              <w:rPr>
                <w:noProof/>
                <w:webHidden/>
              </w:rPr>
              <w:t>37</w:t>
            </w:r>
            <w:r w:rsidR="006F2657">
              <w:rPr>
                <w:noProof/>
                <w:webHidden/>
              </w:rPr>
              <w:fldChar w:fldCharType="end"/>
            </w:r>
          </w:hyperlink>
        </w:p>
        <w:p w14:paraId="2B6DA268" w14:textId="313EECC1"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61" w:history="1">
            <w:r w:rsidR="006F2657" w:rsidRPr="009334D3">
              <w:rPr>
                <w:rStyle w:val="Hyperlink"/>
                <w:noProof/>
              </w:rPr>
              <w:t>2.5.</w:t>
            </w:r>
            <w:r w:rsidR="006F2657" w:rsidRPr="009334D3">
              <w:rPr>
                <w:rStyle w:val="Hyperlink"/>
                <w:noProof/>
                <w:lang w:val="en-US"/>
              </w:rPr>
              <w:t>1</w:t>
            </w:r>
            <w:r w:rsidR="006F2657" w:rsidRPr="009334D3">
              <w:rPr>
                <w:rStyle w:val="Hyperlink"/>
                <w:noProof/>
              </w:rPr>
              <w:t xml:space="preserve">. Peran IL-6 </w:t>
            </w:r>
            <w:r w:rsidR="006F2657" w:rsidRPr="009334D3">
              <w:rPr>
                <w:rStyle w:val="Hyperlink"/>
                <w:noProof/>
                <w:lang w:val="en-US"/>
              </w:rPr>
              <w:t>p</w:t>
            </w:r>
            <w:r w:rsidR="006F2657" w:rsidRPr="009334D3">
              <w:rPr>
                <w:rStyle w:val="Hyperlink"/>
                <w:noProof/>
              </w:rPr>
              <w:t>ada Inflamasi</w:t>
            </w:r>
            <w:r w:rsidR="006F2657">
              <w:rPr>
                <w:noProof/>
                <w:webHidden/>
              </w:rPr>
              <w:tab/>
            </w:r>
            <w:r w:rsidR="006F2657">
              <w:rPr>
                <w:noProof/>
                <w:webHidden/>
              </w:rPr>
              <w:fldChar w:fldCharType="begin"/>
            </w:r>
            <w:r w:rsidR="006F2657">
              <w:rPr>
                <w:noProof/>
                <w:webHidden/>
              </w:rPr>
              <w:instrText xml:space="preserve"> PAGEREF _Toc158290261 \h </w:instrText>
            </w:r>
            <w:r w:rsidR="006F2657">
              <w:rPr>
                <w:noProof/>
                <w:webHidden/>
              </w:rPr>
            </w:r>
            <w:r w:rsidR="006F2657">
              <w:rPr>
                <w:noProof/>
                <w:webHidden/>
              </w:rPr>
              <w:fldChar w:fldCharType="separate"/>
            </w:r>
            <w:r w:rsidR="00D671E3">
              <w:rPr>
                <w:noProof/>
                <w:webHidden/>
              </w:rPr>
              <w:t>37</w:t>
            </w:r>
            <w:r w:rsidR="006F2657">
              <w:rPr>
                <w:noProof/>
                <w:webHidden/>
              </w:rPr>
              <w:fldChar w:fldCharType="end"/>
            </w:r>
          </w:hyperlink>
        </w:p>
        <w:p w14:paraId="27FC43ED" w14:textId="5ECC447C"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62" w:history="1">
            <w:r w:rsidR="006F2657" w:rsidRPr="009334D3">
              <w:rPr>
                <w:rStyle w:val="Hyperlink"/>
                <w:noProof/>
              </w:rPr>
              <w:t>2.5.</w:t>
            </w:r>
            <w:r w:rsidR="006F2657" w:rsidRPr="009334D3">
              <w:rPr>
                <w:rStyle w:val="Hyperlink"/>
                <w:noProof/>
                <w:lang w:val="en-US"/>
              </w:rPr>
              <w:t>2</w:t>
            </w:r>
            <w:r w:rsidR="006F2657" w:rsidRPr="009334D3">
              <w:rPr>
                <w:rStyle w:val="Hyperlink"/>
                <w:noProof/>
              </w:rPr>
              <w:t xml:space="preserve">. Peran IL-6 </w:t>
            </w:r>
            <w:r w:rsidR="006F2657" w:rsidRPr="009334D3">
              <w:rPr>
                <w:rStyle w:val="Hyperlink"/>
                <w:noProof/>
                <w:lang w:val="en-US"/>
              </w:rPr>
              <w:t>p</w:t>
            </w:r>
            <w:r w:rsidR="006F2657" w:rsidRPr="009334D3">
              <w:rPr>
                <w:rStyle w:val="Hyperlink"/>
                <w:noProof/>
              </w:rPr>
              <w:t>ada Mekanisme Nyeri</w:t>
            </w:r>
            <w:r w:rsidR="006F2657">
              <w:rPr>
                <w:noProof/>
                <w:webHidden/>
              </w:rPr>
              <w:tab/>
            </w:r>
            <w:r w:rsidR="006F2657">
              <w:rPr>
                <w:noProof/>
                <w:webHidden/>
              </w:rPr>
              <w:fldChar w:fldCharType="begin"/>
            </w:r>
            <w:r w:rsidR="006F2657">
              <w:rPr>
                <w:noProof/>
                <w:webHidden/>
              </w:rPr>
              <w:instrText xml:space="preserve"> PAGEREF _Toc158290262 \h </w:instrText>
            </w:r>
            <w:r w:rsidR="006F2657">
              <w:rPr>
                <w:noProof/>
                <w:webHidden/>
              </w:rPr>
            </w:r>
            <w:r w:rsidR="006F2657">
              <w:rPr>
                <w:noProof/>
                <w:webHidden/>
              </w:rPr>
              <w:fldChar w:fldCharType="separate"/>
            </w:r>
            <w:r w:rsidR="00D671E3">
              <w:rPr>
                <w:noProof/>
                <w:webHidden/>
              </w:rPr>
              <w:t>38</w:t>
            </w:r>
            <w:r w:rsidR="006F2657">
              <w:rPr>
                <w:noProof/>
                <w:webHidden/>
              </w:rPr>
              <w:fldChar w:fldCharType="end"/>
            </w:r>
          </w:hyperlink>
        </w:p>
        <w:p w14:paraId="48FE4E06" w14:textId="1A26DD42" w:rsidR="006F2657" w:rsidRDefault="00000000">
          <w:pPr>
            <w:pStyle w:val="TOC1"/>
            <w:rPr>
              <w:rFonts w:asciiTheme="minorHAnsi" w:eastAsiaTheme="minorEastAsia" w:hAnsiTheme="minorHAnsi" w:cstheme="minorBidi"/>
              <w:noProof/>
              <w:kern w:val="2"/>
              <w:sz w:val="22"/>
              <w:szCs w:val="22"/>
              <w:lang w:val="id-ID" w:eastAsia="id-ID"/>
              <w14:ligatures w14:val="standardContextual"/>
            </w:rPr>
          </w:pPr>
          <w:hyperlink w:anchor="_Toc158290263" w:history="1">
            <w:r w:rsidR="006F2657" w:rsidRPr="009334D3">
              <w:rPr>
                <w:rStyle w:val="Hyperlink"/>
                <w:noProof/>
              </w:rPr>
              <w:t>BAB III</w:t>
            </w:r>
            <w:r w:rsidR="006F2657">
              <w:rPr>
                <w:noProof/>
                <w:webHidden/>
              </w:rPr>
              <w:tab/>
            </w:r>
          </w:hyperlink>
          <w:hyperlink w:anchor="_Toc158290264" w:history="1">
            <w:r w:rsidR="006F2657" w:rsidRPr="009334D3">
              <w:rPr>
                <w:rStyle w:val="Hyperlink"/>
                <w:noProof/>
              </w:rPr>
              <w:t>KERANGKA TEORI</w:t>
            </w:r>
            <w:r w:rsidR="006F2657">
              <w:rPr>
                <w:noProof/>
                <w:webHidden/>
              </w:rPr>
              <w:tab/>
            </w:r>
            <w:r w:rsidR="006F2657">
              <w:rPr>
                <w:noProof/>
                <w:webHidden/>
              </w:rPr>
              <w:fldChar w:fldCharType="begin"/>
            </w:r>
            <w:r w:rsidR="006F2657">
              <w:rPr>
                <w:noProof/>
                <w:webHidden/>
              </w:rPr>
              <w:instrText xml:space="preserve"> PAGEREF _Toc158290264 \h </w:instrText>
            </w:r>
            <w:r w:rsidR="006F2657">
              <w:rPr>
                <w:noProof/>
                <w:webHidden/>
              </w:rPr>
            </w:r>
            <w:r w:rsidR="006F2657">
              <w:rPr>
                <w:noProof/>
                <w:webHidden/>
              </w:rPr>
              <w:fldChar w:fldCharType="separate"/>
            </w:r>
            <w:r w:rsidR="00D671E3">
              <w:rPr>
                <w:noProof/>
                <w:webHidden/>
              </w:rPr>
              <w:t>40</w:t>
            </w:r>
            <w:r w:rsidR="006F2657">
              <w:rPr>
                <w:noProof/>
                <w:webHidden/>
              </w:rPr>
              <w:fldChar w:fldCharType="end"/>
            </w:r>
          </w:hyperlink>
        </w:p>
        <w:p w14:paraId="3A8B7277" w14:textId="6B29FFA3" w:rsidR="006F2657" w:rsidRDefault="00000000">
          <w:pPr>
            <w:pStyle w:val="TOC1"/>
            <w:rPr>
              <w:rFonts w:asciiTheme="minorHAnsi" w:eastAsiaTheme="minorEastAsia" w:hAnsiTheme="minorHAnsi" w:cstheme="minorBidi"/>
              <w:noProof/>
              <w:kern w:val="2"/>
              <w:sz w:val="22"/>
              <w:szCs w:val="22"/>
              <w:lang w:val="id-ID" w:eastAsia="id-ID"/>
              <w14:ligatures w14:val="standardContextual"/>
            </w:rPr>
          </w:pPr>
          <w:hyperlink w:anchor="_Toc158290265" w:history="1">
            <w:r w:rsidR="006F2657" w:rsidRPr="009334D3">
              <w:rPr>
                <w:rStyle w:val="Hyperlink"/>
                <w:noProof/>
                <w:lang w:val="id-ID"/>
              </w:rPr>
              <w:t>BAB IV</w:t>
            </w:r>
            <w:r w:rsidR="006F2657">
              <w:rPr>
                <w:noProof/>
                <w:webHidden/>
              </w:rPr>
              <w:tab/>
            </w:r>
          </w:hyperlink>
          <w:hyperlink w:anchor="_Toc158290266" w:history="1">
            <w:r w:rsidR="006F2657" w:rsidRPr="009334D3">
              <w:rPr>
                <w:rStyle w:val="Hyperlink"/>
                <w:noProof/>
                <w:lang w:val="id-ID"/>
              </w:rPr>
              <w:t>KERANGKA KONSEP</w:t>
            </w:r>
            <w:r w:rsidR="006F2657">
              <w:rPr>
                <w:noProof/>
                <w:webHidden/>
              </w:rPr>
              <w:tab/>
            </w:r>
            <w:r w:rsidR="006F2657">
              <w:rPr>
                <w:noProof/>
                <w:webHidden/>
              </w:rPr>
              <w:fldChar w:fldCharType="begin"/>
            </w:r>
            <w:r w:rsidR="006F2657">
              <w:rPr>
                <w:noProof/>
                <w:webHidden/>
              </w:rPr>
              <w:instrText xml:space="preserve"> PAGEREF _Toc158290266 \h </w:instrText>
            </w:r>
            <w:r w:rsidR="006F2657">
              <w:rPr>
                <w:noProof/>
                <w:webHidden/>
              </w:rPr>
            </w:r>
            <w:r w:rsidR="006F2657">
              <w:rPr>
                <w:noProof/>
                <w:webHidden/>
              </w:rPr>
              <w:fldChar w:fldCharType="separate"/>
            </w:r>
            <w:r w:rsidR="00D671E3">
              <w:rPr>
                <w:noProof/>
                <w:webHidden/>
              </w:rPr>
              <w:t>41</w:t>
            </w:r>
            <w:r w:rsidR="006F2657">
              <w:rPr>
                <w:noProof/>
                <w:webHidden/>
              </w:rPr>
              <w:fldChar w:fldCharType="end"/>
            </w:r>
          </w:hyperlink>
        </w:p>
        <w:p w14:paraId="78B95D08" w14:textId="67B31D92" w:rsidR="006F2657" w:rsidRDefault="00000000">
          <w:pPr>
            <w:pStyle w:val="TOC1"/>
            <w:rPr>
              <w:rFonts w:asciiTheme="minorHAnsi" w:eastAsiaTheme="minorEastAsia" w:hAnsiTheme="minorHAnsi" w:cstheme="minorBidi"/>
              <w:noProof/>
              <w:kern w:val="2"/>
              <w:sz w:val="22"/>
              <w:szCs w:val="22"/>
              <w:lang w:val="id-ID" w:eastAsia="id-ID"/>
              <w14:ligatures w14:val="standardContextual"/>
            </w:rPr>
          </w:pPr>
          <w:hyperlink w:anchor="_Toc158290267" w:history="1">
            <w:r w:rsidR="006F2657" w:rsidRPr="009334D3">
              <w:rPr>
                <w:rStyle w:val="Hyperlink"/>
                <w:noProof/>
              </w:rPr>
              <w:t>BAB V</w:t>
            </w:r>
            <w:r w:rsidR="006F2657">
              <w:rPr>
                <w:noProof/>
                <w:webHidden/>
              </w:rPr>
              <w:tab/>
            </w:r>
          </w:hyperlink>
          <w:hyperlink w:anchor="_Toc158290268" w:history="1">
            <w:r w:rsidR="006F2657" w:rsidRPr="009334D3">
              <w:rPr>
                <w:rStyle w:val="Hyperlink"/>
                <w:noProof/>
              </w:rPr>
              <w:t>METODOLOGI PENELITIAN</w:t>
            </w:r>
            <w:r w:rsidR="006F2657">
              <w:rPr>
                <w:noProof/>
                <w:webHidden/>
              </w:rPr>
              <w:tab/>
            </w:r>
            <w:r w:rsidR="006F2657">
              <w:rPr>
                <w:noProof/>
                <w:webHidden/>
              </w:rPr>
              <w:fldChar w:fldCharType="begin"/>
            </w:r>
            <w:r w:rsidR="006F2657">
              <w:rPr>
                <w:noProof/>
                <w:webHidden/>
              </w:rPr>
              <w:instrText xml:space="preserve"> PAGEREF _Toc158290268 \h </w:instrText>
            </w:r>
            <w:r w:rsidR="006F2657">
              <w:rPr>
                <w:noProof/>
                <w:webHidden/>
              </w:rPr>
            </w:r>
            <w:r w:rsidR="006F2657">
              <w:rPr>
                <w:noProof/>
                <w:webHidden/>
              </w:rPr>
              <w:fldChar w:fldCharType="separate"/>
            </w:r>
            <w:r w:rsidR="00D671E3">
              <w:rPr>
                <w:noProof/>
                <w:webHidden/>
              </w:rPr>
              <w:t>42</w:t>
            </w:r>
            <w:r w:rsidR="006F2657">
              <w:rPr>
                <w:noProof/>
                <w:webHidden/>
              </w:rPr>
              <w:fldChar w:fldCharType="end"/>
            </w:r>
          </w:hyperlink>
        </w:p>
        <w:p w14:paraId="7A32F24A" w14:textId="6C4A1FB0"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69" w:history="1">
            <w:r w:rsidR="006F2657" w:rsidRPr="009334D3">
              <w:rPr>
                <w:rStyle w:val="Hyperlink"/>
                <w:noProof/>
              </w:rPr>
              <w:t>5.1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Desain Penelitian</w:t>
            </w:r>
            <w:r w:rsidR="006F2657">
              <w:rPr>
                <w:noProof/>
                <w:webHidden/>
              </w:rPr>
              <w:tab/>
            </w:r>
            <w:r w:rsidR="006F2657">
              <w:rPr>
                <w:noProof/>
                <w:webHidden/>
              </w:rPr>
              <w:fldChar w:fldCharType="begin"/>
            </w:r>
            <w:r w:rsidR="006F2657">
              <w:rPr>
                <w:noProof/>
                <w:webHidden/>
              </w:rPr>
              <w:instrText xml:space="preserve"> PAGEREF _Toc158290269 \h </w:instrText>
            </w:r>
            <w:r w:rsidR="006F2657">
              <w:rPr>
                <w:noProof/>
                <w:webHidden/>
              </w:rPr>
            </w:r>
            <w:r w:rsidR="006F2657">
              <w:rPr>
                <w:noProof/>
                <w:webHidden/>
              </w:rPr>
              <w:fldChar w:fldCharType="separate"/>
            </w:r>
            <w:r w:rsidR="00D671E3">
              <w:rPr>
                <w:noProof/>
                <w:webHidden/>
              </w:rPr>
              <w:t>42</w:t>
            </w:r>
            <w:r w:rsidR="006F2657">
              <w:rPr>
                <w:noProof/>
                <w:webHidden/>
              </w:rPr>
              <w:fldChar w:fldCharType="end"/>
            </w:r>
          </w:hyperlink>
        </w:p>
        <w:p w14:paraId="0F8600CA" w14:textId="2F9E9A72"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70" w:history="1">
            <w:r w:rsidR="006F2657" w:rsidRPr="009334D3">
              <w:rPr>
                <w:rStyle w:val="Hyperlink"/>
                <w:noProof/>
              </w:rPr>
              <w:t>5.2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Tempat dan Waktu Penelitian</w:t>
            </w:r>
            <w:r w:rsidR="006F2657">
              <w:rPr>
                <w:noProof/>
                <w:webHidden/>
              </w:rPr>
              <w:tab/>
            </w:r>
            <w:r w:rsidR="006F2657">
              <w:rPr>
                <w:noProof/>
                <w:webHidden/>
              </w:rPr>
              <w:fldChar w:fldCharType="begin"/>
            </w:r>
            <w:r w:rsidR="006F2657">
              <w:rPr>
                <w:noProof/>
                <w:webHidden/>
              </w:rPr>
              <w:instrText xml:space="preserve"> PAGEREF _Toc158290270 \h </w:instrText>
            </w:r>
            <w:r w:rsidR="006F2657">
              <w:rPr>
                <w:noProof/>
                <w:webHidden/>
              </w:rPr>
            </w:r>
            <w:r w:rsidR="006F2657">
              <w:rPr>
                <w:noProof/>
                <w:webHidden/>
              </w:rPr>
              <w:fldChar w:fldCharType="separate"/>
            </w:r>
            <w:r w:rsidR="00D671E3">
              <w:rPr>
                <w:noProof/>
                <w:webHidden/>
              </w:rPr>
              <w:t>42</w:t>
            </w:r>
            <w:r w:rsidR="006F2657">
              <w:rPr>
                <w:noProof/>
                <w:webHidden/>
              </w:rPr>
              <w:fldChar w:fldCharType="end"/>
            </w:r>
          </w:hyperlink>
        </w:p>
        <w:p w14:paraId="22D8FB42" w14:textId="465BDB49"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71" w:history="1">
            <w:r w:rsidR="006F2657" w:rsidRPr="009334D3">
              <w:rPr>
                <w:rStyle w:val="Hyperlink"/>
                <w:noProof/>
                <w:lang w:val="id-ID"/>
              </w:rPr>
              <w:t>5</w:t>
            </w:r>
            <w:r w:rsidR="006F2657" w:rsidRPr="009334D3">
              <w:rPr>
                <w:rStyle w:val="Hyperlink"/>
                <w:noProof/>
              </w:rPr>
              <w:t>.2.1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Tempat Penelitian</w:t>
            </w:r>
            <w:r w:rsidR="006F2657">
              <w:rPr>
                <w:noProof/>
                <w:webHidden/>
              </w:rPr>
              <w:tab/>
            </w:r>
            <w:r w:rsidR="006F2657">
              <w:rPr>
                <w:noProof/>
                <w:webHidden/>
              </w:rPr>
              <w:fldChar w:fldCharType="begin"/>
            </w:r>
            <w:r w:rsidR="006F2657">
              <w:rPr>
                <w:noProof/>
                <w:webHidden/>
              </w:rPr>
              <w:instrText xml:space="preserve"> PAGEREF _Toc158290271 \h </w:instrText>
            </w:r>
            <w:r w:rsidR="006F2657">
              <w:rPr>
                <w:noProof/>
                <w:webHidden/>
              </w:rPr>
            </w:r>
            <w:r w:rsidR="006F2657">
              <w:rPr>
                <w:noProof/>
                <w:webHidden/>
              </w:rPr>
              <w:fldChar w:fldCharType="separate"/>
            </w:r>
            <w:r w:rsidR="00D671E3">
              <w:rPr>
                <w:noProof/>
                <w:webHidden/>
              </w:rPr>
              <w:t>42</w:t>
            </w:r>
            <w:r w:rsidR="006F2657">
              <w:rPr>
                <w:noProof/>
                <w:webHidden/>
              </w:rPr>
              <w:fldChar w:fldCharType="end"/>
            </w:r>
          </w:hyperlink>
        </w:p>
        <w:p w14:paraId="792BDD74" w14:textId="7123D216"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72" w:history="1">
            <w:r w:rsidR="006F2657" w:rsidRPr="009334D3">
              <w:rPr>
                <w:rStyle w:val="Hyperlink"/>
                <w:noProof/>
                <w:lang w:val="id-ID"/>
              </w:rPr>
              <w:t>5</w:t>
            </w:r>
            <w:r w:rsidR="006F2657" w:rsidRPr="009334D3">
              <w:rPr>
                <w:rStyle w:val="Hyperlink"/>
                <w:noProof/>
              </w:rPr>
              <w:t>.2.2 Waktu Penelitian</w:t>
            </w:r>
            <w:r w:rsidR="006F2657">
              <w:rPr>
                <w:noProof/>
                <w:webHidden/>
              </w:rPr>
              <w:tab/>
            </w:r>
            <w:r w:rsidR="006F2657">
              <w:rPr>
                <w:noProof/>
                <w:webHidden/>
              </w:rPr>
              <w:fldChar w:fldCharType="begin"/>
            </w:r>
            <w:r w:rsidR="006F2657">
              <w:rPr>
                <w:noProof/>
                <w:webHidden/>
              </w:rPr>
              <w:instrText xml:space="preserve"> PAGEREF _Toc158290272 \h </w:instrText>
            </w:r>
            <w:r w:rsidR="006F2657">
              <w:rPr>
                <w:noProof/>
                <w:webHidden/>
              </w:rPr>
            </w:r>
            <w:r w:rsidR="006F2657">
              <w:rPr>
                <w:noProof/>
                <w:webHidden/>
              </w:rPr>
              <w:fldChar w:fldCharType="separate"/>
            </w:r>
            <w:r w:rsidR="00D671E3">
              <w:rPr>
                <w:noProof/>
                <w:webHidden/>
              </w:rPr>
              <w:t>42</w:t>
            </w:r>
            <w:r w:rsidR="006F2657">
              <w:rPr>
                <w:noProof/>
                <w:webHidden/>
              </w:rPr>
              <w:fldChar w:fldCharType="end"/>
            </w:r>
          </w:hyperlink>
        </w:p>
        <w:p w14:paraId="22DB9A1D" w14:textId="50D38983"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73" w:history="1">
            <w:r w:rsidR="006F2657" w:rsidRPr="009334D3">
              <w:rPr>
                <w:rStyle w:val="Hyperlink"/>
                <w:noProof/>
                <w:lang w:eastAsia="zh-CN"/>
              </w:rPr>
              <w:t>5.3</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Populasi dan Sampel Penelitian</w:t>
            </w:r>
            <w:r w:rsidR="006F2657">
              <w:rPr>
                <w:noProof/>
                <w:webHidden/>
              </w:rPr>
              <w:tab/>
            </w:r>
            <w:r w:rsidR="006F2657">
              <w:rPr>
                <w:noProof/>
                <w:webHidden/>
              </w:rPr>
              <w:fldChar w:fldCharType="begin"/>
            </w:r>
            <w:r w:rsidR="006F2657">
              <w:rPr>
                <w:noProof/>
                <w:webHidden/>
              </w:rPr>
              <w:instrText xml:space="preserve"> PAGEREF _Toc158290273 \h </w:instrText>
            </w:r>
            <w:r w:rsidR="006F2657">
              <w:rPr>
                <w:noProof/>
                <w:webHidden/>
              </w:rPr>
            </w:r>
            <w:r w:rsidR="006F2657">
              <w:rPr>
                <w:noProof/>
                <w:webHidden/>
              </w:rPr>
              <w:fldChar w:fldCharType="separate"/>
            </w:r>
            <w:r w:rsidR="00D671E3">
              <w:rPr>
                <w:noProof/>
                <w:webHidden/>
              </w:rPr>
              <w:t>42</w:t>
            </w:r>
            <w:r w:rsidR="006F2657">
              <w:rPr>
                <w:noProof/>
                <w:webHidden/>
              </w:rPr>
              <w:fldChar w:fldCharType="end"/>
            </w:r>
          </w:hyperlink>
        </w:p>
        <w:p w14:paraId="5DB3FE75" w14:textId="24614B5D"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74" w:history="1">
            <w:r w:rsidR="006F2657" w:rsidRPr="009334D3">
              <w:rPr>
                <w:rStyle w:val="Hyperlink"/>
                <w:noProof/>
                <w:lang w:val="id-ID"/>
              </w:rPr>
              <w:t>5</w:t>
            </w:r>
            <w:r w:rsidR="006F2657" w:rsidRPr="009334D3">
              <w:rPr>
                <w:rStyle w:val="Hyperlink"/>
                <w:noProof/>
              </w:rPr>
              <w:t>.3.1 Populasi Penelitian</w:t>
            </w:r>
            <w:r w:rsidR="006F2657">
              <w:rPr>
                <w:noProof/>
                <w:webHidden/>
              </w:rPr>
              <w:tab/>
            </w:r>
            <w:r w:rsidR="006F2657">
              <w:rPr>
                <w:noProof/>
                <w:webHidden/>
              </w:rPr>
              <w:fldChar w:fldCharType="begin"/>
            </w:r>
            <w:r w:rsidR="006F2657">
              <w:rPr>
                <w:noProof/>
                <w:webHidden/>
              </w:rPr>
              <w:instrText xml:space="preserve"> PAGEREF _Toc158290274 \h </w:instrText>
            </w:r>
            <w:r w:rsidR="006F2657">
              <w:rPr>
                <w:noProof/>
                <w:webHidden/>
              </w:rPr>
            </w:r>
            <w:r w:rsidR="006F2657">
              <w:rPr>
                <w:noProof/>
                <w:webHidden/>
              </w:rPr>
              <w:fldChar w:fldCharType="separate"/>
            </w:r>
            <w:r w:rsidR="00D671E3">
              <w:rPr>
                <w:noProof/>
                <w:webHidden/>
              </w:rPr>
              <w:t>42</w:t>
            </w:r>
            <w:r w:rsidR="006F2657">
              <w:rPr>
                <w:noProof/>
                <w:webHidden/>
              </w:rPr>
              <w:fldChar w:fldCharType="end"/>
            </w:r>
          </w:hyperlink>
        </w:p>
        <w:p w14:paraId="5D35C9FC" w14:textId="44B8737B"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75" w:history="1">
            <w:r w:rsidR="006F2657" w:rsidRPr="009334D3">
              <w:rPr>
                <w:rStyle w:val="Hyperlink"/>
                <w:noProof/>
                <w:lang w:val="id-ID"/>
              </w:rPr>
              <w:t>5</w:t>
            </w:r>
            <w:r w:rsidR="006F2657" w:rsidRPr="009334D3">
              <w:rPr>
                <w:rStyle w:val="Hyperlink"/>
                <w:noProof/>
              </w:rPr>
              <w:t>.3.2 Sampel Penelitian</w:t>
            </w:r>
            <w:r w:rsidR="006F2657">
              <w:rPr>
                <w:noProof/>
                <w:webHidden/>
              </w:rPr>
              <w:tab/>
            </w:r>
            <w:r w:rsidR="006F2657">
              <w:rPr>
                <w:noProof/>
                <w:webHidden/>
              </w:rPr>
              <w:fldChar w:fldCharType="begin"/>
            </w:r>
            <w:r w:rsidR="006F2657">
              <w:rPr>
                <w:noProof/>
                <w:webHidden/>
              </w:rPr>
              <w:instrText xml:space="preserve"> PAGEREF _Toc158290275 \h </w:instrText>
            </w:r>
            <w:r w:rsidR="006F2657">
              <w:rPr>
                <w:noProof/>
                <w:webHidden/>
              </w:rPr>
            </w:r>
            <w:r w:rsidR="006F2657">
              <w:rPr>
                <w:noProof/>
                <w:webHidden/>
              </w:rPr>
              <w:fldChar w:fldCharType="separate"/>
            </w:r>
            <w:r w:rsidR="00D671E3">
              <w:rPr>
                <w:noProof/>
                <w:webHidden/>
              </w:rPr>
              <w:t>42</w:t>
            </w:r>
            <w:r w:rsidR="006F2657">
              <w:rPr>
                <w:noProof/>
                <w:webHidden/>
              </w:rPr>
              <w:fldChar w:fldCharType="end"/>
            </w:r>
          </w:hyperlink>
        </w:p>
        <w:p w14:paraId="7392AF92" w14:textId="0AAAA50D"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76" w:history="1">
            <w:r w:rsidR="006F2657" w:rsidRPr="009334D3">
              <w:rPr>
                <w:rStyle w:val="Hyperlink"/>
                <w:noProof/>
                <w:lang w:eastAsia="zh-CN"/>
              </w:rPr>
              <w:t>5.4</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Perkiraan Besar Sampel</w:t>
            </w:r>
            <w:r w:rsidR="006F2657">
              <w:rPr>
                <w:noProof/>
                <w:webHidden/>
              </w:rPr>
              <w:tab/>
            </w:r>
            <w:r w:rsidR="006F2657">
              <w:rPr>
                <w:noProof/>
                <w:webHidden/>
              </w:rPr>
              <w:fldChar w:fldCharType="begin"/>
            </w:r>
            <w:r w:rsidR="006F2657">
              <w:rPr>
                <w:noProof/>
                <w:webHidden/>
              </w:rPr>
              <w:instrText xml:space="preserve"> PAGEREF _Toc158290276 \h </w:instrText>
            </w:r>
            <w:r w:rsidR="006F2657">
              <w:rPr>
                <w:noProof/>
                <w:webHidden/>
              </w:rPr>
            </w:r>
            <w:r w:rsidR="006F2657">
              <w:rPr>
                <w:noProof/>
                <w:webHidden/>
              </w:rPr>
              <w:fldChar w:fldCharType="separate"/>
            </w:r>
            <w:r w:rsidR="00D671E3">
              <w:rPr>
                <w:noProof/>
                <w:webHidden/>
              </w:rPr>
              <w:t>42</w:t>
            </w:r>
            <w:r w:rsidR="006F2657">
              <w:rPr>
                <w:noProof/>
                <w:webHidden/>
              </w:rPr>
              <w:fldChar w:fldCharType="end"/>
            </w:r>
          </w:hyperlink>
        </w:p>
        <w:p w14:paraId="5D666AE0" w14:textId="138F48ED"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77" w:history="1">
            <w:r w:rsidR="006F2657" w:rsidRPr="009334D3">
              <w:rPr>
                <w:rStyle w:val="Hyperlink"/>
                <w:noProof/>
              </w:rPr>
              <w:t>5.5</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Kriteria Inklusi, Ekslusi Dan Drop Out</w:t>
            </w:r>
            <w:r w:rsidR="006F2657">
              <w:rPr>
                <w:noProof/>
                <w:webHidden/>
              </w:rPr>
              <w:tab/>
            </w:r>
            <w:r w:rsidR="006F2657">
              <w:rPr>
                <w:noProof/>
                <w:webHidden/>
              </w:rPr>
              <w:fldChar w:fldCharType="begin"/>
            </w:r>
            <w:r w:rsidR="006F2657">
              <w:rPr>
                <w:noProof/>
                <w:webHidden/>
              </w:rPr>
              <w:instrText xml:space="preserve"> PAGEREF _Toc158290277 \h </w:instrText>
            </w:r>
            <w:r w:rsidR="006F2657">
              <w:rPr>
                <w:noProof/>
                <w:webHidden/>
              </w:rPr>
            </w:r>
            <w:r w:rsidR="006F2657">
              <w:rPr>
                <w:noProof/>
                <w:webHidden/>
              </w:rPr>
              <w:fldChar w:fldCharType="separate"/>
            </w:r>
            <w:r w:rsidR="00D671E3">
              <w:rPr>
                <w:noProof/>
                <w:webHidden/>
              </w:rPr>
              <w:t>43</w:t>
            </w:r>
            <w:r w:rsidR="006F2657">
              <w:rPr>
                <w:noProof/>
                <w:webHidden/>
              </w:rPr>
              <w:fldChar w:fldCharType="end"/>
            </w:r>
          </w:hyperlink>
        </w:p>
        <w:p w14:paraId="3D1EF083" w14:textId="001F1494"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78" w:history="1">
            <w:r w:rsidR="006F2657" w:rsidRPr="009334D3">
              <w:rPr>
                <w:rStyle w:val="Hyperlink"/>
                <w:noProof/>
                <w:lang w:val="id-ID"/>
              </w:rPr>
              <w:t>5</w:t>
            </w:r>
            <w:r w:rsidR="006F2657" w:rsidRPr="009334D3">
              <w:rPr>
                <w:rStyle w:val="Hyperlink"/>
                <w:noProof/>
              </w:rPr>
              <w:t>.5.1 Kriteria Inklusi</w:t>
            </w:r>
            <w:r w:rsidR="006F2657">
              <w:rPr>
                <w:noProof/>
                <w:webHidden/>
              </w:rPr>
              <w:tab/>
            </w:r>
            <w:r w:rsidR="006F2657">
              <w:rPr>
                <w:noProof/>
                <w:webHidden/>
              </w:rPr>
              <w:fldChar w:fldCharType="begin"/>
            </w:r>
            <w:r w:rsidR="006F2657">
              <w:rPr>
                <w:noProof/>
                <w:webHidden/>
              </w:rPr>
              <w:instrText xml:space="preserve"> PAGEREF _Toc158290278 \h </w:instrText>
            </w:r>
            <w:r w:rsidR="006F2657">
              <w:rPr>
                <w:noProof/>
                <w:webHidden/>
              </w:rPr>
            </w:r>
            <w:r w:rsidR="006F2657">
              <w:rPr>
                <w:noProof/>
                <w:webHidden/>
              </w:rPr>
              <w:fldChar w:fldCharType="separate"/>
            </w:r>
            <w:r w:rsidR="00D671E3">
              <w:rPr>
                <w:noProof/>
                <w:webHidden/>
              </w:rPr>
              <w:t>43</w:t>
            </w:r>
            <w:r w:rsidR="006F2657">
              <w:rPr>
                <w:noProof/>
                <w:webHidden/>
              </w:rPr>
              <w:fldChar w:fldCharType="end"/>
            </w:r>
          </w:hyperlink>
        </w:p>
        <w:p w14:paraId="66FDA2F6" w14:textId="18EE1D3C"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79" w:history="1">
            <w:r w:rsidR="006F2657" w:rsidRPr="009334D3">
              <w:rPr>
                <w:rStyle w:val="Hyperlink"/>
                <w:noProof/>
                <w:lang w:val="id-ID"/>
              </w:rPr>
              <w:t>5</w:t>
            </w:r>
            <w:r w:rsidR="006F2657" w:rsidRPr="009334D3">
              <w:rPr>
                <w:rStyle w:val="Hyperlink"/>
                <w:noProof/>
              </w:rPr>
              <w:t>.5.2 Kriteria Eksklusi</w:t>
            </w:r>
            <w:r w:rsidR="006F2657">
              <w:rPr>
                <w:noProof/>
                <w:webHidden/>
              </w:rPr>
              <w:tab/>
            </w:r>
            <w:r w:rsidR="006F2657">
              <w:rPr>
                <w:noProof/>
                <w:webHidden/>
              </w:rPr>
              <w:fldChar w:fldCharType="begin"/>
            </w:r>
            <w:r w:rsidR="006F2657">
              <w:rPr>
                <w:noProof/>
                <w:webHidden/>
              </w:rPr>
              <w:instrText xml:space="preserve"> PAGEREF _Toc158290279 \h </w:instrText>
            </w:r>
            <w:r w:rsidR="006F2657">
              <w:rPr>
                <w:noProof/>
                <w:webHidden/>
              </w:rPr>
            </w:r>
            <w:r w:rsidR="006F2657">
              <w:rPr>
                <w:noProof/>
                <w:webHidden/>
              </w:rPr>
              <w:fldChar w:fldCharType="separate"/>
            </w:r>
            <w:r w:rsidR="00D671E3">
              <w:rPr>
                <w:noProof/>
                <w:webHidden/>
              </w:rPr>
              <w:t>43</w:t>
            </w:r>
            <w:r w:rsidR="006F2657">
              <w:rPr>
                <w:noProof/>
                <w:webHidden/>
              </w:rPr>
              <w:fldChar w:fldCharType="end"/>
            </w:r>
          </w:hyperlink>
        </w:p>
        <w:p w14:paraId="2B619B40" w14:textId="2F8A73D7"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80" w:history="1">
            <w:r w:rsidR="006F2657" w:rsidRPr="009334D3">
              <w:rPr>
                <w:rStyle w:val="Hyperlink"/>
                <w:noProof/>
              </w:rPr>
              <w:t>5.6</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Kriteria Drop Out</w:t>
            </w:r>
            <w:r w:rsidR="006F2657">
              <w:rPr>
                <w:noProof/>
                <w:webHidden/>
              </w:rPr>
              <w:tab/>
            </w:r>
            <w:r w:rsidR="006F2657">
              <w:rPr>
                <w:noProof/>
                <w:webHidden/>
              </w:rPr>
              <w:fldChar w:fldCharType="begin"/>
            </w:r>
            <w:r w:rsidR="006F2657">
              <w:rPr>
                <w:noProof/>
                <w:webHidden/>
              </w:rPr>
              <w:instrText xml:space="preserve"> PAGEREF _Toc158290280 \h </w:instrText>
            </w:r>
            <w:r w:rsidR="006F2657">
              <w:rPr>
                <w:noProof/>
                <w:webHidden/>
              </w:rPr>
            </w:r>
            <w:r w:rsidR="006F2657">
              <w:rPr>
                <w:noProof/>
                <w:webHidden/>
              </w:rPr>
              <w:fldChar w:fldCharType="separate"/>
            </w:r>
            <w:r w:rsidR="00D671E3">
              <w:rPr>
                <w:noProof/>
                <w:webHidden/>
              </w:rPr>
              <w:t>44</w:t>
            </w:r>
            <w:r w:rsidR="006F2657">
              <w:rPr>
                <w:noProof/>
                <w:webHidden/>
              </w:rPr>
              <w:fldChar w:fldCharType="end"/>
            </w:r>
          </w:hyperlink>
        </w:p>
        <w:p w14:paraId="5A8D9E98" w14:textId="7F30CCEF"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81" w:history="1">
            <w:r w:rsidR="006F2657" w:rsidRPr="009334D3">
              <w:rPr>
                <w:rStyle w:val="Hyperlink"/>
                <w:noProof/>
              </w:rPr>
              <w:t>5.7</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 xml:space="preserve">Ijin Penelitian </w:t>
            </w:r>
            <w:r w:rsidR="006F2657" w:rsidRPr="009334D3">
              <w:rPr>
                <w:rStyle w:val="Hyperlink"/>
                <w:noProof/>
                <w:lang w:val="id-ID"/>
              </w:rPr>
              <w:t>d</w:t>
            </w:r>
            <w:r w:rsidR="006F2657" w:rsidRPr="009334D3">
              <w:rPr>
                <w:rStyle w:val="Hyperlink"/>
                <w:noProof/>
              </w:rPr>
              <w:t>an Kelaikan Etik</w:t>
            </w:r>
            <w:r w:rsidR="006F2657">
              <w:rPr>
                <w:noProof/>
                <w:webHidden/>
              </w:rPr>
              <w:tab/>
            </w:r>
            <w:r w:rsidR="006F2657">
              <w:rPr>
                <w:noProof/>
                <w:webHidden/>
              </w:rPr>
              <w:fldChar w:fldCharType="begin"/>
            </w:r>
            <w:r w:rsidR="006F2657">
              <w:rPr>
                <w:noProof/>
                <w:webHidden/>
              </w:rPr>
              <w:instrText xml:space="preserve"> PAGEREF _Toc158290281 \h </w:instrText>
            </w:r>
            <w:r w:rsidR="006F2657">
              <w:rPr>
                <w:noProof/>
                <w:webHidden/>
              </w:rPr>
            </w:r>
            <w:r w:rsidR="006F2657">
              <w:rPr>
                <w:noProof/>
                <w:webHidden/>
              </w:rPr>
              <w:fldChar w:fldCharType="separate"/>
            </w:r>
            <w:r w:rsidR="00D671E3">
              <w:rPr>
                <w:noProof/>
                <w:webHidden/>
              </w:rPr>
              <w:t>44</w:t>
            </w:r>
            <w:r w:rsidR="006F2657">
              <w:rPr>
                <w:noProof/>
                <w:webHidden/>
              </w:rPr>
              <w:fldChar w:fldCharType="end"/>
            </w:r>
          </w:hyperlink>
        </w:p>
        <w:p w14:paraId="060A1DD7" w14:textId="5448A571"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82" w:history="1">
            <w:r w:rsidR="006F2657" w:rsidRPr="009334D3">
              <w:rPr>
                <w:rStyle w:val="Hyperlink"/>
                <w:noProof/>
              </w:rPr>
              <w:t>5.8</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Metode Kerja</w:t>
            </w:r>
            <w:r w:rsidR="006F2657">
              <w:rPr>
                <w:noProof/>
                <w:webHidden/>
              </w:rPr>
              <w:tab/>
            </w:r>
            <w:r w:rsidR="006F2657">
              <w:rPr>
                <w:noProof/>
                <w:webHidden/>
              </w:rPr>
              <w:fldChar w:fldCharType="begin"/>
            </w:r>
            <w:r w:rsidR="006F2657">
              <w:rPr>
                <w:noProof/>
                <w:webHidden/>
              </w:rPr>
              <w:instrText xml:space="preserve"> PAGEREF _Toc158290282 \h </w:instrText>
            </w:r>
            <w:r w:rsidR="006F2657">
              <w:rPr>
                <w:noProof/>
                <w:webHidden/>
              </w:rPr>
            </w:r>
            <w:r w:rsidR="006F2657">
              <w:rPr>
                <w:noProof/>
                <w:webHidden/>
              </w:rPr>
              <w:fldChar w:fldCharType="separate"/>
            </w:r>
            <w:r w:rsidR="00D671E3">
              <w:rPr>
                <w:noProof/>
                <w:webHidden/>
              </w:rPr>
              <w:t>44</w:t>
            </w:r>
            <w:r w:rsidR="006F2657">
              <w:rPr>
                <w:noProof/>
                <w:webHidden/>
              </w:rPr>
              <w:fldChar w:fldCharType="end"/>
            </w:r>
          </w:hyperlink>
        </w:p>
        <w:p w14:paraId="4D2774CE" w14:textId="4C87FA9C"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83" w:history="1">
            <w:r w:rsidR="006F2657" w:rsidRPr="009334D3">
              <w:rPr>
                <w:rStyle w:val="Hyperlink"/>
                <w:noProof/>
                <w:lang w:val="id-ID"/>
              </w:rPr>
              <w:t>5</w:t>
            </w:r>
            <w:r w:rsidR="006F2657" w:rsidRPr="009334D3">
              <w:rPr>
                <w:rStyle w:val="Hyperlink"/>
                <w:noProof/>
              </w:rPr>
              <w:t>.8.1 Alokasi sampel</w:t>
            </w:r>
            <w:r w:rsidR="006F2657">
              <w:rPr>
                <w:noProof/>
                <w:webHidden/>
              </w:rPr>
              <w:tab/>
            </w:r>
            <w:r w:rsidR="006F2657">
              <w:rPr>
                <w:noProof/>
                <w:webHidden/>
              </w:rPr>
              <w:fldChar w:fldCharType="begin"/>
            </w:r>
            <w:r w:rsidR="006F2657">
              <w:rPr>
                <w:noProof/>
                <w:webHidden/>
              </w:rPr>
              <w:instrText xml:space="preserve"> PAGEREF _Toc158290283 \h </w:instrText>
            </w:r>
            <w:r w:rsidR="006F2657">
              <w:rPr>
                <w:noProof/>
                <w:webHidden/>
              </w:rPr>
            </w:r>
            <w:r w:rsidR="006F2657">
              <w:rPr>
                <w:noProof/>
                <w:webHidden/>
              </w:rPr>
              <w:fldChar w:fldCharType="separate"/>
            </w:r>
            <w:r w:rsidR="00D671E3">
              <w:rPr>
                <w:noProof/>
                <w:webHidden/>
              </w:rPr>
              <w:t>44</w:t>
            </w:r>
            <w:r w:rsidR="006F2657">
              <w:rPr>
                <w:noProof/>
                <w:webHidden/>
              </w:rPr>
              <w:fldChar w:fldCharType="end"/>
            </w:r>
          </w:hyperlink>
        </w:p>
        <w:p w14:paraId="7DB8E969" w14:textId="581587F2"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84" w:history="1">
            <w:r w:rsidR="006F2657" w:rsidRPr="009334D3">
              <w:rPr>
                <w:rStyle w:val="Hyperlink"/>
                <w:noProof/>
                <w:lang w:eastAsia="zh-CN"/>
              </w:rPr>
              <w:t>5.8.2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Cara kerja</w:t>
            </w:r>
            <w:r w:rsidR="006F2657">
              <w:rPr>
                <w:noProof/>
                <w:webHidden/>
              </w:rPr>
              <w:tab/>
            </w:r>
            <w:r w:rsidR="006F2657">
              <w:rPr>
                <w:noProof/>
                <w:webHidden/>
              </w:rPr>
              <w:fldChar w:fldCharType="begin"/>
            </w:r>
            <w:r w:rsidR="006F2657">
              <w:rPr>
                <w:noProof/>
                <w:webHidden/>
              </w:rPr>
              <w:instrText xml:space="preserve"> PAGEREF _Toc158290284 \h </w:instrText>
            </w:r>
            <w:r w:rsidR="006F2657">
              <w:rPr>
                <w:noProof/>
                <w:webHidden/>
              </w:rPr>
            </w:r>
            <w:r w:rsidR="006F2657">
              <w:rPr>
                <w:noProof/>
                <w:webHidden/>
              </w:rPr>
              <w:fldChar w:fldCharType="separate"/>
            </w:r>
            <w:r w:rsidR="00D671E3">
              <w:rPr>
                <w:noProof/>
                <w:webHidden/>
              </w:rPr>
              <w:t>44</w:t>
            </w:r>
            <w:r w:rsidR="006F2657">
              <w:rPr>
                <w:noProof/>
                <w:webHidden/>
              </w:rPr>
              <w:fldChar w:fldCharType="end"/>
            </w:r>
          </w:hyperlink>
        </w:p>
        <w:p w14:paraId="39DF5489" w14:textId="0DBBBBF6"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85" w:history="1">
            <w:r w:rsidR="006F2657" w:rsidRPr="009334D3">
              <w:rPr>
                <w:rStyle w:val="Hyperlink"/>
                <w:noProof/>
              </w:rPr>
              <w:t>5.9</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 xml:space="preserve">Identifikasi </w:t>
            </w:r>
            <w:r w:rsidR="006F2657" w:rsidRPr="009334D3">
              <w:rPr>
                <w:rStyle w:val="Hyperlink"/>
                <w:noProof/>
                <w:lang w:val="id-ID"/>
              </w:rPr>
              <w:t>d</w:t>
            </w:r>
            <w:r w:rsidR="006F2657" w:rsidRPr="009334D3">
              <w:rPr>
                <w:rStyle w:val="Hyperlink"/>
                <w:noProof/>
              </w:rPr>
              <w:t>an Klasifikasi Variabel</w:t>
            </w:r>
            <w:r w:rsidR="006F2657">
              <w:rPr>
                <w:noProof/>
                <w:webHidden/>
              </w:rPr>
              <w:tab/>
            </w:r>
            <w:r w:rsidR="006F2657">
              <w:rPr>
                <w:noProof/>
                <w:webHidden/>
              </w:rPr>
              <w:fldChar w:fldCharType="begin"/>
            </w:r>
            <w:r w:rsidR="006F2657">
              <w:rPr>
                <w:noProof/>
                <w:webHidden/>
              </w:rPr>
              <w:instrText xml:space="preserve"> PAGEREF _Toc158290285 \h </w:instrText>
            </w:r>
            <w:r w:rsidR="006F2657">
              <w:rPr>
                <w:noProof/>
                <w:webHidden/>
              </w:rPr>
            </w:r>
            <w:r w:rsidR="006F2657">
              <w:rPr>
                <w:noProof/>
                <w:webHidden/>
              </w:rPr>
              <w:fldChar w:fldCharType="separate"/>
            </w:r>
            <w:r w:rsidR="00D671E3">
              <w:rPr>
                <w:noProof/>
                <w:webHidden/>
              </w:rPr>
              <w:t>46</w:t>
            </w:r>
            <w:r w:rsidR="006F2657">
              <w:rPr>
                <w:noProof/>
                <w:webHidden/>
              </w:rPr>
              <w:fldChar w:fldCharType="end"/>
            </w:r>
          </w:hyperlink>
        </w:p>
        <w:p w14:paraId="47BADB1E" w14:textId="3D009EC8"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86" w:history="1">
            <w:r w:rsidR="006F2657" w:rsidRPr="009334D3">
              <w:rPr>
                <w:rStyle w:val="Hyperlink"/>
                <w:noProof/>
                <w:lang w:val="id-ID"/>
              </w:rPr>
              <w:t>5</w:t>
            </w:r>
            <w:r w:rsidR="006F2657" w:rsidRPr="009334D3">
              <w:rPr>
                <w:rStyle w:val="Hyperlink"/>
                <w:noProof/>
              </w:rPr>
              <w:t xml:space="preserve">.9.1 </w:t>
            </w:r>
            <w:r w:rsidR="006F2657" w:rsidRPr="009334D3">
              <w:rPr>
                <w:rStyle w:val="Hyperlink"/>
                <w:noProof/>
                <w:lang w:val="en-US"/>
              </w:rPr>
              <w:t xml:space="preserve"> Indentifikasi Variabel</w:t>
            </w:r>
            <w:r w:rsidR="006F2657">
              <w:rPr>
                <w:noProof/>
                <w:webHidden/>
              </w:rPr>
              <w:tab/>
            </w:r>
            <w:r w:rsidR="006F2657">
              <w:rPr>
                <w:noProof/>
                <w:webHidden/>
              </w:rPr>
              <w:fldChar w:fldCharType="begin"/>
            </w:r>
            <w:r w:rsidR="006F2657">
              <w:rPr>
                <w:noProof/>
                <w:webHidden/>
              </w:rPr>
              <w:instrText xml:space="preserve"> PAGEREF _Toc158290286 \h </w:instrText>
            </w:r>
            <w:r w:rsidR="006F2657">
              <w:rPr>
                <w:noProof/>
                <w:webHidden/>
              </w:rPr>
            </w:r>
            <w:r w:rsidR="006F2657">
              <w:rPr>
                <w:noProof/>
                <w:webHidden/>
              </w:rPr>
              <w:fldChar w:fldCharType="separate"/>
            </w:r>
            <w:r w:rsidR="00D671E3">
              <w:rPr>
                <w:noProof/>
                <w:webHidden/>
              </w:rPr>
              <w:t>46</w:t>
            </w:r>
            <w:r w:rsidR="006F2657">
              <w:rPr>
                <w:noProof/>
                <w:webHidden/>
              </w:rPr>
              <w:fldChar w:fldCharType="end"/>
            </w:r>
          </w:hyperlink>
        </w:p>
        <w:p w14:paraId="6674F573" w14:textId="0F024893"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87" w:history="1">
            <w:r w:rsidR="006F2657" w:rsidRPr="009334D3">
              <w:rPr>
                <w:rStyle w:val="Hyperlink"/>
                <w:noProof/>
                <w:lang w:val="id-ID"/>
              </w:rPr>
              <w:t>5</w:t>
            </w:r>
            <w:r w:rsidR="006F2657" w:rsidRPr="009334D3">
              <w:rPr>
                <w:rStyle w:val="Hyperlink"/>
                <w:noProof/>
              </w:rPr>
              <w:t>.</w:t>
            </w:r>
            <w:r w:rsidR="006F2657" w:rsidRPr="009334D3">
              <w:rPr>
                <w:rStyle w:val="Hyperlink"/>
                <w:noProof/>
                <w:lang w:val="id-ID"/>
              </w:rPr>
              <w:t>9</w:t>
            </w:r>
            <w:r w:rsidR="006F2657" w:rsidRPr="009334D3">
              <w:rPr>
                <w:rStyle w:val="Hyperlink"/>
                <w:noProof/>
              </w:rPr>
              <w:t>.2. Klasifikasi variabel</w:t>
            </w:r>
            <w:r w:rsidR="006F2657">
              <w:rPr>
                <w:noProof/>
                <w:webHidden/>
              </w:rPr>
              <w:tab/>
            </w:r>
            <w:r w:rsidR="006F2657">
              <w:rPr>
                <w:noProof/>
                <w:webHidden/>
              </w:rPr>
              <w:fldChar w:fldCharType="begin"/>
            </w:r>
            <w:r w:rsidR="006F2657">
              <w:rPr>
                <w:noProof/>
                <w:webHidden/>
              </w:rPr>
              <w:instrText xml:space="preserve"> PAGEREF _Toc158290287 \h </w:instrText>
            </w:r>
            <w:r w:rsidR="006F2657">
              <w:rPr>
                <w:noProof/>
                <w:webHidden/>
              </w:rPr>
            </w:r>
            <w:r w:rsidR="006F2657">
              <w:rPr>
                <w:noProof/>
                <w:webHidden/>
              </w:rPr>
              <w:fldChar w:fldCharType="separate"/>
            </w:r>
            <w:r w:rsidR="00D671E3">
              <w:rPr>
                <w:noProof/>
                <w:webHidden/>
              </w:rPr>
              <w:t>46</w:t>
            </w:r>
            <w:r w:rsidR="006F2657">
              <w:rPr>
                <w:noProof/>
                <w:webHidden/>
              </w:rPr>
              <w:fldChar w:fldCharType="end"/>
            </w:r>
          </w:hyperlink>
        </w:p>
        <w:p w14:paraId="2FF917AB" w14:textId="4DBF6A65"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88" w:history="1">
            <w:r w:rsidR="006F2657" w:rsidRPr="009334D3">
              <w:rPr>
                <w:rStyle w:val="Hyperlink"/>
                <w:noProof/>
                <w:lang w:eastAsia="zh-CN"/>
              </w:rPr>
              <w:t>5.10</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 xml:space="preserve">Definisi </w:t>
            </w:r>
            <w:r w:rsidR="006F2657" w:rsidRPr="009334D3">
              <w:rPr>
                <w:rStyle w:val="Hyperlink"/>
                <w:noProof/>
                <w:lang w:val="en-US"/>
              </w:rPr>
              <w:t>Operasional</w:t>
            </w:r>
            <w:r w:rsidR="006F2657">
              <w:rPr>
                <w:noProof/>
                <w:webHidden/>
              </w:rPr>
              <w:tab/>
            </w:r>
            <w:r w:rsidR="006F2657">
              <w:rPr>
                <w:noProof/>
                <w:webHidden/>
              </w:rPr>
              <w:fldChar w:fldCharType="begin"/>
            </w:r>
            <w:r w:rsidR="006F2657">
              <w:rPr>
                <w:noProof/>
                <w:webHidden/>
              </w:rPr>
              <w:instrText xml:space="preserve"> PAGEREF _Toc158290288 \h </w:instrText>
            </w:r>
            <w:r w:rsidR="006F2657">
              <w:rPr>
                <w:noProof/>
                <w:webHidden/>
              </w:rPr>
            </w:r>
            <w:r w:rsidR="006F2657">
              <w:rPr>
                <w:noProof/>
                <w:webHidden/>
              </w:rPr>
              <w:fldChar w:fldCharType="separate"/>
            </w:r>
            <w:r w:rsidR="00D671E3">
              <w:rPr>
                <w:noProof/>
                <w:webHidden/>
              </w:rPr>
              <w:t>47</w:t>
            </w:r>
            <w:r w:rsidR="006F2657">
              <w:rPr>
                <w:noProof/>
                <w:webHidden/>
              </w:rPr>
              <w:fldChar w:fldCharType="end"/>
            </w:r>
          </w:hyperlink>
        </w:p>
        <w:p w14:paraId="020DBB44" w14:textId="0D09870C"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89" w:history="1">
            <w:r w:rsidR="006F2657" w:rsidRPr="009334D3">
              <w:rPr>
                <w:rStyle w:val="Hyperlink"/>
                <w:noProof/>
              </w:rPr>
              <w:t>5.11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Pengolahan dan Analisis Data</w:t>
            </w:r>
            <w:r w:rsidR="006F2657">
              <w:rPr>
                <w:noProof/>
                <w:webHidden/>
              </w:rPr>
              <w:tab/>
            </w:r>
            <w:r w:rsidR="006F2657">
              <w:rPr>
                <w:noProof/>
                <w:webHidden/>
              </w:rPr>
              <w:fldChar w:fldCharType="begin"/>
            </w:r>
            <w:r w:rsidR="006F2657">
              <w:rPr>
                <w:noProof/>
                <w:webHidden/>
              </w:rPr>
              <w:instrText xml:space="preserve"> PAGEREF _Toc158290289 \h </w:instrText>
            </w:r>
            <w:r w:rsidR="006F2657">
              <w:rPr>
                <w:noProof/>
                <w:webHidden/>
              </w:rPr>
            </w:r>
            <w:r w:rsidR="006F2657">
              <w:rPr>
                <w:noProof/>
                <w:webHidden/>
              </w:rPr>
              <w:fldChar w:fldCharType="separate"/>
            </w:r>
            <w:r w:rsidR="00D671E3">
              <w:rPr>
                <w:noProof/>
                <w:webHidden/>
              </w:rPr>
              <w:t>48</w:t>
            </w:r>
            <w:r w:rsidR="006F2657">
              <w:rPr>
                <w:noProof/>
                <w:webHidden/>
              </w:rPr>
              <w:fldChar w:fldCharType="end"/>
            </w:r>
          </w:hyperlink>
        </w:p>
        <w:p w14:paraId="63D5BF65" w14:textId="17D51E5C"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90" w:history="1">
            <w:r w:rsidR="006F2657" w:rsidRPr="009334D3">
              <w:rPr>
                <w:rStyle w:val="Hyperlink"/>
                <w:noProof/>
              </w:rPr>
              <w:t>5.12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Jadwal Penelitian</w:t>
            </w:r>
            <w:r w:rsidR="006F2657">
              <w:rPr>
                <w:noProof/>
                <w:webHidden/>
              </w:rPr>
              <w:tab/>
            </w:r>
            <w:r w:rsidR="006F2657">
              <w:rPr>
                <w:noProof/>
                <w:webHidden/>
              </w:rPr>
              <w:fldChar w:fldCharType="begin"/>
            </w:r>
            <w:r w:rsidR="006F2657">
              <w:rPr>
                <w:noProof/>
                <w:webHidden/>
              </w:rPr>
              <w:instrText xml:space="preserve"> PAGEREF _Toc158290290 \h </w:instrText>
            </w:r>
            <w:r w:rsidR="006F2657">
              <w:rPr>
                <w:noProof/>
                <w:webHidden/>
              </w:rPr>
            </w:r>
            <w:r w:rsidR="006F2657">
              <w:rPr>
                <w:noProof/>
                <w:webHidden/>
              </w:rPr>
              <w:fldChar w:fldCharType="separate"/>
            </w:r>
            <w:r w:rsidR="00D671E3">
              <w:rPr>
                <w:noProof/>
                <w:webHidden/>
              </w:rPr>
              <w:t>48</w:t>
            </w:r>
            <w:r w:rsidR="006F2657">
              <w:rPr>
                <w:noProof/>
                <w:webHidden/>
              </w:rPr>
              <w:fldChar w:fldCharType="end"/>
            </w:r>
          </w:hyperlink>
        </w:p>
        <w:p w14:paraId="1A1C7F88" w14:textId="54D5BF04"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91" w:history="1">
            <w:r w:rsidR="006F2657" w:rsidRPr="009334D3">
              <w:rPr>
                <w:rStyle w:val="Hyperlink"/>
                <w:noProof/>
              </w:rPr>
              <w:t>5.13</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rPr>
              <w:t>Personalia Penelitian</w:t>
            </w:r>
            <w:r w:rsidR="006F2657">
              <w:rPr>
                <w:noProof/>
                <w:webHidden/>
              </w:rPr>
              <w:tab/>
            </w:r>
            <w:r w:rsidR="006F2657">
              <w:rPr>
                <w:noProof/>
                <w:webHidden/>
              </w:rPr>
              <w:fldChar w:fldCharType="begin"/>
            </w:r>
            <w:r w:rsidR="006F2657">
              <w:rPr>
                <w:noProof/>
                <w:webHidden/>
              </w:rPr>
              <w:instrText xml:space="preserve"> PAGEREF _Toc158290291 \h </w:instrText>
            </w:r>
            <w:r w:rsidR="006F2657">
              <w:rPr>
                <w:noProof/>
                <w:webHidden/>
              </w:rPr>
            </w:r>
            <w:r w:rsidR="006F2657">
              <w:rPr>
                <w:noProof/>
                <w:webHidden/>
              </w:rPr>
              <w:fldChar w:fldCharType="separate"/>
            </w:r>
            <w:r w:rsidR="00D671E3">
              <w:rPr>
                <w:noProof/>
                <w:webHidden/>
              </w:rPr>
              <w:t>49</w:t>
            </w:r>
            <w:r w:rsidR="006F2657">
              <w:rPr>
                <w:noProof/>
                <w:webHidden/>
              </w:rPr>
              <w:fldChar w:fldCharType="end"/>
            </w:r>
          </w:hyperlink>
        </w:p>
        <w:p w14:paraId="525535DC" w14:textId="585E92DE"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92" w:history="1">
            <w:r w:rsidR="006F2657" w:rsidRPr="009334D3">
              <w:rPr>
                <w:rStyle w:val="Hyperlink"/>
                <w:noProof/>
                <w:lang w:val="en-US"/>
              </w:rPr>
              <w:t>5.14</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en-US"/>
              </w:rPr>
              <w:t xml:space="preserve">Alur </w:t>
            </w:r>
            <w:r w:rsidR="006F2657" w:rsidRPr="009334D3">
              <w:rPr>
                <w:rStyle w:val="Hyperlink"/>
                <w:noProof/>
              </w:rPr>
              <w:t>Penelitian</w:t>
            </w:r>
            <w:r w:rsidR="006F2657">
              <w:rPr>
                <w:noProof/>
                <w:webHidden/>
              </w:rPr>
              <w:tab/>
            </w:r>
            <w:r w:rsidR="006F2657">
              <w:rPr>
                <w:noProof/>
                <w:webHidden/>
              </w:rPr>
              <w:fldChar w:fldCharType="begin"/>
            </w:r>
            <w:r w:rsidR="006F2657">
              <w:rPr>
                <w:noProof/>
                <w:webHidden/>
              </w:rPr>
              <w:instrText xml:space="preserve"> PAGEREF _Toc158290292 \h </w:instrText>
            </w:r>
            <w:r w:rsidR="006F2657">
              <w:rPr>
                <w:noProof/>
                <w:webHidden/>
              </w:rPr>
            </w:r>
            <w:r w:rsidR="006F2657">
              <w:rPr>
                <w:noProof/>
                <w:webHidden/>
              </w:rPr>
              <w:fldChar w:fldCharType="separate"/>
            </w:r>
            <w:r w:rsidR="00D671E3">
              <w:rPr>
                <w:noProof/>
                <w:webHidden/>
              </w:rPr>
              <w:t>50</w:t>
            </w:r>
            <w:r w:rsidR="006F2657">
              <w:rPr>
                <w:noProof/>
                <w:webHidden/>
              </w:rPr>
              <w:fldChar w:fldCharType="end"/>
            </w:r>
          </w:hyperlink>
        </w:p>
        <w:p w14:paraId="5F301C45" w14:textId="74F799BC" w:rsidR="006F2657" w:rsidRDefault="00000000">
          <w:pPr>
            <w:pStyle w:val="TOC1"/>
            <w:rPr>
              <w:rFonts w:asciiTheme="minorHAnsi" w:eastAsiaTheme="minorEastAsia" w:hAnsiTheme="minorHAnsi" w:cstheme="minorBidi"/>
              <w:noProof/>
              <w:kern w:val="2"/>
              <w:sz w:val="22"/>
              <w:szCs w:val="22"/>
              <w:lang w:val="id-ID" w:eastAsia="id-ID"/>
              <w14:ligatures w14:val="standardContextual"/>
            </w:rPr>
          </w:pPr>
          <w:hyperlink w:anchor="_Toc158290293" w:history="1">
            <w:r w:rsidR="006F2657" w:rsidRPr="009334D3">
              <w:rPr>
                <w:rStyle w:val="Hyperlink"/>
                <w:noProof/>
              </w:rPr>
              <w:t>BAB VI</w:t>
            </w:r>
            <w:r w:rsidR="006F2657">
              <w:rPr>
                <w:noProof/>
                <w:webHidden/>
              </w:rPr>
              <w:tab/>
            </w:r>
          </w:hyperlink>
          <w:hyperlink w:anchor="_Toc158290294" w:history="1">
            <w:r w:rsidR="006F2657" w:rsidRPr="009334D3">
              <w:rPr>
                <w:rStyle w:val="Hyperlink"/>
                <w:noProof/>
              </w:rPr>
              <w:t>HASIL PENELITIAN</w:t>
            </w:r>
            <w:r w:rsidR="006F2657">
              <w:rPr>
                <w:noProof/>
                <w:webHidden/>
              </w:rPr>
              <w:tab/>
            </w:r>
            <w:r w:rsidR="006F2657">
              <w:rPr>
                <w:noProof/>
                <w:webHidden/>
              </w:rPr>
              <w:fldChar w:fldCharType="begin"/>
            </w:r>
            <w:r w:rsidR="006F2657">
              <w:rPr>
                <w:noProof/>
                <w:webHidden/>
              </w:rPr>
              <w:instrText xml:space="preserve"> PAGEREF _Toc158290294 \h </w:instrText>
            </w:r>
            <w:r w:rsidR="006F2657">
              <w:rPr>
                <w:noProof/>
                <w:webHidden/>
              </w:rPr>
            </w:r>
            <w:r w:rsidR="006F2657">
              <w:rPr>
                <w:noProof/>
                <w:webHidden/>
              </w:rPr>
              <w:fldChar w:fldCharType="separate"/>
            </w:r>
            <w:r w:rsidR="00D671E3">
              <w:rPr>
                <w:noProof/>
                <w:webHidden/>
              </w:rPr>
              <w:t>51</w:t>
            </w:r>
            <w:r w:rsidR="006F2657">
              <w:rPr>
                <w:noProof/>
                <w:webHidden/>
              </w:rPr>
              <w:fldChar w:fldCharType="end"/>
            </w:r>
          </w:hyperlink>
        </w:p>
        <w:p w14:paraId="53B96D8A" w14:textId="5E2466D1"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95" w:history="1">
            <w:r w:rsidR="006F2657" w:rsidRPr="009334D3">
              <w:rPr>
                <w:rStyle w:val="Hyperlink"/>
                <w:noProof/>
                <w:lang w:val="id-ID" w:eastAsia="zh-CN"/>
              </w:rPr>
              <w:t>6.1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en-US" w:eastAsia="zh-CN"/>
              </w:rPr>
              <w:t>Karakteristik S</w:t>
            </w:r>
            <w:r w:rsidR="006F2657" w:rsidRPr="009334D3">
              <w:rPr>
                <w:rStyle w:val="Hyperlink"/>
                <w:noProof/>
                <w:lang w:val="id-ID" w:eastAsia="zh-CN"/>
              </w:rPr>
              <w:t>ubyek</w:t>
            </w:r>
            <w:r w:rsidR="006F2657" w:rsidRPr="009334D3">
              <w:rPr>
                <w:rStyle w:val="Hyperlink"/>
                <w:noProof/>
                <w:lang w:val="en-US" w:eastAsia="zh-CN"/>
              </w:rPr>
              <w:t xml:space="preserve"> Penelitian</w:t>
            </w:r>
            <w:r w:rsidR="006F2657">
              <w:rPr>
                <w:noProof/>
                <w:webHidden/>
              </w:rPr>
              <w:tab/>
            </w:r>
            <w:r w:rsidR="006F2657">
              <w:rPr>
                <w:noProof/>
                <w:webHidden/>
              </w:rPr>
              <w:fldChar w:fldCharType="begin"/>
            </w:r>
            <w:r w:rsidR="006F2657">
              <w:rPr>
                <w:noProof/>
                <w:webHidden/>
              </w:rPr>
              <w:instrText xml:space="preserve"> PAGEREF _Toc158290295 \h </w:instrText>
            </w:r>
            <w:r w:rsidR="006F2657">
              <w:rPr>
                <w:noProof/>
                <w:webHidden/>
              </w:rPr>
            </w:r>
            <w:r w:rsidR="006F2657">
              <w:rPr>
                <w:noProof/>
                <w:webHidden/>
              </w:rPr>
              <w:fldChar w:fldCharType="separate"/>
            </w:r>
            <w:r w:rsidR="00D671E3">
              <w:rPr>
                <w:noProof/>
                <w:webHidden/>
              </w:rPr>
              <w:t>51</w:t>
            </w:r>
            <w:r w:rsidR="006F2657">
              <w:rPr>
                <w:noProof/>
                <w:webHidden/>
              </w:rPr>
              <w:fldChar w:fldCharType="end"/>
            </w:r>
          </w:hyperlink>
        </w:p>
        <w:p w14:paraId="0BAC253F" w14:textId="6D293DFC"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296" w:history="1">
            <w:r w:rsidR="006F2657" w:rsidRPr="009334D3">
              <w:rPr>
                <w:rStyle w:val="Hyperlink"/>
                <w:bCs/>
                <w:noProof/>
                <w:lang w:val="en-US" w:eastAsia="zh-CN"/>
              </w:rPr>
              <w:t>6.2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en-US" w:eastAsia="zh-CN"/>
              </w:rPr>
              <w:t>Intensitas</w:t>
            </w:r>
            <w:r w:rsidR="006F2657" w:rsidRPr="009334D3">
              <w:rPr>
                <w:rStyle w:val="Hyperlink"/>
                <w:bCs/>
                <w:noProof/>
                <w:lang w:val="en-US" w:eastAsia="zh-CN"/>
              </w:rPr>
              <w:t xml:space="preserve"> Nyeri, Rescue Opioid dan Efek Samping</w:t>
            </w:r>
            <w:r w:rsidR="006F2657">
              <w:rPr>
                <w:noProof/>
                <w:webHidden/>
              </w:rPr>
              <w:tab/>
            </w:r>
            <w:r w:rsidR="006F2657">
              <w:rPr>
                <w:noProof/>
                <w:webHidden/>
              </w:rPr>
              <w:fldChar w:fldCharType="begin"/>
            </w:r>
            <w:r w:rsidR="006F2657">
              <w:rPr>
                <w:noProof/>
                <w:webHidden/>
              </w:rPr>
              <w:instrText xml:space="preserve"> PAGEREF _Toc158290296 \h </w:instrText>
            </w:r>
            <w:r w:rsidR="006F2657">
              <w:rPr>
                <w:noProof/>
                <w:webHidden/>
              </w:rPr>
            </w:r>
            <w:r w:rsidR="006F2657">
              <w:rPr>
                <w:noProof/>
                <w:webHidden/>
              </w:rPr>
              <w:fldChar w:fldCharType="separate"/>
            </w:r>
            <w:r w:rsidR="00D671E3">
              <w:rPr>
                <w:noProof/>
                <w:webHidden/>
              </w:rPr>
              <w:t>52</w:t>
            </w:r>
            <w:r w:rsidR="006F2657">
              <w:rPr>
                <w:noProof/>
                <w:webHidden/>
              </w:rPr>
              <w:fldChar w:fldCharType="end"/>
            </w:r>
          </w:hyperlink>
        </w:p>
        <w:p w14:paraId="661D9AC1" w14:textId="2CB798F3"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97" w:history="1">
            <w:r w:rsidR="006F2657" w:rsidRPr="009334D3">
              <w:rPr>
                <w:rStyle w:val="Hyperlink"/>
                <w:noProof/>
                <w:lang w:val="id-ID" w:eastAsia="zh-CN"/>
              </w:rPr>
              <w:t>6.2.1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eastAsia="zh-CN"/>
              </w:rPr>
              <w:t>P</w:t>
            </w:r>
            <w:r w:rsidR="006F2657" w:rsidRPr="009334D3">
              <w:rPr>
                <w:rStyle w:val="Hyperlink"/>
                <w:noProof/>
                <w:lang w:val="en-US" w:eastAsia="zh-CN"/>
              </w:rPr>
              <w:t>erbandingan intensitas nyeri</w:t>
            </w:r>
            <w:r w:rsidR="006F2657">
              <w:rPr>
                <w:noProof/>
                <w:webHidden/>
              </w:rPr>
              <w:tab/>
            </w:r>
            <w:r w:rsidR="006F2657">
              <w:rPr>
                <w:noProof/>
                <w:webHidden/>
              </w:rPr>
              <w:fldChar w:fldCharType="begin"/>
            </w:r>
            <w:r w:rsidR="006F2657">
              <w:rPr>
                <w:noProof/>
                <w:webHidden/>
              </w:rPr>
              <w:instrText xml:space="preserve"> PAGEREF _Toc158290297 \h </w:instrText>
            </w:r>
            <w:r w:rsidR="006F2657">
              <w:rPr>
                <w:noProof/>
                <w:webHidden/>
              </w:rPr>
            </w:r>
            <w:r w:rsidR="006F2657">
              <w:rPr>
                <w:noProof/>
                <w:webHidden/>
              </w:rPr>
              <w:fldChar w:fldCharType="separate"/>
            </w:r>
            <w:r w:rsidR="00D671E3">
              <w:rPr>
                <w:noProof/>
                <w:webHidden/>
              </w:rPr>
              <w:t>52</w:t>
            </w:r>
            <w:r w:rsidR="006F2657">
              <w:rPr>
                <w:noProof/>
                <w:webHidden/>
              </w:rPr>
              <w:fldChar w:fldCharType="end"/>
            </w:r>
          </w:hyperlink>
        </w:p>
        <w:p w14:paraId="18C6D926" w14:textId="57F52488"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98" w:history="1">
            <w:r w:rsidR="006F2657" w:rsidRPr="009334D3">
              <w:rPr>
                <w:rStyle w:val="Hyperlink"/>
                <w:noProof/>
                <w:lang w:val="id-ID" w:eastAsia="zh-CN"/>
              </w:rPr>
              <w:t>6.2.2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eastAsia="zh-CN"/>
              </w:rPr>
              <w:t>K</w:t>
            </w:r>
            <w:r w:rsidR="006F2657" w:rsidRPr="009334D3">
              <w:rPr>
                <w:rStyle w:val="Hyperlink"/>
                <w:noProof/>
                <w:lang w:val="en-US" w:eastAsia="zh-CN"/>
              </w:rPr>
              <w:t>ebutuhan rescue opioid dan efek samping</w:t>
            </w:r>
            <w:r w:rsidR="006F2657">
              <w:rPr>
                <w:noProof/>
                <w:webHidden/>
              </w:rPr>
              <w:tab/>
            </w:r>
            <w:r w:rsidR="006F2657">
              <w:rPr>
                <w:noProof/>
                <w:webHidden/>
              </w:rPr>
              <w:fldChar w:fldCharType="begin"/>
            </w:r>
            <w:r w:rsidR="006F2657">
              <w:rPr>
                <w:noProof/>
                <w:webHidden/>
              </w:rPr>
              <w:instrText xml:space="preserve"> PAGEREF _Toc158290298 \h </w:instrText>
            </w:r>
            <w:r w:rsidR="006F2657">
              <w:rPr>
                <w:noProof/>
                <w:webHidden/>
              </w:rPr>
            </w:r>
            <w:r w:rsidR="006F2657">
              <w:rPr>
                <w:noProof/>
                <w:webHidden/>
              </w:rPr>
              <w:fldChar w:fldCharType="separate"/>
            </w:r>
            <w:r w:rsidR="00D671E3">
              <w:rPr>
                <w:noProof/>
                <w:webHidden/>
              </w:rPr>
              <w:t>53</w:t>
            </w:r>
            <w:r w:rsidR="006F2657">
              <w:rPr>
                <w:noProof/>
                <w:webHidden/>
              </w:rPr>
              <w:fldChar w:fldCharType="end"/>
            </w:r>
          </w:hyperlink>
        </w:p>
        <w:p w14:paraId="1F854406" w14:textId="4D034988"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299" w:history="1">
            <w:r w:rsidR="006F2657" w:rsidRPr="009334D3">
              <w:rPr>
                <w:rStyle w:val="Hyperlink"/>
                <w:noProof/>
                <w:lang w:val="id-ID" w:eastAsia="zh-CN"/>
              </w:rPr>
              <w:t>6.2.3</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eastAsia="zh-CN"/>
              </w:rPr>
              <w:t>K</w:t>
            </w:r>
            <w:r w:rsidR="006F2657" w:rsidRPr="009334D3">
              <w:rPr>
                <w:rStyle w:val="Hyperlink"/>
                <w:noProof/>
                <w:lang w:val="en-US" w:eastAsia="zh-CN"/>
              </w:rPr>
              <w:t>orelasi antara ukuran tonsil terhadap intensitas nyeri</w:t>
            </w:r>
            <w:r w:rsidR="006F2657">
              <w:rPr>
                <w:noProof/>
                <w:webHidden/>
              </w:rPr>
              <w:tab/>
            </w:r>
            <w:r w:rsidR="006F2657">
              <w:rPr>
                <w:noProof/>
                <w:webHidden/>
              </w:rPr>
              <w:fldChar w:fldCharType="begin"/>
            </w:r>
            <w:r w:rsidR="006F2657">
              <w:rPr>
                <w:noProof/>
                <w:webHidden/>
              </w:rPr>
              <w:instrText xml:space="preserve"> PAGEREF _Toc158290299 \h </w:instrText>
            </w:r>
            <w:r w:rsidR="006F2657">
              <w:rPr>
                <w:noProof/>
                <w:webHidden/>
              </w:rPr>
            </w:r>
            <w:r w:rsidR="006F2657">
              <w:rPr>
                <w:noProof/>
                <w:webHidden/>
              </w:rPr>
              <w:fldChar w:fldCharType="separate"/>
            </w:r>
            <w:r w:rsidR="00D671E3">
              <w:rPr>
                <w:noProof/>
                <w:webHidden/>
              </w:rPr>
              <w:t>53</w:t>
            </w:r>
            <w:r w:rsidR="006F2657">
              <w:rPr>
                <w:noProof/>
                <w:webHidden/>
              </w:rPr>
              <w:fldChar w:fldCharType="end"/>
            </w:r>
          </w:hyperlink>
        </w:p>
        <w:p w14:paraId="568F5D04" w14:textId="4064028F"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300" w:history="1">
            <w:r w:rsidR="006F2657" w:rsidRPr="009334D3">
              <w:rPr>
                <w:rStyle w:val="Hyperlink"/>
                <w:noProof/>
                <w:lang w:val="id-ID" w:eastAsia="zh-CN"/>
              </w:rPr>
              <w:t>6.2.4</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eastAsia="zh-CN"/>
              </w:rPr>
              <w:t>W</w:t>
            </w:r>
            <w:r w:rsidR="006F2657" w:rsidRPr="009334D3">
              <w:rPr>
                <w:rStyle w:val="Hyperlink"/>
                <w:noProof/>
                <w:lang w:val="en-US" w:eastAsia="zh-CN"/>
              </w:rPr>
              <w:t>aktu intake oral</w:t>
            </w:r>
            <w:r w:rsidR="006F2657">
              <w:rPr>
                <w:noProof/>
                <w:webHidden/>
              </w:rPr>
              <w:tab/>
            </w:r>
            <w:r w:rsidR="006F2657">
              <w:rPr>
                <w:noProof/>
                <w:webHidden/>
              </w:rPr>
              <w:fldChar w:fldCharType="begin"/>
            </w:r>
            <w:r w:rsidR="006F2657">
              <w:rPr>
                <w:noProof/>
                <w:webHidden/>
              </w:rPr>
              <w:instrText xml:space="preserve"> PAGEREF _Toc158290300 \h </w:instrText>
            </w:r>
            <w:r w:rsidR="006F2657">
              <w:rPr>
                <w:noProof/>
                <w:webHidden/>
              </w:rPr>
            </w:r>
            <w:r w:rsidR="006F2657">
              <w:rPr>
                <w:noProof/>
                <w:webHidden/>
              </w:rPr>
              <w:fldChar w:fldCharType="separate"/>
            </w:r>
            <w:r w:rsidR="00D671E3">
              <w:rPr>
                <w:noProof/>
                <w:webHidden/>
              </w:rPr>
              <w:t>54</w:t>
            </w:r>
            <w:r w:rsidR="006F2657">
              <w:rPr>
                <w:noProof/>
                <w:webHidden/>
              </w:rPr>
              <w:fldChar w:fldCharType="end"/>
            </w:r>
          </w:hyperlink>
        </w:p>
        <w:p w14:paraId="54F03D31" w14:textId="6F1734D4"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301" w:history="1">
            <w:r w:rsidR="006F2657" w:rsidRPr="009334D3">
              <w:rPr>
                <w:rStyle w:val="Hyperlink"/>
                <w:noProof/>
                <w:lang w:val="id-ID" w:eastAsia="zh-CN"/>
              </w:rPr>
              <w:t>6.2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en-US" w:eastAsia="zh-CN"/>
              </w:rPr>
              <w:t>Kadar IL-6</w:t>
            </w:r>
            <w:r w:rsidR="006F2657">
              <w:rPr>
                <w:noProof/>
                <w:webHidden/>
              </w:rPr>
              <w:tab/>
            </w:r>
            <w:r w:rsidR="006F2657">
              <w:rPr>
                <w:noProof/>
                <w:webHidden/>
              </w:rPr>
              <w:fldChar w:fldCharType="begin"/>
            </w:r>
            <w:r w:rsidR="006F2657">
              <w:rPr>
                <w:noProof/>
                <w:webHidden/>
              </w:rPr>
              <w:instrText xml:space="preserve"> PAGEREF _Toc158290301 \h </w:instrText>
            </w:r>
            <w:r w:rsidR="006F2657">
              <w:rPr>
                <w:noProof/>
                <w:webHidden/>
              </w:rPr>
            </w:r>
            <w:r w:rsidR="006F2657">
              <w:rPr>
                <w:noProof/>
                <w:webHidden/>
              </w:rPr>
              <w:fldChar w:fldCharType="separate"/>
            </w:r>
            <w:r w:rsidR="00D671E3">
              <w:rPr>
                <w:noProof/>
                <w:webHidden/>
              </w:rPr>
              <w:t>54</w:t>
            </w:r>
            <w:r w:rsidR="006F2657">
              <w:rPr>
                <w:noProof/>
                <w:webHidden/>
              </w:rPr>
              <w:fldChar w:fldCharType="end"/>
            </w:r>
          </w:hyperlink>
        </w:p>
        <w:p w14:paraId="1F68595E" w14:textId="44163367"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302" w:history="1">
            <w:r w:rsidR="006F2657" w:rsidRPr="009334D3">
              <w:rPr>
                <w:rStyle w:val="Hyperlink"/>
                <w:noProof/>
                <w:lang w:val="id-ID" w:eastAsia="zh-CN"/>
              </w:rPr>
              <w:t>6.2.1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en-US" w:eastAsia="zh-CN"/>
              </w:rPr>
              <w:t xml:space="preserve">Perbandingan </w:t>
            </w:r>
            <w:r w:rsidR="006F2657" w:rsidRPr="009334D3">
              <w:rPr>
                <w:rStyle w:val="Hyperlink"/>
                <w:noProof/>
                <w:lang w:val="id-ID" w:eastAsia="zh-CN"/>
              </w:rPr>
              <w:t>k</w:t>
            </w:r>
            <w:r w:rsidR="006F2657" w:rsidRPr="009334D3">
              <w:rPr>
                <w:rStyle w:val="Hyperlink"/>
                <w:noProof/>
                <w:lang w:val="en-US" w:eastAsia="zh-CN"/>
              </w:rPr>
              <w:t>adar IL-6</w:t>
            </w:r>
            <w:r w:rsidR="006F2657">
              <w:rPr>
                <w:noProof/>
                <w:webHidden/>
              </w:rPr>
              <w:tab/>
            </w:r>
            <w:r w:rsidR="006F2657">
              <w:rPr>
                <w:noProof/>
                <w:webHidden/>
              </w:rPr>
              <w:fldChar w:fldCharType="begin"/>
            </w:r>
            <w:r w:rsidR="006F2657">
              <w:rPr>
                <w:noProof/>
                <w:webHidden/>
              </w:rPr>
              <w:instrText xml:space="preserve"> PAGEREF _Toc158290302 \h </w:instrText>
            </w:r>
            <w:r w:rsidR="006F2657">
              <w:rPr>
                <w:noProof/>
                <w:webHidden/>
              </w:rPr>
            </w:r>
            <w:r w:rsidR="006F2657">
              <w:rPr>
                <w:noProof/>
                <w:webHidden/>
              </w:rPr>
              <w:fldChar w:fldCharType="separate"/>
            </w:r>
            <w:r w:rsidR="00D671E3">
              <w:rPr>
                <w:noProof/>
                <w:webHidden/>
              </w:rPr>
              <w:t>54</w:t>
            </w:r>
            <w:r w:rsidR="006F2657">
              <w:rPr>
                <w:noProof/>
                <w:webHidden/>
              </w:rPr>
              <w:fldChar w:fldCharType="end"/>
            </w:r>
          </w:hyperlink>
        </w:p>
        <w:p w14:paraId="01393974" w14:textId="0F61CD78"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303" w:history="1">
            <w:r w:rsidR="006F2657" w:rsidRPr="009334D3">
              <w:rPr>
                <w:rStyle w:val="Hyperlink"/>
                <w:noProof/>
                <w:lang w:val="id-ID" w:eastAsia="zh-CN"/>
              </w:rPr>
              <w:t>6.2.2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eastAsia="zh-CN"/>
              </w:rPr>
              <w:t>K</w:t>
            </w:r>
            <w:r w:rsidR="006F2657" w:rsidRPr="009334D3">
              <w:rPr>
                <w:rStyle w:val="Hyperlink"/>
                <w:noProof/>
                <w:lang w:val="en-US" w:eastAsia="zh-CN"/>
              </w:rPr>
              <w:t>orelasi</w:t>
            </w:r>
            <w:r w:rsidR="006F2657" w:rsidRPr="009334D3">
              <w:rPr>
                <w:rStyle w:val="Hyperlink"/>
                <w:bCs/>
                <w:noProof/>
                <w:lang w:val="en-US" w:eastAsia="zh-CN"/>
              </w:rPr>
              <w:t xml:space="preserve"> antara ukuran tonsil terhadap kadar </w:t>
            </w:r>
            <w:r w:rsidR="006F2657" w:rsidRPr="009334D3">
              <w:rPr>
                <w:rStyle w:val="Hyperlink"/>
                <w:bCs/>
                <w:noProof/>
                <w:lang w:val="id-ID" w:eastAsia="zh-CN"/>
              </w:rPr>
              <w:t>IL</w:t>
            </w:r>
            <w:r w:rsidR="006F2657" w:rsidRPr="009334D3">
              <w:rPr>
                <w:rStyle w:val="Hyperlink"/>
                <w:bCs/>
                <w:noProof/>
                <w:lang w:val="en-US" w:eastAsia="zh-CN"/>
              </w:rPr>
              <w:t>-6</w:t>
            </w:r>
            <w:r w:rsidR="006F2657">
              <w:rPr>
                <w:noProof/>
                <w:webHidden/>
              </w:rPr>
              <w:tab/>
            </w:r>
            <w:r w:rsidR="006F2657">
              <w:rPr>
                <w:noProof/>
                <w:webHidden/>
              </w:rPr>
              <w:fldChar w:fldCharType="begin"/>
            </w:r>
            <w:r w:rsidR="006F2657">
              <w:rPr>
                <w:noProof/>
                <w:webHidden/>
              </w:rPr>
              <w:instrText xml:space="preserve"> PAGEREF _Toc158290303 \h </w:instrText>
            </w:r>
            <w:r w:rsidR="006F2657">
              <w:rPr>
                <w:noProof/>
                <w:webHidden/>
              </w:rPr>
            </w:r>
            <w:r w:rsidR="006F2657">
              <w:rPr>
                <w:noProof/>
                <w:webHidden/>
              </w:rPr>
              <w:fldChar w:fldCharType="separate"/>
            </w:r>
            <w:r w:rsidR="00D671E3">
              <w:rPr>
                <w:noProof/>
                <w:webHidden/>
              </w:rPr>
              <w:t>55</w:t>
            </w:r>
            <w:r w:rsidR="006F2657">
              <w:rPr>
                <w:noProof/>
                <w:webHidden/>
              </w:rPr>
              <w:fldChar w:fldCharType="end"/>
            </w:r>
          </w:hyperlink>
        </w:p>
        <w:p w14:paraId="0B5DC380" w14:textId="3DBF72CF"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304" w:history="1">
            <w:r w:rsidR="006F2657" w:rsidRPr="009334D3">
              <w:rPr>
                <w:rStyle w:val="Hyperlink"/>
                <w:noProof/>
                <w:lang w:val="id-ID" w:eastAsia="zh-CN"/>
              </w:rPr>
              <w:t>6.3</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eastAsia="zh-CN"/>
              </w:rPr>
              <w:t>Pembahasan</w:t>
            </w:r>
            <w:r w:rsidR="006F2657">
              <w:rPr>
                <w:noProof/>
                <w:webHidden/>
              </w:rPr>
              <w:tab/>
            </w:r>
            <w:r w:rsidR="006F2657">
              <w:rPr>
                <w:noProof/>
                <w:webHidden/>
              </w:rPr>
              <w:fldChar w:fldCharType="begin"/>
            </w:r>
            <w:r w:rsidR="006F2657">
              <w:rPr>
                <w:noProof/>
                <w:webHidden/>
              </w:rPr>
              <w:instrText xml:space="preserve"> PAGEREF _Toc158290304 \h </w:instrText>
            </w:r>
            <w:r w:rsidR="006F2657">
              <w:rPr>
                <w:noProof/>
                <w:webHidden/>
              </w:rPr>
            </w:r>
            <w:r w:rsidR="006F2657">
              <w:rPr>
                <w:noProof/>
                <w:webHidden/>
              </w:rPr>
              <w:fldChar w:fldCharType="separate"/>
            </w:r>
            <w:r w:rsidR="00D671E3">
              <w:rPr>
                <w:noProof/>
                <w:webHidden/>
              </w:rPr>
              <w:t>56</w:t>
            </w:r>
            <w:r w:rsidR="006F2657">
              <w:rPr>
                <w:noProof/>
                <w:webHidden/>
              </w:rPr>
              <w:fldChar w:fldCharType="end"/>
            </w:r>
          </w:hyperlink>
        </w:p>
        <w:p w14:paraId="2721CD5C" w14:textId="5A82199C" w:rsidR="006F2657" w:rsidRDefault="00000000">
          <w:pPr>
            <w:pStyle w:val="TOC3"/>
            <w:rPr>
              <w:rFonts w:asciiTheme="minorHAnsi" w:eastAsiaTheme="minorEastAsia" w:hAnsiTheme="minorHAnsi" w:cstheme="minorBidi"/>
              <w:noProof/>
              <w:kern w:val="2"/>
              <w:sz w:val="22"/>
              <w:szCs w:val="22"/>
              <w:lang w:val="id-ID" w:eastAsia="id-ID"/>
              <w14:ligatures w14:val="standardContextual"/>
            </w:rPr>
          </w:pPr>
          <w:hyperlink w:anchor="_Toc158290305" w:history="1">
            <w:r w:rsidR="006F2657" w:rsidRPr="009334D3">
              <w:rPr>
                <w:rStyle w:val="Hyperlink"/>
                <w:noProof/>
                <w:lang w:val="id-ID"/>
              </w:rPr>
              <w:t>6.3.1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Karakteristik Sampel</w:t>
            </w:r>
            <w:r w:rsidR="006F2657">
              <w:rPr>
                <w:noProof/>
                <w:webHidden/>
              </w:rPr>
              <w:tab/>
            </w:r>
            <w:r w:rsidR="006F2657">
              <w:rPr>
                <w:noProof/>
                <w:webHidden/>
              </w:rPr>
              <w:fldChar w:fldCharType="begin"/>
            </w:r>
            <w:r w:rsidR="006F2657">
              <w:rPr>
                <w:noProof/>
                <w:webHidden/>
              </w:rPr>
              <w:instrText xml:space="preserve"> PAGEREF _Toc158290305 \h </w:instrText>
            </w:r>
            <w:r w:rsidR="006F2657">
              <w:rPr>
                <w:noProof/>
                <w:webHidden/>
              </w:rPr>
            </w:r>
            <w:r w:rsidR="006F2657">
              <w:rPr>
                <w:noProof/>
                <w:webHidden/>
              </w:rPr>
              <w:fldChar w:fldCharType="separate"/>
            </w:r>
            <w:r w:rsidR="00D671E3">
              <w:rPr>
                <w:noProof/>
                <w:webHidden/>
              </w:rPr>
              <w:t>56</w:t>
            </w:r>
            <w:r w:rsidR="006F2657">
              <w:rPr>
                <w:noProof/>
                <w:webHidden/>
              </w:rPr>
              <w:fldChar w:fldCharType="end"/>
            </w:r>
          </w:hyperlink>
        </w:p>
        <w:p w14:paraId="56D008D1" w14:textId="1D51D150" w:rsidR="006F2657" w:rsidRDefault="00000000" w:rsidP="006F2657">
          <w:pPr>
            <w:pStyle w:val="TOC3"/>
            <w:ind w:left="1985" w:hanging="567"/>
            <w:rPr>
              <w:rFonts w:asciiTheme="minorHAnsi" w:eastAsiaTheme="minorEastAsia" w:hAnsiTheme="minorHAnsi" w:cstheme="minorBidi"/>
              <w:noProof/>
              <w:kern w:val="2"/>
              <w:sz w:val="22"/>
              <w:szCs w:val="22"/>
              <w:lang w:val="id-ID" w:eastAsia="id-ID"/>
              <w14:ligatures w14:val="standardContextual"/>
            </w:rPr>
          </w:pPr>
          <w:hyperlink w:anchor="_Toc158290306" w:history="1">
            <w:r w:rsidR="006F2657" w:rsidRPr="009334D3">
              <w:rPr>
                <w:rStyle w:val="Hyperlink"/>
                <w:noProof/>
                <w:lang w:val="id-ID"/>
              </w:rPr>
              <w:t>6.3.2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 xml:space="preserve">Efek pemberian </w:t>
            </w:r>
            <w:r w:rsidR="006F2657" w:rsidRPr="009334D3">
              <w:rPr>
                <w:rStyle w:val="Hyperlink"/>
                <w:noProof/>
              </w:rPr>
              <w:t>blok peritonsil</w:t>
            </w:r>
            <w:r w:rsidR="006F2657" w:rsidRPr="009334D3">
              <w:rPr>
                <w:rStyle w:val="Hyperlink"/>
                <w:noProof/>
                <w:lang w:val="en-US"/>
              </w:rPr>
              <w:t>e</w:t>
            </w:r>
            <w:r w:rsidR="006F2657" w:rsidRPr="009334D3">
              <w:rPr>
                <w:rStyle w:val="Hyperlink"/>
                <w:noProof/>
              </w:rPr>
              <w:t xml:space="preserve">r </w:t>
            </w:r>
            <w:r w:rsidR="006F2657" w:rsidRPr="009334D3">
              <w:rPr>
                <w:rStyle w:val="Hyperlink"/>
                <w:noProof/>
                <w:lang w:val="id-ID"/>
              </w:rPr>
              <w:t>levo</w:t>
            </w:r>
            <w:r w:rsidR="006F2657" w:rsidRPr="009334D3">
              <w:rPr>
                <w:rStyle w:val="Hyperlink"/>
                <w:noProof/>
              </w:rPr>
              <w:t>bupiva</w:t>
            </w:r>
            <w:r w:rsidR="006F2657" w:rsidRPr="009334D3">
              <w:rPr>
                <w:rStyle w:val="Hyperlink"/>
                <w:noProof/>
                <w:lang w:val="id-ID"/>
              </w:rPr>
              <w:t>ca</w:t>
            </w:r>
            <w:r w:rsidR="006F2657" w:rsidRPr="009334D3">
              <w:rPr>
                <w:rStyle w:val="Hyperlink"/>
                <w:noProof/>
              </w:rPr>
              <w:t xml:space="preserve">ine isobarik 0,125% </w:t>
            </w:r>
            <w:r w:rsidR="006F2657" w:rsidRPr="009334D3">
              <w:rPr>
                <w:rStyle w:val="Hyperlink"/>
                <w:noProof/>
                <w:lang w:val="id-ID"/>
              </w:rPr>
              <w:t xml:space="preserve">terhadap </w:t>
            </w:r>
            <w:r w:rsidR="006F2657" w:rsidRPr="009334D3">
              <w:rPr>
                <w:rStyle w:val="Hyperlink"/>
                <w:noProof/>
              </w:rPr>
              <w:t>intensitas nyeri</w:t>
            </w:r>
            <w:r w:rsidR="006F2657" w:rsidRPr="009334D3">
              <w:rPr>
                <w:rStyle w:val="Hyperlink"/>
                <w:noProof/>
                <w:lang w:val="en-US"/>
              </w:rPr>
              <w:t xml:space="preserve"> </w:t>
            </w:r>
            <w:r w:rsidR="006F2657" w:rsidRPr="009334D3">
              <w:rPr>
                <w:rStyle w:val="Hyperlink"/>
                <w:noProof/>
                <w:lang w:val="id-ID"/>
              </w:rPr>
              <w:t>pascabedah</w:t>
            </w:r>
            <w:r w:rsidR="006F2657" w:rsidRPr="009334D3">
              <w:rPr>
                <w:rStyle w:val="Hyperlink"/>
                <w:noProof/>
              </w:rPr>
              <w:t xml:space="preserve"> tonsilektomi</w:t>
            </w:r>
            <w:r w:rsidR="006F2657">
              <w:rPr>
                <w:noProof/>
                <w:webHidden/>
              </w:rPr>
              <w:tab/>
            </w:r>
            <w:r w:rsidR="006F2657">
              <w:rPr>
                <w:noProof/>
                <w:webHidden/>
              </w:rPr>
              <w:fldChar w:fldCharType="begin"/>
            </w:r>
            <w:r w:rsidR="006F2657">
              <w:rPr>
                <w:noProof/>
                <w:webHidden/>
              </w:rPr>
              <w:instrText xml:space="preserve"> PAGEREF _Toc158290306 \h </w:instrText>
            </w:r>
            <w:r w:rsidR="006F2657">
              <w:rPr>
                <w:noProof/>
                <w:webHidden/>
              </w:rPr>
            </w:r>
            <w:r w:rsidR="006F2657">
              <w:rPr>
                <w:noProof/>
                <w:webHidden/>
              </w:rPr>
              <w:fldChar w:fldCharType="separate"/>
            </w:r>
            <w:r w:rsidR="00D671E3">
              <w:rPr>
                <w:noProof/>
                <w:webHidden/>
              </w:rPr>
              <w:t>56</w:t>
            </w:r>
            <w:r w:rsidR="006F2657">
              <w:rPr>
                <w:noProof/>
                <w:webHidden/>
              </w:rPr>
              <w:fldChar w:fldCharType="end"/>
            </w:r>
          </w:hyperlink>
        </w:p>
        <w:p w14:paraId="05EF1993" w14:textId="7C21E201" w:rsidR="006F2657" w:rsidRDefault="00000000" w:rsidP="006F2657">
          <w:pPr>
            <w:pStyle w:val="TOC3"/>
            <w:ind w:left="1985" w:hanging="567"/>
            <w:rPr>
              <w:rFonts w:asciiTheme="minorHAnsi" w:eastAsiaTheme="minorEastAsia" w:hAnsiTheme="minorHAnsi" w:cstheme="minorBidi"/>
              <w:noProof/>
              <w:kern w:val="2"/>
              <w:sz w:val="22"/>
              <w:szCs w:val="22"/>
              <w:lang w:val="id-ID" w:eastAsia="id-ID"/>
              <w14:ligatures w14:val="standardContextual"/>
            </w:rPr>
          </w:pPr>
          <w:hyperlink w:anchor="_Toc158290307" w:history="1">
            <w:r w:rsidR="006F2657" w:rsidRPr="009334D3">
              <w:rPr>
                <w:rStyle w:val="Hyperlink"/>
                <w:noProof/>
                <w:lang w:eastAsia="zh-CN"/>
              </w:rPr>
              <w:t>6.3.3</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 xml:space="preserve">Efek pemberian </w:t>
            </w:r>
            <w:r w:rsidR="006F2657" w:rsidRPr="009334D3">
              <w:rPr>
                <w:rStyle w:val="Hyperlink"/>
                <w:noProof/>
              </w:rPr>
              <w:t>blok peritonsil</w:t>
            </w:r>
            <w:r w:rsidR="006F2657" w:rsidRPr="009334D3">
              <w:rPr>
                <w:rStyle w:val="Hyperlink"/>
                <w:noProof/>
                <w:lang w:val="en-US"/>
              </w:rPr>
              <w:t>e</w:t>
            </w:r>
            <w:r w:rsidR="006F2657" w:rsidRPr="009334D3">
              <w:rPr>
                <w:rStyle w:val="Hyperlink"/>
                <w:noProof/>
              </w:rPr>
              <w:t xml:space="preserve">r </w:t>
            </w:r>
            <w:r w:rsidR="006F2657" w:rsidRPr="009334D3">
              <w:rPr>
                <w:rStyle w:val="Hyperlink"/>
                <w:noProof/>
                <w:lang w:val="id-ID"/>
              </w:rPr>
              <w:t>levo</w:t>
            </w:r>
            <w:r w:rsidR="006F2657" w:rsidRPr="009334D3">
              <w:rPr>
                <w:rStyle w:val="Hyperlink"/>
                <w:noProof/>
              </w:rPr>
              <w:t>bupiva</w:t>
            </w:r>
            <w:r w:rsidR="006F2657" w:rsidRPr="009334D3">
              <w:rPr>
                <w:rStyle w:val="Hyperlink"/>
                <w:noProof/>
                <w:lang w:val="id-ID"/>
              </w:rPr>
              <w:t>ca</w:t>
            </w:r>
            <w:r w:rsidR="006F2657" w:rsidRPr="009334D3">
              <w:rPr>
                <w:rStyle w:val="Hyperlink"/>
                <w:noProof/>
              </w:rPr>
              <w:t xml:space="preserve">ine isobarik 0,125% </w:t>
            </w:r>
            <w:r w:rsidR="006F2657" w:rsidRPr="009334D3">
              <w:rPr>
                <w:rStyle w:val="Hyperlink"/>
                <w:noProof/>
                <w:lang w:val="id-ID"/>
              </w:rPr>
              <w:t xml:space="preserve">terhadap penggunaan </w:t>
            </w:r>
            <w:r w:rsidR="006F2657" w:rsidRPr="009334D3">
              <w:rPr>
                <w:rStyle w:val="Hyperlink"/>
                <w:i/>
                <w:iCs/>
                <w:noProof/>
                <w:lang w:val="id-ID"/>
              </w:rPr>
              <w:t>rescue opioid</w:t>
            </w:r>
            <w:r w:rsidR="006F2657" w:rsidRPr="009334D3">
              <w:rPr>
                <w:rStyle w:val="Hyperlink"/>
                <w:noProof/>
                <w:lang w:val="en-US"/>
              </w:rPr>
              <w:t xml:space="preserve"> </w:t>
            </w:r>
            <w:r w:rsidR="006F2657" w:rsidRPr="009334D3">
              <w:rPr>
                <w:rStyle w:val="Hyperlink"/>
                <w:noProof/>
                <w:lang w:val="id-ID"/>
              </w:rPr>
              <w:t>pascabedah</w:t>
            </w:r>
            <w:r w:rsidR="006F2657" w:rsidRPr="009334D3">
              <w:rPr>
                <w:rStyle w:val="Hyperlink"/>
                <w:noProof/>
              </w:rPr>
              <w:t xml:space="preserve"> tonsilektomi</w:t>
            </w:r>
            <w:r w:rsidR="006F2657">
              <w:rPr>
                <w:noProof/>
                <w:webHidden/>
              </w:rPr>
              <w:tab/>
            </w:r>
            <w:r w:rsidR="006F2657">
              <w:rPr>
                <w:noProof/>
                <w:webHidden/>
              </w:rPr>
              <w:fldChar w:fldCharType="begin"/>
            </w:r>
            <w:r w:rsidR="006F2657">
              <w:rPr>
                <w:noProof/>
                <w:webHidden/>
              </w:rPr>
              <w:instrText xml:space="preserve"> PAGEREF _Toc158290307 \h </w:instrText>
            </w:r>
            <w:r w:rsidR="006F2657">
              <w:rPr>
                <w:noProof/>
                <w:webHidden/>
              </w:rPr>
            </w:r>
            <w:r w:rsidR="006F2657">
              <w:rPr>
                <w:noProof/>
                <w:webHidden/>
              </w:rPr>
              <w:fldChar w:fldCharType="separate"/>
            </w:r>
            <w:r w:rsidR="00D671E3">
              <w:rPr>
                <w:noProof/>
                <w:webHidden/>
              </w:rPr>
              <w:t>59</w:t>
            </w:r>
            <w:r w:rsidR="006F2657">
              <w:rPr>
                <w:noProof/>
                <w:webHidden/>
              </w:rPr>
              <w:fldChar w:fldCharType="end"/>
            </w:r>
          </w:hyperlink>
        </w:p>
        <w:p w14:paraId="40B4DDE4" w14:textId="79A31C32" w:rsidR="006F2657" w:rsidRDefault="00000000" w:rsidP="006F2657">
          <w:pPr>
            <w:pStyle w:val="TOC3"/>
            <w:ind w:left="1985" w:hanging="567"/>
            <w:rPr>
              <w:rFonts w:asciiTheme="minorHAnsi" w:eastAsiaTheme="minorEastAsia" w:hAnsiTheme="minorHAnsi" w:cstheme="minorBidi"/>
              <w:noProof/>
              <w:kern w:val="2"/>
              <w:sz w:val="22"/>
              <w:szCs w:val="22"/>
              <w:lang w:val="id-ID" w:eastAsia="id-ID"/>
              <w14:ligatures w14:val="standardContextual"/>
            </w:rPr>
          </w:pPr>
          <w:hyperlink w:anchor="_Toc158290308" w:history="1">
            <w:r w:rsidR="006F2657" w:rsidRPr="009334D3">
              <w:rPr>
                <w:rStyle w:val="Hyperlink"/>
                <w:noProof/>
              </w:rPr>
              <w:t>6.3.4</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 xml:space="preserve">Efek pemberian </w:t>
            </w:r>
            <w:r w:rsidR="006F2657" w:rsidRPr="009334D3">
              <w:rPr>
                <w:rStyle w:val="Hyperlink"/>
                <w:noProof/>
              </w:rPr>
              <w:t>blok peritonsil</w:t>
            </w:r>
            <w:r w:rsidR="006F2657" w:rsidRPr="009334D3">
              <w:rPr>
                <w:rStyle w:val="Hyperlink"/>
                <w:noProof/>
                <w:lang w:val="en-US"/>
              </w:rPr>
              <w:t>e</w:t>
            </w:r>
            <w:r w:rsidR="006F2657" w:rsidRPr="009334D3">
              <w:rPr>
                <w:rStyle w:val="Hyperlink"/>
                <w:noProof/>
              </w:rPr>
              <w:t xml:space="preserve">r </w:t>
            </w:r>
            <w:r w:rsidR="006F2657" w:rsidRPr="009334D3">
              <w:rPr>
                <w:rStyle w:val="Hyperlink"/>
                <w:noProof/>
                <w:lang w:val="id-ID"/>
              </w:rPr>
              <w:t>levo</w:t>
            </w:r>
            <w:r w:rsidR="006F2657" w:rsidRPr="009334D3">
              <w:rPr>
                <w:rStyle w:val="Hyperlink"/>
                <w:noProof/>
              </w:rPr>
              <w:t>bupiva</w:t>
            </w:r>
            <w:r w:rsidR="006F2657" w:rsidRPr="009334D3">
              <w:rPr>
                <w:rStyle w:val="Hyperlink"/>
                <w:noProof/>
                <w:lang w:val="id-ID"/>
              </w:rPr>
              <w:t>ca</w:t>
            </w:r>
            <w:r w:rsidR="006F2657" w:rsidRPr="009334D3">
              <w:rPr>
                <w:rStyle w:val="Hyperlink"/>
                <w:noProof/>
              </w:rPr>
              <w:t xml:space="preserve">ine isobarik 0,125% </w:t>
            </w:r>
            <w:r w:rsidR="006F2657" w:rsidRPr="009334D3">
              <w:rPr>
                <w:rStyle w:val="Hyperlink"/>
                <w:noProof/>
                <w:lang w:val="id-ID"/>
              </w:rPr>
              <w:t>terhadap efek samping pascabedah</w:t>
            </w:r>
            <w:r w:rsidR="006F2657" w:rsidRPr="009334D3">
              <w:rPr>
                <w:rStyle w:val="Hyperlink"/>
                <w:noProof/>
              </w:rPr>
              <w:t xml:space="preserve"> tonsilektomi</w:t>
            </w:r>
            <w:r w:rsidR="006F2657">
              <w:rPr>
                <w:noProof/>
                <w:webHidden/>
              </w:rPr>
              <w:tab/>
            </w:r>
            <w:r w:rsidR="006F2657">
              <w:rPr>
                <w:noProof/>
                <w:webHidden/>
              </w:rPr>
              <w:fldChar w:fldCharType="begin"/>
            </w:r>
            <w:r w:rsidR="006F2657">
              <w:rPr>
                <w:noProof/>
                <w:webHidden/>
              </w:rPr>
              <w:instrText xml:space="preserve"> PAGEREF _Toc158290308 \h </w:instrText>
            </w:r>
            <w:r w:rsidR="006F2657">
              <w:rPr>
                <w:noProof/>
                <w:webHidden/>
              </w:rPr>
            </w:r>
            <w:r w:rsidR="006F2657">
              <w:rPr>
                <w:noProof/>
                <w:webHidden/>
              </w:rPr>
              <w:fldChar w:fldCharType="separate"/>
            </w:r>
            <w:r w:rsidR="00D671E3">
              <w:rPr>
                <w:noProof/>
                <w:webHidden/>
              </w:rPr>
              <w:t>59</w:t>
            </w:r>
            <w:r w:rsidR="006F2657">
              <w:rPr>
                <w:noProof/>
                <w:webHidden/>
              </w:rPr>
              <w:fldChar w:fldCharType="end"/>
            </w:r>
          </w:hyperlink>
        </w:p>
        <w:p w14:paraId="75B14439" w14:textId="4E92F796" w:rsidR="006F2657" w:rsidRDefault="00000000" w:rsidP="006F2657">
          <w:pPr>
            <w:pStyle w:val="TOC3"/>
            <w:ind w:left="1985" w:hanging="567"/>
            <w:rPr>
              <w:rFonts w:asciiTheme="minorHAnsi" w:eastAsiaTheme="minorEastAsia" w:hAnsiTheme="minorHAnsi" w:cstheme="minorBidi"/>
              <w:noProof/>
              <w:kern w:val="2"/>
              <w:sz w:val="22"/>
              <w:szCs w:val="22"/>
              <w:lang w:val="id-ID" w:eastAsia="id-ID"/>
              <w14:ligatures w14:val="standardContextual"/>
            </w:rPr>
          </w:pPr>
          <w:hyperlink w:anchor="_Toc158290309" w:history="1">
            <w:r w:rsidR="006F2657" w:rsidRPr="009334D3">
              <w:rPr>
                <w:rStyle w:val="Hyperlink"/>
                <w:noProof/>
                <w:lang w:eastAsia="zh-CN"/>
              </w:rPr>
              <w:t>6.3.5</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eastAsia="zh-CN"/>
              </w:rPr>
              <w:t>Perbandingan</w:t>
            </w:r>
            <w:r w:rsidR="006F2657" w:rsidRPr="009334D3">
              <w:rPr>
                <w:rStyle w:val="Hyperlink"/>
                <w:noProof/>
              </w:rPr>
              <w:t xml:space="preserve"> </w:t>
            </w:r>
            <w:r w:rsidR="006F2657" w:rsidRPr="009334D3">
              <w:rPr>
                <w:rStyle w:val="Hyperlink"/>
                <w:noProof/>
                <w:lang w:val="id-ID"/>
              </w:rPr>
              <w:t>kadar IL-6</w:t>
            </w:r>
            <w:r w:rsidR="006F2657" w:rsidRPr="009334D3">
              <w:rPr>
                <w:rStyle w:val="Hyperlink"/>
                <w:noProof/>
                <w:lang w:val="en-US"/>
              </w:rPr>
              <w:t xml:space="preserve"> </w:t>
            </w:r>
            <w:r w:rsidR="006F2657" w:rsidRPr="009334D3">
              <w:rPr>
                <w:rStyle w:val="Hyperlink"/>
                <w:noProof/>
                <w:lang w:val="id-ID"/>
              </w:rPr>
              <w:t>antara</w:t>
            </w:r>
            <w:r w:rsidR="006F2657" w:rsidRPr="009334D3">
              <w:rPr>
                <w:rStyle w:val="Hyperlink"/>
                <w:noProof/>
              </w:rPr>
              <w:t xml:space="preserve"> </w:t>
            </w:r>
            <w:r w:rsidR="006F2657" w:rsidRPr="009334D3">
              <w:rPr>
                <w:rStyle w:val="Hyperlink"/>
                <w:noProof/>
                <w:lang w:val="en-US"/>
              </w:rPr>
              <w:t>kelompok</w:t>
            </w:r>
            <w:r w:rsidR="006F2657" w:rsidRPr="009334D3">
              <w:rPr>
                <w:rStyle w:val="Hyperlink"/>
                <w:noProof/>
              </w:rPr>
              <w:t xml:space="preserve"> </w:t>
            </w:r>
            <w:r w:rsidR="006F2657" w:rsidRPr="009334D3">
              <w:rPr>
                <w:rStyle w:val="Hyperlink"/>
                <w:noProof/>
                <w:lang w:val="en-US"/>
              </w:rPr>
              <w:t xml:space="preserve">yang diberikan </w:t>
            </w:r>
            <w:r w:rsidR="006F2657" w:rsidRPr="009334D3">
              <w:rPr>
                <w:rStyle w:val="Hyperlink"/>
                <w:noProof/>
                <w:lang w:val="id-ID"/>
              </w:rPr>
              <w:t xml:space="preserve">dan tanpa </w:t>
            </w:r>
            <w:r w:rsidR="006F2657" w:rsidRPr="009334D3">
              <w:rPr>
                <w:rStyle w:val="Hyperlink"/>
                <w:noProof/>
              </w:rPr>
              <w:t>blok peritonsil</w:t>
            </w:r>
            <w:r w:rsidR="006F2657" w:rsidRPr="009334D3">
              <w:rPr>
                <w:rStyle w:val="Hyperlink"/>
                <w:noProof/>
                <w:lang w:val="en-US"/>
              </w:rPr>
              <w:t>e</w:t>
            </w:r>
            <w:r w:rsidR="006F2657" w:rsidRPr="009334D3">
              <w:rPr>
                <w:rStyle w:val="Hyperlink"/>
                <w:noProof/>
              </w:rPr>
              <w:t xml:space="preserve">r </w:t>
            </w:r>
            <w:r w:rsidR="006F2657" w:rsidRPr="009334D3">
              <w:rPr>
                <w:rStyle w:val="Hyperlink"/>
                <w:noProof/>
                <w:lang w:val="id-ID"/>
              </w:rPr>
              <w:t>levo</w:t>
            </w:r>
            <w:r w:rsidR="006F2657" w:rsidRPr="009334D3">
              <w:rPr>
                <w:rStyle w:val="Hyperlink"/>
                <w:noProof/>
              </w:rPr>
              <w:t>bupiva</w:t>
            </w:r>
            <w:r w:rsidR="006F2657" w:rsidRPr="009334D3">
              <w:rPr>
                <w:rStyle w:val="Hyperlink"/>
                <w:noProof/>
                <w:lang w:val="id-ID"/>
              </w:rPr>
              <w:t>ca</w:t>
            </w:r>
            <w:r w:rsidR="006F2657" w:rsidRPr="009334D3">
              <w:rPr>
                <w:rStyle w:val="Hyperlink"/>
                <w:noProof/>
              </w:rPr>
              <w:t xml:space="preserve">ine isobarik 0,125% </w:t>
            </w:r>
            <w:r w:rsidR="006F2657" w:rsidRPr="009334D3">
              <w:rPr>
                <w:rStyle w:val="Hyperlink"/>
                <w:noProof/>
                <w:lang w:val="id-ID"/>
              </w:rPr>
              <w:t>p</w:t>
            </w:r>
            <w:r w:rsidR="006F2657" w:rsidRPr="009334D3">
              <w:rPr>
                <w:rStyle w:val="Hyperlink"/>
                <w:noProof/>
              </w:rPr>
              <w:t>ada tonsilektomi</w:t>
            </w:r>
            <w:r w:rsidR="006F2657">
              <w:rPr>
                <w:noProof/>
                <w:webHidden/>
              </w:rPr>
              <w:tab/>
            </w:r>
            <w:r w:rsidR="006F2657">
              <w:rPr>
                <w:noProof/>
                <w:webHidden/>
              </w:rPr>
              <w:fldChar w:fldCharType="begin"/>
            </w:r>
            <w:r w:rsidR="006F2657">
              <w:rPr>
                <w:noProof/>
                <w:webHidden/>
              </w:rPr>
              <w:instrText xml:space="preserve"> PAGEREF _Toc158290309 \h </w:instrText>
            </w:r>
            <w:r w:rsidR="006F2657">
              <w:rPr>
                <w:noProof/>
                <w:webHidden/>
              </w:rPr>
            </w:r>
            <w:r w:rsidR="006F2657">
              <w:rPr>
                <w:noProof/>
                <w:webHidden/>
              </w:rPr>
              <w:fldChar w:fldCharType="separate"/>
            </w:r>
            <w:r w:rsidR="00D671E3">
              <w:rPr>
                <w:noProof/>
                <w:webHidden/>
              </w:rPr>
              <w:t>62</w:t>
            </w:r>
            <w:r w:rsidR="006F2657">
              <w:rPr>
                <w:noProof/>
                <w:webHidden/>
              </w:rPr>
              <w:fldChar w:fldCharType="end"/>
            </w:r>
          </w:hyperlink>
        </w:p>
        <w:p w14:paraId="2C933B17" w14:textId="2F3D377E"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310" w:history="1">
            <w:r w:rsidR="006F2657" w:rsidRPr="009334D3">
              <w:rPr>
                <w:rStyle w:val="Hyperlink"/>
                <w:noProof/>
                <w:lang w:val="id-ID"/>
              </w:rPr>
              <w:t>6.4</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rPr>
              <w:t>Keterbatasan penelitian</w:t>
            </w:r>
            <w:r w:rsidR="006F2657">
              <w:rPr>
                <w:noProof/>
                <w:webHidden/>
              </w:rPr>
              <w:tab/>
            </w:r>
            <w:r w:rsidR="006F2657">
              <w:rPr>
                <w:noProof/>
                <w:webHidden/>
              </w:rPr>
              <w:fldChar w:fldCharType="begin"/>
            </w:r>
            <w:r w:rsidR="006F2657">
              <w:rPr>
                <w:noProof/>
                <w:webHidden/>
              </w:rPr>
              <w:instrText xml:space="preserve"> PAGEREF _Toc158290310 \h </w:instrText>
            </w:r>
            <w:r w:rsidR="006F2657">
              <w:rPr>
                <w:noProof/>
                <w:webHidden/>
              </w:rPr>
            </w:r>
            <w:r w:rsidR="006F2657">
              <w:rPr>
                <w:noProof/>
                <w:webHidden/>
              </w:rPr>
              <w:fldChar w:fldCharType="separate"/>
            </w:r>
            <w:r w:rsidR="00D671E3">
              <w:rPr>
                <w:noProof/>
                <w:webHidden/>
              </w:rPr>
              <w:t>66</w:t>
            </w:r>
            <w:r w:rsidR="006F2657">
              <w:rPr>
                <w:noProof/>
                <w:webHidden/>
              </w:rPr>
              <w:fldChar w:fldCharType="end"/>
            </w:r>
          </w:hyperlink>
        </w:p>
        <w:p w14:paraId="0FB2DE65" w14:textId="7A2198D9" w:rsidR="006F2657" w:rsidRDefault="00000000">
          <w:pPr>
            <w:pStyle w:val="TOC1"/>
            <w:rPr>
              <w:rFonts w:asciiTheme="minorHAnsi" w:eastAsiaTheme="minorEastAsia" w:hAnsiTheme="minorHAnsi" w:cstheme="minorBidi"/>
              <w:noProof/>
              <w:kern w:val="2"/>
              <w:sz w:val="22"/>
              <w:szCs w:val="22"/>
              <w:lang w:val="id-ID" w:eastAsia="id-ID"/>
              <w14:ligatures w14:val="standardContextual"/>
            </w:rPr>
          </w:pPr>
          <w:hyperlink w:anchor="_Toc158290311" w:history="1">
            <w:r w:rsidR="006F2657" w:rsidRPr="009334D3">
              <w:rPr>
                <w:rStyle w:val="Hyperlink"/>
                <w:noProof/>
              </w:rPr>
              <w:t>BAB VI</w:t>
            </w:r>
            <w:r w:rsidR="006F2657" w:rsidRPr="009334D3">
              <w:rPr>
                <w:rStyle w:val="Hyperlink"/>
                <w:noProof/>
                <w:lang w:val="id-ID"/>
              </w:rPr>
              <w:t>I</w:t>
            </w:r>
          </w:hyperlink>
          <w:r w:rsidR="006F2657">
            <w:rPr>
              <w:rStyle w:val="Hyperlink"/>
              <w:noProof/>
              <w:lang w:val="id-ID"/>
            </w:rPr>
            <w:t xml:space="preserve"> </w:t>
          </w:r>
          <w:hyperlink w:anchor="_Toc158290312" w:history="1">
            <w:r w:rsidR="006F2657" w:rsidRPr="009334D3">
              <w:rPr>
                <w:rStyle w:val="Hyperlink"/>
                <w:noProof/>
                <w:lang w:val="id-ID"/>
              </w:rPr>
              <w:t>KESIMPULAN DAN SARAN</w:t>
            </w:r>
            <w:r w:rsidR="006F2657">
              <w:rPr>
                <w:noProof/>
                <w:webHidden/>
              </w:rPr>
              <w:tab/>
            </w:r>
            <w:r w:rsidR="006F2657">
              <w:rPr>
                <w:noProof/>
                <w:webHidden/>
              </w:rPr>
              <w:fldChar w:fldCharType="begin"/>
            </w:r>
            <w:r w:rsidR="006F2657">
              <w:rPr>
                <w:noProof/>
                <w:webHidden/>
              </w:rPr>
              <w:instrText xml:space="preserve"> PAGEREF _Toc158290312 \h </w:instrText>
            </w:r>
            <w:r w:rsidR="006F2657">
              <w:rPr>
                <w:noProof/>
                <w:webHidden/>
              </w:rPr>
            </w:r>
            <w:r w:rsidR="006F2657">
              <w:rPr>
                <w:noProof/>
                <w:webHidden/>
              </w:rPr>
              <w:fldChar w:fldCharType="separate"/>
            </w:r>
            <w:r w:rsidR="00D671E3">
              <w:rPr>
                <w:noProof/>
                <w:webHidden/>
              </w:rPr>
              <w:t>67</w:t>
            </w:r>
            <w:r w:rsidR="006F2657">
              <w:rPr>
                <w:noProof/>
                <w:webHidden/>
              </w:rPr>
              <w:fldChar w:fldCharType="end"/>
            </w:r>
          </w:hyperlink>
        </w:p>
        <w:p w14:paraId="5C0A83CF" w14:textId="522DBF36"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313" w:history="1">
            <w:r w:rsidR="006F2657" w:rsidRPr="009334D3">
              <w:rPr>
                <w:rStyle w:val="Hyperlink"/>
                <w:noProof/>
                <w:lang w:val="id-ID" w:eastAsia="zh-CN"/>
              </w:rPr>
              <w:t>7.1</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eastAsia="zh-CN"/>
              </w:rPr>
              <w:t>Kesimpulan</w:t>
            </w:r>
            <w:r w:rsidR="006F2657">
              <w:rPr>
                <w:noProof/>
                <w:webHidden/>
              </w:rPr>
              <w:tab/>
            </w:r>
            <w:r w:rsidR="006F2657">
              <w:rPr>
                <w:noProof/>
                <w:webHidden/>
              </w:rPr>
              <w:fldChar w:fldCharType="begin"/>
            </w:r>
            <w:r w:rsidR="006F2657">
              <w:rPr>
                <w:noProof/>
                <w:webHidden/>
              </w:rPr>
              <w:instrText xml:space="preserve"> PAGEREF _Toc158290313 \h </w:instrText>
            </w:r>
            <w:r w:rsidR="006F2657">
              <w:rPr>
                <w:noProof/>
                <w:webHidden/>
              </w:rPr>
            </w:r>
            <w:r w:rsidR="006F2657">
              <w:rPr>
                <w:noProof/>
                <w:webHidden/>
              </w:rPr>
              <w:fldChar w:fldCharType="separate"/>
            </w:r>
            <w:r w:rsidR="00D671E3">
              <w:rPr>
                <w:noProof/>
                <w:webHidden/>
              </w:rPr>
              <w:t>67</w:t>
            </w:r>
            <w:r w:rsidR="006F2657">
              <w:rPr>
                <w:noProof/>
                <w:webHidden/>
              </w:rPr>
              <w:fldChar w:fldCharType="end"/>
            </w:r>
          </w:hyperlink>
        </w:p>
        <w:p w14:paraId="1A6F821B" w14:textId="5AB89AD0" w:rsidR="006F2657" w:rsidRDefault="00000000">
          <w:pPr>
            <w:pStyle w:val="TOC2"/>
            <w:rPr>
              <w:rFonts w:asciiTheme="minorHAnsi" w:eastAsiaTheme="minorEastAsia" w:hAnsiTheme="minorHAnsi" w:cstheme="minorBidi"/>
              <w:noProof/>
              <w:kern w:val="2"/>
              <w:sz w:val="22"/>
              <w:szCs w:val="22"/>
              <w:lang w:val="id-ID" w:eastAsia="id-ID"/>
              <w14:ligatures w14:val="standardContextual"/>
            </w:rPr>
          </w:pPr>
          <w:hyperlink w:anchor="_Toc158290314" w:history="1">
            <w:r w:rsidR="006F2657" w:rsidRPr="009334D3">
              <w:rPr>
                <w:rStyle w:val="Hyperlink"/>
                <w:noProof/>
                <w:lang w:val="id-ID" w:eastAsia="zh-CN"/>
              </w:rPr>
              <w:t>7.2</w:t>
            </w:r>
            <w:r w:rsidR="006F2657">
              <w:rPr>
                <w:rFonts w:asciiTheme="minorHAnsi" w:eastAsiaTheme="minorEastAsia" w:hAnsiTheme="minorHAnsi" w:cstheme="minorBidi"/>
                <w:noProof/>
                <w:kern w:val="2"/>
                <w:sz w:val="22"/>
                <w:szCs w:val="22"/>
                <w:lang w:val="id-ID" w:eastAsia="id-ID"/>
                <w14:ligatures w14:val="standardContextual"/>
              </w:rPr>
              <w:tab/>
            </w:r>
            <w:r w:rsidR="006F2657" w:rsidRPr="009334D3">
              <w:rPr>
                <w:rStyle w:val="Hyperlink"/>
                <w:noProof/>
                <w:lang w:val="id-ID" w:eastAsia="zh-CN"/>
              </w:rPr>
              <w:t>Saran</w:t>
            </w:r>
            <w:r w:rsidR="006F2657">
              <w:rPr>
                <w:noProof/>
                <w:webHidden/>
              </w:rPr>
              <w:tab/>
            </w:r>
            <w:r w:rsidR="006F2657">
              <w:rPr>
                <w:noProof/>
                <w:webHidden/>
              </w:rPr>
              <w:fldChar w:fldCharType="begin"/>
            </w:r>
            <w:r w:rsidR="006F2657">
              <w:rPr>
                <w:noProof/>
                <w:webHidden/>
              </w:rPr>
              <w:instrText xml:space="preserve"> PAGEREF _Toc158290314 \h </w:instrText>
            </w:r>
            <w:r w:rsidR="006F2657">
              <w:rPr>
                <w:noProof/>
                <w:webHidden/>
              </w:rPr>
            </w:r>
            <w:r w:rsidR="006F2657">
              <w:rPr>
                <w:noProof/>
                <w:webHidden/>
              </w:rPr>
              <w:fldChar w:fldCharType="separate"/>
            </w:r>
            <w:r w:rsidR="00D671E3">
              <w:rPr>
                <w:noProof/>
                <w:webHidden/>
              </w:rPr>
              <w:t>67</w:t>
            </w:r>
            <w:r w:rsidR="006F2657">
              <w:rPr>
                <w:noProof/>
                <w:webHidden/>
              </w:rPr>
              <w:fldChar w:fldCharType="end"/>
            </w:r>
          </w:hyperlink>
        </w:p>
        <w:p w14:paraId="42DEFA7C" w14:textId="6E9A6F28" w:rsidR="006F2657" w:rsidRDefault="00000000">
          <w:pPr>
            <w:pStyle w:val="TOC1"/>
            <w:rPr>
              <w:rFonts w:asciiTheme="minorHAnsi" w:eastAsiaTheme="minorEastAsia" w:hAnsiTheme="minorHAnsi" w:cstheme="minorBidi"/>
              <w:noProof/>
              <w:kern w:val="2"/>
              <w:sz w:val="22"/>
              <w:szCs w:val="22"/>
              <w:lang w:val="id-ID" w:eastAsia="id-ID"/>
              <w14:ligatures w14:val="standardContextual"/>
            </w:rPr>
          </w:pPr>
          <w:hyperlink w:anchor="_Toc158290315" w:history="1">
            <w:r w:rsidR="006F2657" w:rsidRPr="009334D3">
              <w:rPr>
                <w:rStyle w:val="Hyperlink"/>
                <w:noProof/>
              </w:rPr>
              <w:t>DAFTAR</w:t>
            </w:r>
            <w:r w:rsidR="006F2657" w:rsidRPr="009334D3">
              <w:rPr>
                <w:rStyle w:val="Hyperlink"/>
                <w:bCs/>
                <w:noProof/>
              </w:rPr>
              <w:t xml:space="preserve"> </w:t>
            </w:r>
            <w:r w:rsidR="006F2657" w:rsidRPr="009334D3">
              <w:rPr>
                <w:rStyle w:val="Hyperlink"/>
                <w:noProof/>
              </w:rPr>
              <w:t>PUSTAKA</w:t>
            </w:r>
            <w:r w:rsidR="006F2657">
              <w:rPr>
                <w:noProof/>
                <w:webHidden/>
              </w:rPr>
              <w:tab/>
            </w:r>
            <w:r w:rsidR="006F2657">
              <w:rPr>
                <w:noProof/>
                <w:webHidden/>
              </w:rPr>
              <w:fldChar w:fldCharType="begin"/>
            </w:r>
            <w:r w:rsidR="006F2657">
              <w:rPr>
                <w:noProof/>
                <w:webHidden/>
              </w:rPr>
              <w:instrText xml:space="preserve"> PAGEREF _Toc158290315 \h </w:instrText>
            </w:r>
            <w:r w:rsidR="006F2657">
              <w:rPr>
                <w:noProof/>
                <w:webHidden/>
              </w:rPr>
            </w:r>
            <w:r w:rsidR="006F2657">
              <w:rPr>
                <w:noProof/>
                <w:webHidden/>
              </w:rPr>
              <w:fldChar w:fldCharType="separate"/>
            </w:r>
            <w:r w:rsidR="00D671E3">
              <w:rPr>
                <w:noProof/>
                <w:webHidden/>
              </w:rPr>
              <w:t>68</w:t>
            </w:r>
            <w:r w:rsidR="006F2657">
              <w:rPr>
                <w:noProof/>
                <w:webHidden/>
              </w:rPr>
              <w:fldChar w:fldCharType="end"/>
            </w:r>
          </w:hyperlink>
        </w:p>
        <w:p w14:paraId="4CD15E7A" w14:textId="7F3C351E" w:rsidR="003B79BC" w:rsidRDefault="00000000">
          <w:r>
            <w:rPr>
              <w:b/>
              <w:bCs/>
            </w:rPr>
            <w:fldChar w:fldCharType="end"/>
          </w:r>
        </w:p>
      </w:sdtContent>
    </w:sdt>
    <w:p w14:paraId="172257F9" w14:textId="77777777" w:rsidR="003B79BC" w:rsidRDefault="003B79BC">
      <w:pPr>
        <w:rPr>
          <w:lang w:val="id-ID"/>
        </w:rPr>
        <w:sectPr w:rsidR="003B79BC" w:rsidSect="00275E84">
          <w:footerReference w:type="default" r:id="rId12"/>
          <w:pgSz w:w="11907" w:h="16840"/>
          <w:pgMar w:top="2268" w:right="1701" w:bottom="1701" w:left="2268" w:header="720" w:footer="720" w:gutter="0"/>
          <w:pgNumType w:fmt="lowerRoman"/>
          <w:cols w:space="720"/>
          <w:docGrid w:linePitch="360"/>
        </w:sectPr>
      </w:pPr>
    </w:p>
    <w:p w14:paraId="1B95A348" w14:textId="77777777" w:rsidR="003B79BC" w:rsidRDefault="00000000">
      <w:pPr>
        <w:pStyle w:val="Heading1"/>
        <w:spacing w:after="0"/>
        <w:rPr>
          <w:sz w:val="24"/>
          <w:szCs w:val="24"/>
        </w:rPr>
      </w:pPr>
      <w:bookmarkStart w:id="4" w:name="_Toc158290220"/>
      <w:r>
        <w:rPr>
          <w:sz w:val="24"/>
          <w:szCs w:val="24"/>
        </w:rPr>
        <w:lastRenderedPageBreak/>
        <w:t>BAB I</w:t>
      </w:r>
      <w:bookmarkEnd w:id="4"/>
    </w:p>
    <w:p w14:paraId="56A5C0FE" w14:textId="77777777" w:rsidR="003B79BC" w:rsidRDefault="00000000">
      <w:pPr>
        <w:pStyle w:val="Heading1"/>
        <w:spacing w:after="0"/>
        <w:rPr>
          <w:sz w:val="24"/>
          <w:szCs w:val="24"/>
        </w:rPr>
      </w:pPr>
      <w:bookmarkStart w:id="5" w:name="_Toc158290221"/>
      <w:r>
        <w:rPr>
          <w:sz w:val="24"/>
          <w:szCs w:val="24"/>
        </w:rPr>
        <w:t>PENDAHULUAN</w:t>
      </w:r>
      <w:bookmarkEnd w:id="5"/>
    </w:p>
    <w:p w14:paraId="2FE9C730" w14:textId="77777777" w:rsidR="003B79BC" w:rsidRDefault="003B79BC">
      <w:pPr>
        <w:spacing w:line="360" w:lineRule="auto"/>
        <w:rPr>
          <w:b/>
        </w:rPr>
      </w:pPr>
    </w:p>
    <w:p w14:paraId="368B3A08" w14:textId="77777777" w:rsidR="003B79BC" w:rsidRDefault="00000000">
      <w:pPr>
        <w:pStyle w:val="Heading2"/>
        <w:numPr>
          <w:ilvl w:val="0"/>
          <w:numId w:val="1"/>
        </w:numPr>
        <w:spacing w:after="0"/>
        <w:ind w:left="567" w:hanging="567"/>
        <w:rPr>
          <w:lang w:eastAsia="zh-CN"/>
        </w:rPr>
      </w:pPr>
      <w:bookmarkStart w:id="6" w:name="_Toc158290222"/>
      <w:r>
        <w:t>Latar Belakang</w:t>
      </w:r>
      <w:bookmarkEnd w:id="6"/>
    </w:p>
    <w:p w14:paraId="163E0439" w14:textId="77777777" w:rsidR="003B79BC" w:rsidRDefault="00000000">
      <w:pPr>
        <w:pStyle w:val="Bibliography1"/>
        <w:tabs>
          <w:tab w:val="left" w:pos="0"/>
        </w:tabs>
        <w:spacing w:line="360" w:lineRule="auto"/>
        <w:ind w:firstLine="567"/>
        <w:jc w:val="both"/>
        <w:rPr>
          <w:rFonts w:eastAsiaTheme="minorEastAsia"/>
          <w:lang w:eastAsia="zh-CN"/>
        </w:rPr>
      </w:pPr>
      <w:r>
        <w:rPr>
          <w:lang w:eastAsia="zh-CN"/>
        </w:rPr>
        <w:t xml:space="preserve">Tonsilektomi merupakan prosedur bedah yang dilakukan </w:t>
      </w:r>
      <w:r>
        <w:rPr>
          <w:lang w:val="id-ID" w:eastAsia="zh-CN"/>
        </w:rPr>
        <w:t>untul</w:t>
      </w:r>
      <w:r>
        <w:rPr>
          <w:lang w:eastAsia="zh-CN"/>
        </w:rPr>
        <w:t xml:space="preserve"> mengangkat seluruh tonsil, termasuk kapsulnya, dengan membedah ruang peritonsil antara kapsul tonsil dan dinding otot.</w:t>
      </w:r>
      <w:r>
        <w:fldChar w:fldCharType="begin" w:fldLock="1"/>
      </w:r>
      <w:r>
        <w:rPr>
          <w:lang w:eastAsia="zh-CN"/>
        </w:rPr>
        <w:instrText>ADDIN CSL_CITATION {"citationItems":[{"id":"ITEM-1","itemData":{"DOI":"10.1177/0194599818801757","ISSN":"10976817","PMID":"30798778","abstract":"Objective: This update of a 2011 guideline developed by the American Academy of Otolaryngology–Head and Neck Surgery Foundation provides evidence-based recommendations on the pre-, intra-, and postoperative care and management of children 1 to 18 years of age under consideration for tonsillectomy. Tonsillectomy is defined as a surgical procedure performed with or without adenoidectomy that completely removes the tonsil, including its capsule, by dissecting the peritonsillar space between the tonsil capsule and the muscular wall. Tonsillectomy is one of the most common surgical procedures in the United States, with 289,000 ambulatory procedures performed annually in children &lt;15 years of age based on the most recent published data. This guideline is intended for all clinicians in any setting who interact with children who may be candidates for tonsillectomy. Purpose: The purpose of this multidisciplinary guideline is to identify quality improvement opportunities in managing children under consideration for tonsillectomy and to create explicit and actionable recommendations to implement these opportunities in clinical practice. Specifically, the goals are to educate clinicians, patients, and/or caregivers regarding the indications for tonsillectomy and the natural history of recurrent throat infections. Additional goals include the following: optimizing the perioperative management of children undergoing tonsillectomy, emphasizing the need for evaluation and intervention in special populations, improving the counseling and education of families who are considering tonsillectomy for their children, highlighting the management options for patients with modifying factors, and reducing inappropriate or unnecessary variations in care. Children aged 1 to 18 years under consideration for tonsillectomy are the target patient for the guideline. For this guideline update, the American Academy of Otolaryngology–Head and Neck Surgery Foundation selected a panel representing the fields of nursing, anesthesiology, consumers, family medicine, infectious disease, otolaryngology–head and neck surgery, pediatrics, and sleep medicine. Key Action Statements: The guideline update group made strong recommendations for the following key action statements (KASs): (1) Clinicians should recommend watchful waiting for recurrent throat infection if there have been &lt;7 episodes in the past year, &lt;5 episodes per year in the past 2 years, or &lt;3 episodes per year in the past 3 years. (2)…","author":[{"dropping-particle":"","family":"Mitchell","given":"Ron B.","non-dropping-particle":"","parse-names":false,"suffix":""},{"dropping-particle":"","family":"Archer","giv</w:instrText>
      </w:r>
      <w:r>
        <w:instrText>en":"Sanford M.","non-dropping-particle":"","parse-names":false,"suffix":""},{"dropping-particle":"","family":"Ishman","given":"Stacey L.","non-dropping-particle":"","parse-names":false,"suffix":""},{"dropping-particle":"","family":"Rosenfeld","given":"Richard M.","non-dropping-particle":"","parse-names":false,"suffix":""},{"dropping-particle":"","family":"Coles","given":"Sarah","non-dropping-particle":"","parse-names":false,"suffix":""},{"dropping-particle":"","family":"Finestone","given":"Sandra A.","non-dropping-particle":"","parse-names":false,"suffix":""},{"dropping-particle":"","family":"Friedman","given":"Norman R.","non-dropping-particle":"","parse-names":false,"suffix":""},{"dropping-particle":"","family":"Giordano","given":"Terri","non-dropping-particle":"","parse-names":false,"suffix":""},{"dropping-particle":"","family":"Hildrew","given":"Douglas M.","non-dropping-particl</w:instrText>
      </w:r>
      <w:r>
        <w:rPr>
          <w:lang w:eastAsia="zh-CN"/>
        </w:rPr>
        <w:instrText>e":"","parse-names":false,"suffix":""},{"dropping-particle":"","family":"Kim","given":"Tae W.","non-dropping-particle":"","parse-names":false,"suffix":""},{"dropping-particle":"","family":"Lloyd","given":"Robin M.","non-dropping-particle":"","parse-names":false,"suffix":""},{"dropping-particle":"","family":"Parikh","given":"Sanjay R.","non-dropping-particle":"","parse-names":false,"suffix":""},{"dropping-particle":"","family":"Shulman","given":"Stanford T.","non-dropping-particle":"","parse-names":false,"suffix":""},{"dropping-particle":"","family":"Walner","given":"David L.","non-dropping-particle":"","parse-names":false,"suffix":""},{"dropping-particle":"","family":"Walsh","given":"Sandra A.","non-dropping-particle":"","parse-names":false,"suffix":""},{"dropping-particle":"","family":"Nnacheta","given":"Lorraine C.","non-dropping-particle":"","parse-names":false,"suffix":""}],"container-title":"Otolaryngology - Head and Neck Surgery (United States)","id":"ITEM-1","issue":"1_suppl","issued":{"date-parts":[["2019"]]},"page":"S1-S42","title":"Clinical Practice Guideline: Tonsillectomy in Children (Update)","type":"article-journal","volume":"160"},"uris":["http://www.mendeley.com/documents/?uuid=d1465aaa-de96-4e84-8a43-c9373fdfafcc"]}],"mendeley":{"formattedCitation":"&lt;sup&gt;1&lt;/sup&gt;","plainTextFormattedCitation":"1","previouslyFormattedCitation":"&lt;sup&gt;1&lt;/sup&gt;"},"properties":{"noteIndex":0},"schema":"https://github.com/citation-style-language/schema/raw/master/csl-citation.json"}</w:instrText>
      </w:r>
      <w:r>
        <w:fldChar w:fldCharType="separate"/>
      </w:r>
      <w:r>
        <w:rPr>
          <w:noProof/>
          <w:vertAlign w:val="superscript"/>
          <w:lang w:eastAsia="zh-CN"/>
        </w:rPr>
        <w:t>1</w:t>
      </w:r>
      <w:r>
        <w:fldChar w:fldCharType="end"/>
      </w:r>
      <w:r>
        <w:rPr>
          <w:rFonts w:eastAsiaTheme="minorEastAsia"/>
          <w:lang w:val="id-ID" w:eastAsia="zh-CN"/>
        </w:rPr>
        <w:t xml:space="preserve"> </w:t>
      </w:r>
      <w:proofErr w:type="spellStart"/>
      <w:r>
        <w:rPr>
          <w:lang w:val="en-US" w:eastAsia="zh-CN"/>
        </w:rPr>
        <w:t>Indikasi</w:t>
      </w:r>
      <w:proofErr w:type="spellEnd"/>
      <w:r>
        <w:rPr>
          <w:lang w:val="en-US" w:eastAsia="zh-CN"/>
        </w:rPr>
        <w:t xml:space="preserve"> </w:t>
      </w:r>
      <w:proofErr w:type="spellStart"/>
      <w:r>
        <w:rPr>
          <w:lang w:val="en-US" w:eastAsia="zh-CN"/>
        </w:rPr>
        <w:t>umum</w:t>
      </w:r>
      <w:proofErr w:type="spellEnd"/>
      <w:r>
        <w:rPr>
          <w:lang w:val="en-US" w:eastAsia="zh-CN"/>
        </w:rPr>
        <w:t xml:space="preserve"> </w:t>
      </w:r>
      <w:proofErr w:type="spellStart"/>
      <w:r>
        <w:rPr>
          <w:lang w:val="en-US" w:eastAsia="zh-CN"/>
        </w:rPr>
        <w:t>tonsilektomi</w:t>
      </w:r>
      <w:proofErr w:type="spellEnd"/>
      <w:r>
        <w:rPr>
          <w:lang w:val="en-US" w:eastAsia="zh-CN"/>
        </w:rPr>
        <w:t xml:space="preserve"> </w:t>
      </w:r>
      <w:r>
        <w:rPr>
          <w:lang w:val="id-ID" w:eastAsia="zh-CN"/>
        </w:rPr>
        <w:t xml:space="preserve">yaitu </w:t>
      </w:r>
      <w:proofErr w:type="spellStart"/>
      <w:r>
        <w:rPr>
          <w:lang w:val="en-US" w:eastAsia="zh-CN"/>
        </w:rPr>
        <w:t>infeksi</w:t>
      </w:r>
      <w:proofErr w:type="spellEnd"/>
      <w:r>
        <w:rPr>
          <w:lang w:val="en-US" w:eastAsia="zh-CN"/>
        </w:rPr>
        <w:t xml:space="preserve"> </w:t>
      </w:r>
      <w:proofErr w:type="spellStart"/>
      <w:r>
        <w:rPr>
          <w:lang w:val="en-US" w:eastAsia="zh-CN"/>
        </w:rPr>
        <w:t>berulang</w:t>
      </w:r>
      <w:proofErr w:type="spellEnd"/>
      <w:r>
        <w:rPr>
          <w:lang w:val="en-US" w:eastAsia="zh-CN"/>
        </w:rPr>
        <w:t xml:space="preserve">, </w:t>
      </w:r>
      <w:r>
        <w:rPr>
          <w:i/>
          <w:iCs/>
          <w:lang w:val="en-US" w:eastAsia="zh-CN"/>
        </w:rPr>
        <w:t>sleep apnea</w:t>
      </w:r>
      <w:r>
        <w:rPr>
          <w:lang w:val="en-US" w:eastAsia="zh-CN"/>
        </w:rPr>
        <w:t xml:space="preserve">, dan </w:t>
      </w:r>
      <w:proofErr w:type="spellStart"/>
      <w:r>
        <w:rPr>
          <w:lang w:val="en-US" w:eastAsia="zh-CN"/>
        </w:rPr>
        <w:t>gangguan</w:t>
      </w:r>
      <w:proofErr w:type="spellEnd"/>
      <w:r>
        <w:rPr>
          <w:lang w:val="en-US" w:eastAsia="zh-CN"/>
        </w:rPr>
        <w:t xml:space="preserve"> </w:t>
      </w:r>
      <w:proofErr w:type="spellStart"/>
      <w:r>
        <w:rPr>
          <w:lang w:val="en-US" w:eastAsia="zh-CN"/>
        </w:rPr>
        <w:t>pernapasan</w:t>
      </w:r>
      <w:proofErr w:type="spellEnd"/>
      <w:r>
        <w:rPr>
          <w:lang w:val="en-US" w:eastAsia="zh-CN"/>
        </w:rPr>
        <w:t xml:space="preserve"> </w:t>
      </w:r>
      <w:proofErr w:type="spellStart"/>
      <w:r>
        <w:rPr>
          <w:lang w:val="en-US" w:eastAsia="zh-CN"/>
        </w:rPr>
        <w:t>terkait</w:t>
      </w:r>
      <w:proofErr w:type="spellEnd"/>
      <w:r>
        <w:rPr>
          <w:lang w:val="en-US" w:eastAsia="zh-CN"/>
        </w:rPr>
        <w:t xml:space="preserve"> </w:t>
      </w:r>
      <w:proofErr w:type="spellStart"/>
      <w:r>
        <w:rPr>
          <w:lang w:val="en-US" w:eastAsia="zh-CN"/>
        </w:rPr>
        <w:t>tidur</w:t>
      </w:r>
      <w:proofErr w:type="spellEnd"/>
      <w:r>
        <w:rPr>
          <w:lang w:val="en-US" w:eastAsia="zh-CN"/>
        </w:rPr>
        <w:t xml:space="preserve"> obstruktif.</w:t>
      </w:r>
      <w:r>
        <w:rPr>
          <w:lang w:val="en-US"/>
        </w:rPr>
        <w:fldChar w:fldCharType="begin" w:fldLock="1"/>
      </w:r>
      <w:r>
        <w:rPr>
          <w:lang w:val="en-US" w:eastAsia="zh-CN"/>
        </w:rPr>
        <w:instrText>ADDIN CSL_CITATION {"citationItems":[{"id":"ITEM-1","itemData":{"DOI":"10.53350/pjmhs20221611358","abstract":"Introduction: Tonsillectomy is a painful surgical procedure accompanied by moderate to severe pain several days after surgery. Despite the often severe pain after tonsillectomy, under-treatment of pain has been consistently reported. The cause of this under-treatment is inadequate education of health care professionals regarding pain management. Objectives: The aim of this study was to assess perioperative pain treatment given to tonsillectomy patients in otorhinolaryngology departments of tertiary care Hospitals using Procedure specific post-operative pain management (PROSPECT) guidelines for tonsillectomy. Methodology: It was an observational study with prospective data inclusion. A questionnaire was designed and filled by investigators on three different occasions (pre-operative, intra-operative and post-operative). Questionaire was comprised of Patient’s demographic details, surgical indication, surgical technique used, post-operative complications and details of analgesics used during pre-operative, intra-operative and post-operative settings. Results: NSAIDs (Ibuprofen, ketorolac, Flurbiprofen) were predominantly used class for perioperative analgesia alone or in combination with each other among tonsillectomy patients. Dexamethasone injection was</w:instrText>
      </w:r>
      <w:r>
        <w:rPr>
          <w:lang w:val="en-US"/>
        </w:rPr>
        <w:instrText xml:space="preserve"> given intra-operatively to 97% of the patient regardless of age. Nelbuphin an opioid analgesic was used only in 7% of the patients intra-operatively. Conclusion: Current study indicates that perioperative pain management for tonsillectomy in two tertiary care hospitals of Punjab was in conformity with PROSPECT guidelines for tonsillectomy patients. Patients were given standard pain treatment. However, study needs a further evaluation with larger data from different hospitals. Keywords: PROSPECT, Analgesic, Tonsillectomy, NSAIDS, Opioids","author":[{"dropping-particle":"","family":"Nazish","given":"Gul E","non-dropping-particle":"","parse-names":false,"suffix":""},{"dropping-particle":"","family":"Afridi","given":"Arshadullah","non-dropping-particle":"","parse-names":false,"suffix":""},{"dropping-particle":"","family":"Inam","given":"Asma","non-dropping-particle":"","parse-names":false,"suffix":""},{"dropping-particle":"","family":"Sanawar","given":"Maniha","non-dropping-particle":"","parse-names":false,"suffix":""},{"dropping-particle":"","family":"Akhtar","given":"Mahreen","non-dropping-particle":"","parse-names":false,"suffix":""},{"dropping-particle":"","family":"Arshad","given":"Waleed","non-dropping-particle":"","parse-names":false,"suffix":""}],"container-title":"Pakistan Journal of Medical and Health Sciences","id":"ITEM-1","issue":"11","issued":{"date-parts":[["2022"]]},"page":"358-360","title":"Evaluation of Perioperative Pain Treatment of Tonsillectomy Patients Using Prospect Recommendations in Tertiary Hospitals","type":"article-journal","volume":"16"},"uris":["http://www.mendeley.com/documents/?uuid=2daf29d6-2688-48a0-b032-5240facb393c"]}],"mendeley":{"formattedCitation":"&lt;sup&gt;2&lt;/sup&gt;","plainTextFormattedCitation":"2","previouslyFormattedCitation":"&lt;sup&gt;2&lt;/sup&gt;"},"properties":{"noteIndex":0},"schema":"https://github.com/citation-style-language/schema/raw/master/csl-citation.json"}</w:instrText>
      </w:r>
      <w:r>
        <w:rPr>
          <w:lang w:val="en-US"/>
        </w:rPr>
        <w:fldChar w:fldCharType="separate"/>
      </w:r>
      <w:r>
        <w:rPr>
          <w:noProof/>
          <w:vertAlign w:val="superscript"/>
          <w:lang w:val="en-US"/>
        </w:rPr>
        <w:t>2</w:t>
      </w:r>
      <w:r>
        <w:rPr>
          <w:lang w:val="en-US"/>
        </w:rPr>
        <w:fldChar w:fldCharType="end"/>
      </w:r>
      <w:r>
        <w:rPr>
          <w:lang w:val="id-ID"/>
        </w:rPr>
        <w:t xml:space="preserve"> </w:t>
      </w:r>
      <w:r>
        <w:rPr>
          <w:color w:val="000000"/>
          <w:lang w:val="id-ID"/>
        </w:rPr>
        <w:t>K</w:t>
      </w:r>
      <w:proofErr w:type="spellStart"/>
      <w:r>
        <w:rPr>
          <w:color w:val="000000"/>
          <w:lang w:val="en-US"/>
        </w:rPr>
        <w:t>elemahan</w:t>
      </w:r>
      <w:proofErr w:type="spellEnd"/>
      <w:r>
        <w:rPr>
          <w:color w:val="000000"/>
          <w:lang w:val="en-US"/>
        </w:rPr>
        <w:t xml:space="preserve"> </w:t>
      </w:r>
      <w:proofErr w:type="spellStart"/>
      <w:r>
        <w:rPr>
          <w:color w:val="000000"/>
          <w:lang w:val="en-US"/>
        </w:rPr>
        <w:t>utama</w:t>
      </w:r>
      <w:proofErr w:type="spellEnd"/>
      <w:r>
        <w:rPr>
          <w:color w:val="000000"/>
          <w:lang w:val="en-US"/>
        </w:rPr>
        <w:t xml:space="preserve"> </w:t>
      </w:r>
      <w:r>
        <w:rPr>
          <w:color w:val="000000"/>
          <w:lang w:val="id-ID"/>
        </w:rPr>
        <w:t xml:space="preserve">tonsilektomi </w:t>
      </w:r>
      <w:proofErr w:type="spellStart"/>
      <w:r>
        <w:rPr>
          <w:color w:val="000000"/>
          <w:lang w:val="en-US"/>
        </w:rPr>
        <w:t>adalah</w:t>
      </w:r>
      <w:proofErr w:type="spellEnd"/>
      <w:r>
        <w:rPr>
          <w:color w:val="000000"/>
          <w:lang w:val="en-US"/>
        </w:rPr>
        <w:t xml:space="preserve"> </w:t>
      </w:r>
      <w:r>
        <w:rPr>
          <w:color w:val="000000"/>
          <w:lang w:val="id-ID"/>
        </w:rPr>
        <w:t xml:space="preserve">terjadinya </w:t>
      </w:r>
      <w:proofErr w:type="spellStart"/>
      <w:r>
        <w:rPr>
          <w:color w:val="000000"/>
          <w:lang w:val="en-US"/>
        </w:rPr>
        <w:t>nyeri</w:t>
      </w:r>
      <w:proofErr w:type="spellEnd"/>
      <w:r>
        <w:rPr>
          <w:color w:val="000000"/>
          <w:lang w:val="en-US"/>
        </w:rPr>
        <w:t xml:space="preserve"> </w:t>
      </w:r>
      <w:proofErr w:type="spellStart"/>
      <w:r>
        <w:rPr>
          <w:color w:val="000000"/>
          <w:lang w:val="en-US"/>
        </w:rPr>
        <w:t>pascabedah</w:t>
      </w:r>
      <w:proofErr w:type="spellEnd"/>
      <w:r>
        <w:rPr>
          <w:color w:val="000000"/>
          <w:lang w:val="en-US"/>
        </w:rPr>
        <w:t xml:space="preserve"> yang signifikan.</w:t>
      </w:r>
      <w:r>
        <w:rPr>
          <w:color w:val="000000"/>
          <w:lang w:val="en-US"/>
        </w:rPr>
        <w:fldChar w:fldCharType="begin" w:fldLock="1"/>
      </w:r>
      <w:r>
        <w:rPr>
          <w:color w:val="000000"/>
          <w:lang w:val="en-US"/>
        </w:rPr>
        <w:instrText>ADDIN CSL_CITATION {"citationItems":[{"id":"ITEM-1","itemData":{"DOI":"10.47210/bjohns.2020.v28i3.318","ISSN":"2395-2393","abstract":"Introduction Tonsillectomy is one of the most commonly performed surgical procedures worldwide, with the major drawback of significant post operative pain.There is no consensus regarding topical application or local infiltration of anesthetics post operatively to reduce pain. The present study was performed to evaluate the effect of bupivacaine infiltration in the tonsillar fossae after tonsillectomy. Materials and Methods A double-blinded clinical trial was performed on 75 patients undergoing tonsillectomy between January 2019 and January 2020. All patients underwent tonsillectomy under general anesthesia and were then randomly divided into 3 groups of 25 patients each. For Group I, a swab soaked in normal saline was applied to the tonsillar fossae for 5 minutes just before extubation. In Group II, a swab soaked in 5 ml of 0.5% bupivacaine was placed for 5 minutes, while in Group III, 5ml of 0.5% bupivacaine was infiltrated in the tonsillar fossae. The intensity of pain for each group was measured in the immediate post op period, at6 hours, 24 hours and 1 week by Wong Baker Faces Pain Rating Scale. Results There was a significant difference in the mean level of pain between groups I and III in the immediate post op period, at 6 hours and 24 hours. Although the average pain scores of group III were better than those of group II, the results were significant only in the 6 hour post op period. Conclusion To reduce post-tonsillectomy pain,0.5% bupivacaine can be infiltrated into the tonsillar fossa.","author":[{"dropping-particle":"","family":"Rakesh","given":"B.S","non-dropping-particle":"","parse-names":false,"suffix":""},{"dropping-particle":"","family":"Bharathi","given":"M.B","non-dropping-particle":"","parse-names":false,"suffix":""},{"dropping-particle":"","family":"Thanzeemunisa","given":"U","non-dropping-particle":"","parse-names":false,"suffix":""},{"dropping-particle":"De","family":"Kumar","given":"Shankar","non-dropping-particle":"","parse-names":false,"suffix":""},{"dropping-particle":"","family":"Aggarwal","given":"Nitish","non-dropping-particle":"","parse-names":false,"suffix":""}],"container-title":"Bengal Journal of Otolaryngology and Head Neck Surgery","id":"ITEM-1","issue":"3","issued":{"date-parts":[["2021"]]},"page":"228-233","title":"Local Bupivacaine Infiltration to Reduce Pain after Tonsillectomy: A Low Cost Approach","type":"article-journal","volume":"28"},"uris":["http://www.mendeley.com/documents/?uuid=029e0584-67db-4bc4-a8eb-a640af49ea35"]},{"id":"ITEM-2","itemData":{"DOI":"10.1213/ANE.0000000000003668","ISBN":"0000000000","ISSN":"15267598","PMID":"30252709","abstract":"Balanced general anesthesia, the most common management strategy used in anesthesia care, entails the administration of different drugs together to create the anesthetic state. Anesthesiologists developed this approach to avoid sole reliance on ether for general anesthesia maintenance. Balanced general anesthesia uses less of each drug than if the drug were administered alone, thereby increasing the likelihood of its desired effects and reducing the likelihood of its side effects. To manage nociception intraoperatively and pain postoperatively, the current practice of balanced general anesthesia relies almost exclusively on opioids. While opioids are the most effective antinociceptive agents, they have undesirable side effects. Moreover, overreliance on opioids has contributed to the opioid epidemic in the United States. Spurred by concern of opioid overuse, balanced general anesthesia strategies are now using more agents to create the anesthetic state. Under these approaches, called \"multimodal general anesthesia,\" the additional drugs may include agents with specific central nervous system targets such as dexmedetomidine and ones with less specific targets, such as magnesium. It is postulated that use of more agents at smaller doses further maximizes desired effects while minimizing side effects. Although this approach appears to maximize the benefit-to-side effect ratio, no rational strategy has been provided for choosing the drug combinations. Nociception induced by surgery is the primary reason for placing a patient in a state of general anesthesia. Hence, any rational strategy should focus on nociception control intraoperatively and pain control postoperatively. In this Special Article, we review the anatomy and physiology of the nociceptive and arousal circuits, and the mechanisms through which commonly used anesthetics and anesthetic adjuncts act in these systems. We propose a rational strategy for multimodal general anesthesia predicated on choosing a combination of agents that act at different targets in the nociceptive system to control nociception intraoperatively and pain postoperatively. Because these agents also decrease arousal, the doses of hypnotics and/or inhaled ethers needed to control unconsciousness are reduced. Effective use of this strategy requires simultaneous monitoring of antinociception and level of unconsciousness. We illustrate the application of this strategy by summarizing anesthetic management for 4 representative surg…","author":[{"dropping-particle":"","family":"Brown","given":"Emery N.","non-dropping-particle":"","parse-names":false,"suffix":""},{"dropping-particle":"","family":"Pavone","given":"Kara J.","non-dropping-particle":"","parse-names":false,"suffix":""},{"dropping-particle":"","family":"Naranjo","given":"Marusa","non-dropping-particle":"","parse-names":false,"suffix":""}],"container-title":"Anesthesia and Analgesia","id":"ITEM-2","issue":"5","issued":{"date-parts":[["2018"]]},"page":"1246-1258","title":"Multimodal general anesthesia: Theory and practice","type":"article-journal","volume":"127"},"uris":["http://www.mendeley.com/documents/?uuid=70489b58-8a8a-497e-9d86-279c30de6214"]}],"mendeley":{"formattedCitation":"&lt;sup&gt;3,4&lt;/sup&gt;","plainTextFormattedCitation":"3,4","previouslyFormattedCitation":"&lt;sup&gt;3,4&lt;/sup&gt;"},"properties":{"noteIndex":0},"schema":"https://github.com/citation-style-language/schema/raw/master/csl-citation.json"}</w:instrText>
      </w:r>
      <w:r>
        <w:rPr>
          <w:color w:val="000000"/>
          <w:lang w:val="en-US"/>
        </w:rPr>
        <w:fldChar w:fldCharType="separate"/>
      </w:r>
      <w:r>
        <w:rPr>
          <w:noProof/>
          <w:color w:val="000000"/>
          <w:vertAlign w:val="superscript"/>
          <w:lang w:val="en-US"/>
        </w:rPr>
        <w:t>3,4</w:t>
      </w:r>
      <w:r>
        <w:rPr>
          <w:color w:val="000000"/>
          <w:lang w:val="en-US"/>
        </w:rPr>
        <w:fldChar w:fldCharType="end"/>
      </w:r>
      <w:r>
        <w:rPr>
          <w:color w:val="000000"/>
          <w:lang w:val="id-ID"/>
        </w:rPr>
        <w:t xml:space="preserve"> </w:t>
      </w:r>
      <w:r>
        <w:t xml:space="preserve">Tonsilektomi </w:t>
      </w:r>
      <w:r>
        <w:rPr>
          <w:lang w:val="id-ID"/>
        </w:rPr>
        <w:t>juga menyebabkan</w:t>
      </w:r>
      <w:r>
        <w:t xml:space="preserve"> perdarahan intraoperatif</w:t>
      </w:r>
      <w:r>
        <w:rPr>
          <w:lang w:val="id-ID"/>
        </w:rPr>
        <w:t xml:space="preserve"> dan</w:t>
      </w:r>
      <w:r>
        <w:t xml:space="preserve"> pasien sering mengalami mual, muntah, dan ketidaknyamanan.</w:t>
      </w:r>
      <w:r>
        <w:fldChar w:fldCharType="begin" w:fldLock="1"/>
      </w:r>
      <w:r>
        <w:instrText>ADDIN CSL_CITATION {"citationItems":[{"id":"ITEM-1","itemData":{"DOI":"10.1016/j.amjoto.2019.02.007","ISSN":"1532818X","PMID":"30803808","abstract":"Importance: Pediatric tonsillectomy is a common procedure now being performed most often for patients with obstructive sleep apnea, which has been associated with increased sensitivity to the respiratory side effects of opioid medications. This study investigates a strategy to decrease the use of opiate medications in a particularly vulnerable population. Objective: Describe an interdisciplinary approach between Otolaryngologists and Anesthesiologists to decrease opiate use in tonsillectomy patients. Demonstrate safety of this protocol. Evaluate the effect of the protocol on intraoperative need for opiate medications and inhaled anesthetic use. Perform cost analysis of the protocol. Design: Retrospective case-control study with cost analysis. Setting: Tertiary Care Hospital. Participants: Pediatric patients undergoing tonsillectomy at a tertiary care hospital. Interventions: Preoperative and intraoperative dexmedetomidine with local bupivacaine injection into the tonsillar fossa. Measures: Intraoperative need for sevoflurane, opiate, and propofol. Post-operative pain scores, and utilization of post-operative opiate, acetaminophen, and ibuprofen pain medications. Post-operative adverse events. Cost analysis of protocol. Results: This protocol led to a decrease in intraoperative opiate use by 49.6%, a decrease in intraoperative sevofluorane use by 18%, and a lower reported maximum post-operative pain score without any increase in adverse events. The protocol added a small increase in medication cost of $4.07 to each procedure. Conclusion: The use of dexmedetomidine and local anesthetic in pediatric tonsillectomy is a safe and effective protocol that allows for the reduction of opiate use and improved post-operative pain control. Key points: Question: Can the combination of dexmedetomidine and infiltration of local anesthetic reduce overall opioid use for peediatric patients undergoing tonsillectomy? Findings: In this case-control study, use of dexmedetomidine and local anesthetic injected into the tonsillar fossa led to a decrease in intraoperative opiate use by 49.6%, a decrease in intraoperative sevofluorane use by 18%, and a lower reported maximum pain score without an increase in adverse events. Meaning: Use of dexmedetomidine and local anesthetic as anesthetic adjuncts may help reduce need for intraoperative opiates and decrease the use of volatile anesthetic agents in pediatric tonsillectomy patients, which are undesirable medications in the pediatr…","author":[{"dropping-particle":"","family":"DeHart","given":"Austin N.","non-dropping-particle":"","parse-names":false,"suffix":""},{"dropping-particle":"","family":"Potter","given":"Jessica","non-dropping-particle":"","parse-names":false,"suffix":""},{"dropping-particle":"","family":"Anderson","given":"Justin","non-dropping-particle":"","parse-names":false,"suffix":""},{"dropping-particle":"","family":"Russo-Menna","given":"Iolanda","non-dropping-particle":"","parse-names":false,"suffix":""},{"dropping-particle":"","family":"Lee","given":"Jong Hyung","non-dropping-particle":"","parse-names":false,"suffix":""},{"dropping-particle":"","family":"Chapman","given":"Derek A.","non-dropping-particle":"","parse-names":false,"suffix":""},{"dropping-particle":"","family":"Dodson","given":"Kelley M.","non-dropping-particle":"","parse-names":false,"suffix":""}],"container-title":"American Journal of Otolaryngology - Head and Neck Medicine and Surgery","id":"ITEM-1","issue":"3","issued":{"date-parts":[["2019"]]},"page":"382-388","publisher":"Elsevier","title":"Perioperative interdisciplinary approach for reduction of opioid use in pediatric tonsillectomy: Protocol using dexmedetomidine and bupivicaine as adjunct agents","type":"article-journal","volume":"40"},"uris":["http://www.mendeley.com/documents/?uuid=9e708259-c1e5-4756-818b-a286316b4839"]}],"mendeley":{"formattedCitation":"&lt;sup&gt;5&lt;/sup&gt;","plainTextFormattedCitation":"5","previouslyFormattedCitation":"&lt;sup&gt;5&lt;/sup&gt;"},"properties":{"noteIndex":0},"schema":"https://github.com/citation-style-language/schema/raw/master/csl-citation.json"}</w:instrText>
      </w:r>
      <w:r>
        <w:fldChar w:fldCharType="separate"/>
      </w:r>
      <w:r>
        <w:rPr>
          <w:noProof/>
          <w:vertAlign w:val="superscript"/>
        </w:rPr>
        <w:t>5</w:t>
      </w:r>
      <w:r>
        <w:fldChar w:fldCharType="end"/>
      </w:r>
      <w:r>
        <w:rPr>
          <w:color w:val="000000"/>
          <w:lang w:val="id-ID"/>
        </w:rPr>
        <w:t xml:space="preserve"> </w:t>
      </w:r>
    </w:p>
    <w:p w14:paraId="6434C4D7" w14:textId="77777777" w:rsidR="003B79BC" w:rsidRDefault="00000000">
      <w:pPr>
        <w:pStyle w:val="Bibliography1"/>
        <w:tabs>
          <w:tab w:val="left" w:pos="0"/>
        </w:tabs>
        <w:spacing w:line="360" w:lineRule="auto"/>
        <w:ind w:firstLine="567"/>
        <w:jc w:val="both"/>
        <w:rPr>
          <w:color w:val="000000"/>
          <w:lang w:val="id-ID"/>
        </w:rPr>
      </w:pPr>
      <w:r>
        <w:rPr>
          <w:color w:val="000000"/>
          <w:lang w:val="id-ID"/>
        </w:rPr>
        <w:t>Nyeri pascatonsilektomi dapat bertahan sampai 2 minggu.</w:t>
      </w:r>
      <w:r>
        <w:rPr>
          <w:color w:val="000000"/>
          <w:lang w:val="en-US"/>
        </w:rPr>
        <w:fldChar w:fldCharType="begin" w:fldLock="1"/>
      </w:r>
      <w:r w:rsidRPr="00F426C1">
        <w:rPr>
          <w:color w:val="000000"/>
          <w:lang w:val="pt-BR"/>
        </w:rPr>
        <w:instrText>ADDIN CSL_CITATION {"citationItems":[{"id":"ITEM-1","itemData":{"DOI":"10.5005/jp-journals-10003-1409","ISSN":"0975-444X","author":[{"dropping-particle":"","family":"Thomas","given":"James","non-dropping-particle":"","parse-names":false,"suffix":""},{"dropping-particle":"","family":"Bhatnagar","given":"Aastha","non-dropping-particle":"","parse-names":false,"suffix":""},{"dropping-particle":"V","family":"Satav","given":"Anuja","non-dropping-particle":"","parse-names":false,"suffix":""},{"dropping-particle":"","family":"Kancherla","given":"Srinithya","non-dropping-particle":"","parse-names":false,"suffix":""},{"dropping-particle":"","family":"Prasad","given":"Shubhangi","non-dropping-particle":"","parse-names":false,"suffix":""},{"dropping-particle":"","family":"Pareek","given":"Rajesh","non-dropping-particle":"","parse-names":false,"suffix":""},{"dropping-particle":"","family":"Kakollu","given":"Lakshmisravya","non-dropping-particle":"","parse-names":false,"suffix":""},{"dropping-particle":"","family":"Pawar","given":"Rishikesh","non-dropping-particle":"","parse-names":false,"suffix":""}],"container-title":"An International Journal of Otorhinolaryngology Clinics","id":"ITEM-1","issue":"3","issued":{"date-parts":[["2023"]]},"page":"79-81","title":"To Study the Effect of Pre-incisional Infiltration of Ropivacaine for Post-tonsillectomy Pain Relief","type":"article-journal","volume":"14"},"uris":["http://www.mendeley.com/documents/?uuid=71dc88c3-6674-4588-a99b-167792b0d5cd"]}],"mendeley":{"formattedCitation":"&lt;sup&gt;6&lt;/sup&gt;","plainTextFormattedCitation":"6","previouslyFormattedCitation":"&lt;sup&gt;6&lt;/sup&gt;"},"properties":{"noteIndex":0},"schema":"https://github.com/citation-style-language/schema/raw/master/csl-citation.json"}</w:instrText>
      </w:r>
      <w:r>
        <w:rPr>
          <w:color w:val="000000"/>
          <w:lang w:val="en-US"/>
        </w:rPr>
        <w:fldChar w:fldCharType="separate"/>
      </w:r>
      <w:r w:rsidRPr="00F426C1">
        <w:rPr>
          <w:noProof/>
          <w:color w:val="000000"/>
          <w:vertAlign w:val="superscript"/>
          <w:lang w:val="pt-BR"/>
        </w:rPr>
        <w:t>6</w:t>
      </w:r>
      <w:r>
        <w:rPr>
          <w:color w:val="000000"/>
          <w:lang w:val="en-US"/>
        </w:rPr>
        <w:fldChar w:fldCharType="end"/>
      </w:r>
      <w:r>
        <w:rPr>
          <w:rFonts w:eastAsiaTheme="minorEastAsia"/>
          <w:color w:val="000000"/>
          <w:lang w:val="id-ID" w:eastAsia="zh-CN"/>
        </w:rPr>
        <w:t xml:space="preserve"> </w:t>
      </w:r>
      <w:r>
        <w:rPr>
          <w:lang w:val="id-ID"/>
        </w:rPr>
        <w:t>N</w:t>
      </w:r>
      <w:r>
        <w:t xml:space="preserve">yeri pascatonsilektomi mempengaruhi konsumsi analgesik, </w:t>
      </w:r>
      <w:r>
        <w:rPr>
          <w:lang w:val="id-ID"/>
        </w:rPr>
        <w:t>lama rawat inap</w:t>
      </w:r>
      <w:r>
        <w:t xml:space="preserve"> di rumah sakit, asupan oral dan </w:t>
      </w:r>
      <w:r>
        <w:rPr>
          <w:lang w:val="id-ID"/>
        </w:rPr>
        <w:t xml:space="preserve">lama </w:t>
      </w:r>
      <w:r>
        <w:t>kembali ke aktivitas biasa.</w:t>
      </w:r>
      <w:r>
        <w:fldChar w:fldCharType="begin" w:fldLock="1"/>
      </w:r>
      <w:r>
        <w:instrText>ADDIN CSL_CITATION {"citationItems":[{"id":"ITEM-1","itemData":{"DOI":"10.3126/ajms.v11i6.30639","ISSN":"2467-9100","abstract":"Background: Tonsillectomy is one of the most common surgical procedures in population and post tonsillectomy pain affects analgesic consumption, hospital stay, oral intake and return to regular activity.\r Aims and Objectives: The purpose of the study was to compare peritonsillar infiltration and intravenous administration of dexmedetomidine for perioperative analgesia in tonsillectomy.\r Materials and Methods: This was a placebo-controlled study to compare peritonsillar infiltration and intravenous administration of dexmedetomidine in patients undergoing tonsillectomy. Ninety patients were included in this study on the basis of a predefined inclusion and exclusion criteria. These patients were divided in 3 groups on the basis of whether they received Peritonsillar dexmedetomidine, intravenous dexmedetomidine or intravenous normal saline. The groups were compared for post-operative pain, time to first request of rescue analgesia (duration of analgesia), post-operative sedation, analgesic requirement during first 24 hours and side effects. SSPS 21.0 was used for statistical analysis and p value less than 0.05 was taken as statistically significant.\r Results: Out of total 90 patients included in this study there was a female preponderance with a M: F ratio of 1:1.5. The mean age and ASA grades and mean duration of surgery of patients in all 3 groups were found to be comparable with no statistically significant difference in any of the groups (P&gt;0.05). Preoperative mean systolic and diastolic blood pressures as well as mean arterial pressure and SPO2 was found to be comparable in all 3 groups. However intraoperative blood pressures (systolic, diastolic as well as mean arterial pressures) and SPO2 showed significant difference amongst the groups (P&lt;0.05). Time to first request of rescue analgesia was found to be more in group - Dpt than group – Div and group – Pb which was highly statistically significant (p &lt;0.0001).There was statistical significant difference in number of diclofenac injections consumed during first 24 hours between group – Dpt &amp; group – Div and highly significant difference between group – Dpt &amp; g</w:instrText>
      </w:r>
      <w:r>
        <w:rPr>
          <w:lang w:eastAsia="zh-CN"/>
        </w:rPr>
        <w:instrText>roup – Pb, group – Div &amp; group – Pb.\r Conclusion: Peritonsillar infiltration of dexmedetomidine is better alternative to intravenous dexmedetomidine in tonsillar surgeries.","author":[{"dropping-particle":"","family":"Lahane","given":"Priya Vishwanath","non-dropping-particle":"","parse-names":false,"suffix":""},{"dropping-particle":"","family":"Nandanvankar","given":"Niteen. Khanderao","non-dropping-particle":"","parse-names":false,"suffix":""},{"dropping-particle":"","family":"Pradeep","given":"Meenakshi Sumadevi","non-dropping-particle":"","parse-names":false,"suffix":""},{"dropping-particle":"","family":"Memon","given":"Nazima Yusuf","non-dropping-particle":"","parse-names":false,"suffix":""},{"dropping-particle":"","family":"Yennawar","given":"Shridhar Devidas","non-dropping-particle":"","parse-names":false,"suffix":""}],"container-title":"Asian Journal of Medical Sciences","id":"ITEM-1","issue":"6","issued":{"date-parts":[["2020"]]},"page":"89-95","title":"A Comparative study of intraoperative peritonsillar infiltration versus intravenous dexemedetomidine for perioperative analgesia in tonsillectomy","type":"article-journal","volume":"11"},"uris":["http://www.mendeley.com/documents/?uuid=91a96987-f7a4-4639-986d-88923eca4af5"]}],"mendeley":{"formattedCitation":"&lt;sup&gt;7&lt;/sup&gt;","plainTextFormattedCitation":"7","previouslyFormattedCitation":"&lt;sup&gt;7&lt;/sup&gt;"},"properties":{"noteIndex":0},"schema":"https://github.com/citation-style-language/schema/raw/master/csl-citation.json"}</w:instrText>
      </w:r>
      <w:r>
        <w:fldChar w:fldCharType="separate"/>
      </w:r>
      <w:r>
        <w:rPr>
          <w:noProof/>
          <w:vertAlign w:val="superscript"/>
          <w:lang w:eastAsia="zh-CN"/>
        </w:rPr>
        <w:t>7</w:t>
      </w:r>
      <w:r>
        <w:fldChar w:fldCharType="end"/>
      </w:r>
      <w:r>
        <w:rPr>
          <w:color w:val="000000"/>
          <w:lang w:val="id-ID" w:eastAsia="zh-CN"/>
        </w:rPr>
        <w:t xml:space="preserve"> </w:t>
      </w:r>
      <w:proofErr w:type="spellStart"/>
      <w:r>
        <w:rPr>
          <w:color w:val="000000"/>
          <w:lang w:val="en-US" w:eastAsia="zh-CN"/>
        </w:rPr>
        <w:t>Pengurangan</w:t>
      </w:r>
      <w:proofErr w:type="spellEnd"/>
      <w:r>
        <w:rPr>
          <w:color w:val="000000"/>
          <w:lang w:val="en-US" w:eastAsia="zh-CN"/>
        </w:rPr>
        <w:t xml:space="preserve"> </w:t>
      </w:r>
      <w:proofErr w:type="spellStart"/>
      <w:r>
        <w:rPr>
          <w:color w:val="000000"/>
          <w:lang w:val="en-US" w:eastAsia="zh-CN"/>
        </w:rPr>
        <w:t>nyeri</w:t>
      </w:r>
      <w:proofErr w:type="spellEnd"/>
      <w:r>
        <w:rPr>
          <w:color w:val="000000"/>
          <w:lang w:val="en-US" w:eastAsia="zh-CN"/>
        </w:rPr>
        <w:t xml:space="preserve"> </w:t>
      </w:r>
      <w:proofErr w:type="spellStart"/>
      <w:r>
        <w:rPr>
          <w:color w:val="000000"/>
          <w:lang w:val="en-US" w:eastAsia="zh-CN"/>
        </w:rPr>
        <w:t>pascabedah</w:t>
      </w:r>
      <w:proofErr w:type="spellEnd"/>
      <w:r>
        <w:rPr>
          <w:color w:val="000000"/>
          <w:lang w:val="en-US" w:eastAsia="zh-CN"/>
        </w:rPr>
        <w:t xml:space="preserve"> </w:t>
      </w:r>
      <w:proofErr w:type="spellStart"/>
      <w:r>
        <w:rPr>
          <w:color w:val="000000"/>
          <w:lang w:val="en-US" w:eastAsia="zh-CN"/>
        </w:rPr>
        <w:t>memiliki</w:t>
      </w:r>
      <w:proofErr w:type="spellEnd"/>
      <w:r>
        <w:rPr>
          <w:color w:val="000000"/>
          <w:lang w:val="en-US" w:eastAsia="zh-CN"/>
        </w:rPr>
        <w:t xml:space="preserve"> </w:t>
      </w:r>
      <w:proofErr w:type="spellStart"/>
      <w:r>
        <w:rPr>
          <w:color w:val="000000"/>
          <w:lang w:val="en-US" w:eastAsia="zh-CN"/>
        </w:rPr>
        <w:t>banyak</w:t>
      </w:r>
      <w:proofErr w:type="spellEnd"/>
      <w:r>
        <w:rPr>
          <w:color w:val="000000"/>
          <w:lang w:val="en-US" w:eastAsia="zh-CN"/>
        </w:rPr>
        <w:t xml:space="preserve"> </w:t>
      </w:r>
      <w:proofErr w:type="spellStart"/>
      <w:r>
        <w:rPr>
          <w:color w:val="000000"/>
          <w:lang w:val="en-US" w:eastAsia="zh-CN"/>
        </w:rPr>
        <w:t>manfaat</w:t>
      </w:r>
      <w:proofErr w:type="spellEnd"/>
      <w:r>
        <w:rPr>
          <w:color w:val="000000"/>
          <w:lang w:val="en-US" w:eastAsia="zh-CN"/>
        </w:rPr>
        <w:t xml:space="preserve"> </w:t>
      </w:r>
      <w:proofErr w:type="spellStart"/>
      <w:r>
        <w:rPr>
          <w:color w:val="000000"/>
          <w:lang w:val="en-US" w:eastAsia="zh-CN"/>
        </w:rPr>
        <w:t>seperti</w:t>
      </w:r>
      <w:proofErr w:type="spellEnd"/>
      <w:r>
        <w:rPr>
          <w:color w:val="000000"/>
          <w:lang w:val="en-US" w:eastAsia="zh-CN"/>
        </w:rPr>
        <w:t xml:space="preserve"> masa </w:t>
      </w:r>
      <w:proofErr w:type="spellStart"/>
      <w:r>
        <w:rPr>
          <w:color w:val="000000"/>
          <w:lang w:val="en-US" w:eastAsia="zh-CN"/>
        </w:rPr>
        <w:t>pemulihan</w:t>
      </w:r>
      <w:proofErr w:type="spellEnd"/>
      <w:r>
        <w:rPr>
          <w:color w:val="000000"/>
          <w:lang w:val="en-US" w:eastAsia="zh-CN"/>
        </w:rPr>
        <w:t xml:space="preserve"> yang </w:t>
      </w:r>
      <w:proofErr w:type="spellStart"/>
      <w:r>
        <w:rPr>
          <w:color w:val="000000"/>
          <w:lang w:val="en-US" w:eastAsia="zh-CN"/>
        </w:rPr>
        <w:t>lebih</w:t>
      </w:r>
      <w:proofErr w:type="spellEnd"/>
      <w:r>
        <w:rPr>
          <w:color w:val="000000"/>
          <w:lang w:val="en-US" w:eastAsia="zh-CN"/>
        </w:rPr>
        <w:t xml:space="preserve"> </w:t>
      </w:r>
      <w:proofErr w:type="spellStart"/>
      <w:r>
        <w:rPr>
          <w:color w:val="000000"/>
          <w:lang w:val="en-US" w:eastAsia="zh-CN"/>
        </w:rPr>
        <w:t>singkat</w:t>
      </w:r>
      <w:proofErr w:type="spellEnd"/>
      <w:r>
        <w:rPr>
          <w:color w:val="000000"/>
          <w:lang w:val="en-US" w:eastAsia="zh-CN"/>
        </w:rPr>
        <w:t xml:space="preserve">, </w:t>
      </w:r>
      <w:proofErr w:type="spellStart"/>
      <w:r>
        <w:rPr>
          <w:color w:val="000000"/>
          <w:lang w:val="en-US" w:eastAsia="zh-CN"/>
        </w:rPr>
        <w:t>kembali</w:t>
      </w:r>
      <w:proofErr w:type="spellEnd"/>
      <w:r>
        <w:rPr>
          <w:color w:val="000000"/>
          <w:lang w:val="en-US" w:eastAsia="zh-CN"/>
        </w:rPr>
        <w:t xml:space="preserve"> ke </w:t>
      </w:r>
      <w:proofErr w:type="spellStart"/>
      <w:r>
        <w:rPr>
          <w:color w:val="000000"/>
          <w:lang w:val="en-US" w:eastAsia="zh-CN"/>
        </w:rPr>
        <w:t>pola</w:t>
      </w:r>
      <w:proofErr w:type="spellEnd"/>
      <w:r>
        <w:rPr>
          <w:color w:val="000000"/>
          <w:lang w:val="en-US" w:eastAsia="zh-CN"/>
        </w:rPr>
        <w:t xml:space="preserve"> </w:t>
      </w:r>
      <w:proofErr w:type="spellStart"/>
      <w:r>
        <w:rPr>
          <w:color w:val="000000"/>
          <w:lang w:val="en-US" w:eastAsia="zh-CN"/>
        </w:rPr>
        <w:t>makan</w:t>
      </w:r>
      <w:proofErr w:type="spellEnd"/>
      <w:r>
        <w:rPr>
          <w:color w:val="000000"/>
          <w:lang w:val="en-US" w:eastAsia="zh-CN"/>
        </w:rPr>
        <w:t xml:space="preserve"> dan </w:t>
      </w:r>
      <w:proofErr w:type="spellStart"/>
      <w:r>
        <w:rPr>
          <w:color w:val="000000"/>
          <w:lang w:val="en-US" w:eastAsia="zh-CN"/>
        </w:rPr>
        <w:t>aktivitas</w:t>
      </w:r>
      <w:proofErr w:type="spellEnd"/>
      <w:r>
        <w:rPr>
          <w:color w:val="000000"/>
          <w:lang w:val="en-US" w:eastAsia="zh-CN"/>
        </w:rPr>
        <w:t xml:space="preserve"> </w:t>
      </w:r>
      <w:proofErr w:type="spellStart"/>
      <w:r>
        <w:rPr>
          <w:color w:val="000000"/>
          <w:lang w:val="en-US" w:eastAsia="zh-CN"/>
        </w:rPr>
        <w:t>teratur</w:t>
      </w:r>
      <w:proofErr w:type="spellEnd"/>
      <w:r>
        <w:rPr>
          <w:color w:val="000000"/>
          <w:lang w:val="en-US" w:eastAsia="zh-CN"/>
        </w:rPr>
        <w:t xml:space="preserve"> yang </w:t>
      </w:r>
      <w:proofErr w:type="spellStart"/>
      <w:r>
        <w:rPr>
          <w:color w:val="000000"/>
          <w:lang w:val="en-US" w:eastAsia="zh-CN"/>
        </w:rPr>
        <w:t>lebih</w:t>
      </w:r>
      <w:proofErr w:type="spellEnd"/>
      <w:r>
        <w:rPr>
          <w:color w:val="000000"/>
          <w:lang w:val="en-US" w:eastAsia="zh-CN"/>
        </w:rPr>
        <w:t xml:space="preserve"> </w:t>
      </w:r>
      <w:proofErr w:type="spellStart"/>
      <w:r>
        <w:rPr>
          <w:color w:val="000000"/>
          <w:lang w:val="en-US" w:eastAsia="zh-CN"/>
        </w:rPr>
        <w:t>cepat</w:t>
      </w:r>
      <w:proofErr w:type="spellEnd"/>
      <w:r>
        <w:rPr>
          <w:color w:val="000000"/>
          <w:lang w:val="en-US" w:eastAsia="zh-CN"/>
        </w:rPr>
        <w:t xml:space="preserve">, </w:t>
      </w:r>
      <w:proofErr w:type="spellStart"/>
      <w:r>
        <w:rPr>
          <w:color w:val="000000"/>
          <w:lang w:val="en-US" w:eastAsia="zh-CN"/>
        </w:rPr>
        <w:t>peningkatan</w:t>
      </w:r>
      <w:proofErr w:type="spellEnd"/>
      <w:r>
        <w:rPr>
          <w:color w:val="000000"/>
          <w:lang w:val="en-US" w:eastAsia="zh-CN"/>
        </w:rPr>
        <w:t xml:space="preserve"> </w:t>
      </w:r>
      <w:proofErr w:type="spellStart"/>
      <w:r>
        <w:rPr>
          <w:color w:val="000000"/>
          <w:lang w:val="en-US" w:eastAsia="zh-CN"/>
        </w:rPr>
        <w:t>kondisi</w:t>
      </w:r>
      <w:proofErr w:type="spellEnd"/>
      <w:r>
        <w:rPr>
          <w:color w:val="000000"/>
          <w:lang w:val="en-US" w:eastAsia="zh-CN"/>
        </w:rPr>
        <w:t xml:space="preserve"> </w:t>
      </w:r>
      <w:proofErr w:type="spellStart"/>
      <w:r>
        <w:rPr>
          <w:color w:val="000000"/>
          <w:lang w:val="en-US" w:eastAsia="zh-CN"/>
        </w:rPr>
        <w:t>keseluruhan</w:t>
      </w:r>
      <w:proofErr w:type="spellEnd"/>
      <w:r>
        <w:rPr>
          <w:color w:val="000000"/>
          <w:lang w:val="en-US" w:eastAsia="zh-CN"/>
        </w:rPr>
        <w:t xml:space="preserve"> pasien dan</w:t>
      </w:r>
      <w:r>
        <w:rPr>
          <w:color w:val="000000"/>
          <w:lang w:val="id-ID" w:eastAsia="zh-CN"/>
        </w:rPr>
        <w:t xml:space="preserve"> menghemat biaya</w:t>
      </w:r>
      <w:r>
        <w:rPr>
          <w:color w:val="000000"/>
          <w:lang w:val="en-US" w:eastAsia="zh-CN"/>
        </w:rPr>
        <w:t>.</w:t>
      </w:r>
      <w:r>
        <w:rPr>
          <w:color w:val="000000"/>
          <w:lang w:val="en-US"/>
        </w:rPr>
        <w:fldChar w:fldCharType="begin" w:fldLock="1"/>
      </w:r>
      <w:r>
        <w:rPr>
          <w:color w:val="000000"/>
          <w:lang w:val="en-US" w:eastAsia="zh-CN"/>
        </w:rPr>
        <w:instrText>ADDIN CSL_CITATION {"citationItems":[{"id":"ITEM-1","itemData":{"DOI":"10.47210/bjohns.2020.v28i3.318","ISSN":"2395-2393","abstract":"Introduction Tonsillectomy is one of the most commonly performed surgical procedures worldwide, with the major drawback of significant post operative pain.There is no consensus regarding topical application or local infiltration of anesthetics post operatively to reduce pain. The present study was performed to evaluate the effect of bupivacaine infiltration in the tonsillar fossae after tonsillectomy. Materials and Methods A double-blinded clinical trial was performed on 75 patients undergoing tonsillectomy between January 2019 and January 2020. All patients underwent tonsillectomy under general anesthesia and were then randomly divided into 3 groups of 25 patients each. For Group I, a swab soaked in normal saline was applied to the tonsillar fossae for 5 minutes just before extubation. In Group II, a swab soaked in 5 ml of 0.5% bupivacaine was placed for 5 minutes, while in Group III, 5ml of 0.5% bupivacaine was infiltrated in the tonsillar fossae. The intensity of pain for each group was measured in the immediate post op period, at6 hours, 24 hours and 1 week by Wong Baker Faces Pain Rating Scale. Results There was a signific</w:instrText>
      </w:r>
      <w:r>
        <w:rPr>
          <w:color w:val="000000"/>
          <w:lang w:val="en-US"/>
        </w:rPr>
        <w:instrText>ant difference in the mean level of pain between groups I and III in the immediate post op period, at 6 hours and 24 hours. Although the average pain scores of group III were better than those of group II, the results were significant only in the 6 hour post op period. Conclusion To reduce post-tonsillectomy pain,0.5% bupivacaine can be infiltrated into the tonsillar fossa.","author":[{"dropping-particle":"","family":"Rakesh","given":"B.S","non-dropping-particle":"","parse-names":false,"suffix":""},{"dropping-particle":"","family":"Bharathi","given":"M.B","non-dropping-particle":"","parse-names":false,"suffix":""},{"dropping-particle":"","family":"Thanzeemunisa","given":"U","non-dropping-particle":"","parse-names":false,"suffix":""},{"dropping-particle":"De","family":"Kumar","given":"Shankar","non-dropping-particle":"","parse-names":false,"suffix":""},{"dropping-particle":"","family":"Aggarwal","given":"Nitish","non-dropping-particle":"","parse-names":false,"suffix":""}],"container-title":"Bengal Journal of Otolaryngology and Head Neck Surgery","id":"ITEM-1","issue":"3","issued":{"date-parts":[["2021"]]},"page":"228-233","title":"Local Bupivacaine Infiltration to Reduce Pain after Tonsillectomy: A Low Cost Approach","type":"article-journal","volume":"28"},"uris":["http://www.mendeley.com/documents/?uuid=029e0584-67db-4bc4-a8eb-a640af49ea35"]},{"id":"ITEM-2","itemData":{"DOI":"10.1213/ANE.0000000000003668","ISBN":"0000000000","ISSN":"15267598","PMID":"30252709","abstract":"Balanced general anesthesia, the most common management strategy used in anesthesia care, entails the administration of different drugs together to create the anesthetic state. Anesthesiologists developed this approach to avoid sole reliance on ether for general anesthesia maintenance. Balanced general anesthesia uses less of each drug than if the drug were administered alone, thereby increasing the likelihood of its desired effects and reducing the likelihood of its side effects. To manage nociception intraoperatively and pain postoperatively, the current practice of balanced general anesthesia relies almost exclusively on opioids. While opioids are the most effective antinociceptive agents, they have undesirable side effects. Moreover, overreliance on opioids has contributed to the opioid epidemic in the United States. Spurred by concern of opioid overuse, balanced general anesthesia strategies are now using more agents to create the anesthetic state. Under these approaches, called \"multimodal general anesthesia,\" the additional drugs may include agents with specific central nervous system targets such as dexmedetomidine and ones with less specific targets, such as magnesium. It is postulated that use of more agents at smaller doses further maximizes desired effects while minimizing side effects. Although this approach appears to maximize the benefit-to-side effect ratio, no rational strategy has been provided for choosing the drug combinations. Nociception induced by surgery is the primary reason for placing a patient in a state of general anesthesia. Hence, any rational strategy should focus on nociception control intraoperatively and pain control postoperatively. In this Special Article, we review the anatomy and physiology of the nociceptive and arousal circuits, and the mechanisms through which commonly used anesthetics and anesthetic adjuncts act in these systems. We propose a rational strategy for multimodal general anesthesia predicated on choosing a combination of agents that act at different targets in the nociceptive system to control nociception intraoperatively and pain postoperatively. Because these agents also decrease arousal, the doses of hypnotics and/or inhaled ethers needed to control unconsciousness are reduced. Effective use of this strategy requires simultaneous monitoring of antinociception and level of unconsciousness. We illustrate the application of this strategy by summarizing anesthetic management for 4 representative surg…","author":[{"dropping-particle":"","family":"Brown","given":"Emery N.","non-dropping-particle":"","parse-names":false,"suffix":""},{"dropping-particle":"","family":"Pavone","given":"Kara J.","non-dropping-particle":"","parse-names":false,"suffix":""},{"dropping-particle":"","family":"Naranjo","given":"Marusa","non-dropping-particle":"","parse-names":false,"suffix":""}],"container-title":"Anesthesia and Analgesia","id":"ITEM-2","issue":"5","issued":{"date-parts":[["2018"]]},"page":"1246-1258","title":"Multimodal general anesthesia: Theory and practice","type":"article-journal","volume":"127"},"uris":["http://www.mendeley.com/documents/?uuid=70489b58-8a8a-497e-9d86-279c30de6214"]}],"mendeley":{"formattedCitation":"&lt;sup&gt;3,4&lt;/sup&gt;","plainTextFormattedCitation":"3,4","previouslyFormattedCitation":"&lt;sup&gt;3,4&lt;/sup&gt;"},"properties":{"noteIndex":0},"schema":"https://github.com/citation-style-language/schema/raw/master/csl-citation.json"}</w:instrText>
      </w:r>
      <w:r>
        <w:rPr>
          <w:color w:val="000000"/>
          <w:lang w:val="en-US"/>
        </w:rPr>
        <w:fldChar w:fldCharType="separate"/>
      </w:r>
      <w:r>
        <w:rPr>
          <w:noProof/>
          <w:color w:val="000000"/>
          <w:vertAlign w:val="superscript"/>
          <w:lang w:val="en-US"/>
        </w:rPr>
        <w:t>3,4</w:t>
      </w:r>
      <w:r>
        <w:rPr>
          <w:color w:val="000000"/>
          <w:lang w:val="en-US"/>
        </w:rPr>
        <w:fldChar w:fldCharType="end"/>
      </w:r>
      <w:r>
        <w:rPr>
          <w:color w:val="000000"/>
          <w:lang w:val="id-ID"/>
        </w:rPr>
        <w:t xml:space="preserve"> </w:t>
      </w:r>
    </w:p>
    <w:p w14:paraId="5770468B" w14:textId="77777777" w:rsidR="003B79BC" w:rsidRDefault="00000000">
      <w:pPr>
        <w:pStyle w:val="Bibliography1"/>
        <w:tabs>
          <w:tab w:val="left" w:pos="0"/>
        </w:tabs>
        <w:spacing w:line="360" w:lineRule="auto"/>
        <w:ind w:firstLine="567"/>
        <w:jc w:val="both"/>
        <w:rPr>
          <w:color w:val="000000"/>
          <w:lang w:val="id-ID"/>
        </w:rPr>
      </w:pPr>
      <w:r>
        <w:rPr>
          <w:rFonts w:eastAsiaTheme="minorEastAsia"/>
          <w:lang w:val="id-ID"/>
        </w:rPr>
        <w:t xml:space="preserve">Nyeri pada pembedahan berkaitan dengan nyeri nosiseptif. </w:t>
      </w:r>
      <w:r w:rsidRPr="00374F09">
        <w:rPr>
          <w:rFonts w:eastAsiaTheme="minorEastAsia"/>
          <w:lang w:val="id-ID"/>
        </w:rPr>
        <w:t>Nosisepsi yang diinduksi oleh pembedahan, karena robeknya jaringan dan peradangan</w:t>
      </w:r>
      <w:r>
        <w:rPr>
          <w:rFonts w:eastAsiaTheme="minorEastAsia"/>
          <w:lang w:val="id-ID"/>
        </w:rPr>
        <w:t xml:space="preserve"> menjadi</w:t>
      </w:r>
      <w:r w:rsidRPr="00374F09">
        <w:rPr>
          <w:rFonts w:eastAsiaTheme="minorEastAsia"/>
          <w:lang w:val="id-ID"/>
        </w:rPr>
        <w:t xml:space="preserve"> alasan utama </w:t>
      </w:r>
      <w:r>
        <w:rPr>
          <w:rFonts w:eastAsiaTheme="minorEastAsia"/>
          <w:lang w:val="id-ID"/>
        </w:rPr>
        <w:t>pemberian anestesi.</w:t>
      </w:r>
      <w:r w:rsidRPr="00374F09">
        <w:rPr>
          <w:rFonts w:eastAsiaTheme="minorEastAsia"/>
          <w:lang w:val="id-ID"/>
        </w:rPr>
        <w:t xml:space="preserve"> </w:t>
      </w:r>
      <w:r>
        <w:rPr>
          <w:rFonts w:eastAsiaTheme="minorEastAsia"/>
          <w:lang w:val="en-US"/>
        </w:rPr>
        <w:t xml:space="preserve">Jika tidak </w:t>
      </w:r>
      <w:proofErr w:type="spellStart"/>
      <w:r>
        <w:rPr>
          <w:rFonts w:eastAsiaTheme="minorEastAsia"/>
          <w:lang w:val="en-US"/>
        </w:rPr>
        <w:t>dikontrol</w:t>
      </w:r>
      <w:proofErr w:type="spellEnd"/>
      <w:r>
        <w:rPr>
          <w:rFonts w:eastAsiaTheme="minorEastAsia"/>
          <w:lang w:val="en-US"/>
        </w:rPr>
        <w:t xml:space="preserve">, </w:t>
      </w:r>
      <w:proofErr w:type="spellStart"/>
      <w:r>
        <w:rPr>
          <w:rFonts w:eastAsiaTheme="minorEastAsia"/>
          <w:lang w:val="en-US"/>
        </w:rPr>
        <w:t>gangguan</w:t>
      </w:r>
      <w:proofErr w:type="spellEnd"/>
      <w:r>
        <w:rPr>
          <w:rFonts w:eastAsiaTheme="minorEastAsia"/>
          <w:lang w:val="en-US"/>
        </w:rPr>
        <w:t xml:space="preserve"> </w:t>
      </w:r>
      <w:proofErr w:type="spellStart"/>
      <w:r>
        <w:rPr>
          <w:rFonts w:eastAsiaTheme="minorEastAsia"/>
          <w:lang w:val="en-US"/>
        </w:rPr>
        <w:t>nosiseptif</w:t>
      </w:r>
      <w:proofErr w:type="spellEnd"/>
      <w:r>
        <w:rPr>
          <w:rFonts w:eastAsiaTheme="minorEastAsia"/>
          <w:lang w:val="en-US"/>
        </w:rPr>
        <w:t xml:space="preserve"> </w:t>
      </w:r>
      <w:proofErr w:type="spellStart"/>
      <w:r>
        <w:rPr>
          <w:rFonts w:eastAsiaTheme="minorEastAsia"/>
          <w:lang w:val="en-US"/>
        </w:rPr>
        <w:t>merupakan</w:t>
      </w:r>
      <w:proofErr w:type="spellEnd"/>
      <w:r>
        <w:rPr>
          <w:rFonts w:eastAsiaTheme="minorEastAsia"/>
          <w:lang w:val="en-US"/>
        </w:rPr>
        <w:t xml:space="preserve"> </w:t>
      </w:r>
      <w:proofErr w:type="spellStart"/>
      <w:r>
        <w:rPr>
          <w:rFonts w:eastAsiaTheme="minorEastAsia"/>
          <w:lang w:val="en-US"/>
        </w:rPr>
        <w:t>sumber</w:t>
      </w:r>
      <w:proofErr w:type="spellEnd"/>
      <w:r>
        <w:rPr>
          <w:rFonts w:eastAsiaTheme="minorEastAsia"/>
          <w:lang w:val="en-US"/>
        </w:rPr>
        <w:t xml:space="preserve"> </w:t>
      </w:r>
      <w:proofErr w:type="spellStart"/>
      <w:r>
        <w:rPr>
          <w:rFonts w:eastAsiaTheme="minorEastAsia"/>
          <w:lang w:val="en-US"/>
        </w:rPr>
        <w:t>utama</w:t>
      </w:r>
      <w:proofErr w:type="spellEnd"/>
      <w:r>
        <w:rPr>
          <w:rFonts w:eastAsiaTheme="minorEastAsia"/>
          <w:lang w:val="en-US"/>
        </w:rPr>
        <w:t xml:space="preserve"> </w:t>
      </w:r>
      <w:proofErr w:type="spellStart"/>
      <w:r>
        <w:rPr>
          <w:rFonts w:eastAsiaTheme="minorEastAsia"/>
          <w:lang w:val="en-US"/>
        </w:rPr>
        <w:t>respon</w:t>
      </w:r>
      <w:proofErr w:type="spellEnd"/>
      <w:r>
        <w:rPr>
          <w:rFonts w:eastAsiaTheme="minorEastAsia"/>
          <w:lang w:val="en-US"/>
        </w:rPr>
        <w:t xml:space="preserve"> </w:t>
      </w:r>
      <w:proofErr w:type="spellStart"/>
      <w:r>
        <w:rPr>
          <w:rFonts w:eastAsiaTheme="minorEastAsia"/>
          <w:lang w:val="en-US"/>
        </w:rPr>
        <w:t>hemodinamik</w:t>
      </w:r>
      <w:proofErr w:type="spellEnd"/>
      <w:r>
        <w:rPr>
          <w:rFonts w:eastAsiaTheme="minorEastAsia"/>
          <w:lang w:val="en-US"/>
        </w:rPr>
        <w:t xml:space="preserve"> dan </w:t>
      </w:r>
      <w:proofErr w:type="spellStart"/>
      <w:r>
        <w:rPr>
          <w:rFonts w:eastAsiaTheme="minorEastAsia"/>
          <w:lang w:val="en-US"/>
        </w:rPr>
        <w:t>stres</w:t>
      </w:r>
      <w:proofErr w:type="spellEnd"/>
      <w:r>
        <w:rPr>
          <w:rFonts w:eastAsiaTheme="minorEastAsia"/>
          <w:lang w:val="en-US"/>
        </w:rPr>
        <w:t xml:space="preserve"> </w:t>
      </w:r>
      <w:proofErr w:type="spellStart"/>
      <w:r>
        <w:rPr>
          <w:rFonts w:eastAsiaTheme="minorEastAsia"/>
          <w:lang w:val="en-US"/>
        </w:rPr>
        <w:t>intraoperatif</w:t>
      </w:r>
      <w:proofErr w:type="spellEnd"/>
      <w:r>
        <w:rPr>
          <w:rFonts w:eastAsiaTheme="minorEastAsia"/>
          <w:lang w:val="en-US"/>
        </w:rPr>
        <w:t xml:space="preserve"> dan </w:t>
      </w:r>
      <w:proofErr w:type="spellStart"/>
      <w:r>
        <w:rPr>
          <w:rFonts w:eastAsiaTheme="minorEastAsia"/>
          <w:lang w:val="en-US"/>
        </w:rPr>
        <w:t>nyeri</w:t>
      </w:r>
      <w:proofErr w:type="spellEnd"/>
      <w:r>
        <w:rPr>
          <w:rFonts w:eastAsiaTheme="minorEastAsia"/>
          <w:lang w:val="en-US"/>
        </w:rPr>
        <w:t xml:space="preserve"> </w:t>
      </w:r>
      <w:proofErr w:type="spellStart"/>
      <w:r>
        <w:rPr>
          <w:rFonts w:eastAsiaTheme="minorEastAsia"/>
          <w:lang w:val="en-US"/>
        </w:rPr>
        <w:t>kronis</w:t>
      </w:r>
      <w:proofErr w:type="spellEnd"/>
      <w:r>
        <w:rPr>
          <w:rFonts w:eastAsiaTheme="minorEastAsia"/>
          <w:lang w:val="id-ID"/>
        </w:rPr>
        <w:t xml:space="preserve"> </w:t>
      </w:r>
      <w:proofErr w:type="spellStart"/>
      <w:r>
        <w:rPr>
          <w:rFonts w:eastAsiaTheme="minorEastAsia"/>
          <w:lang w:val="en-US"/>
        </w:rPr>
        <w:t>pascabedah</w:t>
      </w:r>
      <w:proofErr w:type="spellEnd"/>
      <w:r>
        <w:rPr>
          <w:rFonts w:eastAsiaTheme="minorEastAsia"/>
          <w:lang w:val="en-US"/>
        </w:rPr>
        <w:t xml:space="preserve">. </w:t>
      </w:r>
      <w:r>
        <w:rPr>
          <w:rFonts w:eastAsiaTheme="minorEastAsia"/>
          <w:lang w:val="id-ID"/>
        </w:rPr>
        <w:t>A</w:t>
      </w:r>
      <w:r>
        <w:rPr>
          <w:rFonts w:eastAsiaTheme="minorEastAsia"/>
          <w:lang w:val="en-US"/>
        </w:rPr>
        <w:t xml:space="preserve">gen </w:t>
      </w:r>
      <w:proofErr w:type="spellStart"/>
      <w:r>
        <w:rPr>
          <w:rFonts w:eastAsiaTheme="minorEastAsia"/>
          <w:lang w:val="en-US"/>
        </w:rPr>
        <w:t>antinosiseptif</w:t>
      </w:r>
      <w:proofErr w:type="spellEnd"/>
      <w:r>
        <w:rPr>
          <w:rFonts w:eastAsiaTheme="minorEastAsia"/>
          <w:lang w:val="en-US"/>
        </w:rPr>
        <w:t xml:space="preserve"> yang paling </w:t>
      </w:r>
      <w:proofErr w:type="spellStart"/>
      <w:r>
        <w:rPr>
          <w:rFonts w:eastAsiaTheme="minorEastAsia"/>
          <w:lang w:val="en-US"/>
        </w:rPr>
        <w:t>efektif</w:t>
      </w:r>
      <w:proofErr w:type="spellEnd"/>
      <w:r>
        <w:rPr>
          <w:rFonts w:eastAsiaTheme="minorEastAsia"/>
          <w:lang w:val="id-ID"/>
        </w:rPr>
        <w:t xml:space="preserve"> digunakan pascabedah adalah opioid, namun penggunaan</w:t>
      </w:r>
      <w:r>
        <w:rPr>
          <w:rFonts w:eastAsiaTheme="minorEastAsia"/>
          <w:lang w:val="en-US"/>
        </w:rPr>
        <w:t xml:space="preserve"> </w:t>
      </w:r>
      <w:r>
        <w:rPr>
          <w:rFonts w:eastAsiaTheme="minorEastAsia"/>
          <w:lang w:val="id-ID"/>
        </w:rPr>
        <w:t xml:space="preserve">opioid </w:t>
      </w:r>
      <w:proofErr w:type="spellStart"/>
      <w:r>
        <w:rPr>
          <w:rFonts w:eastAsiaTheme="minorEastAsia"/>
          <w:lang w:val="en-US"/>
        </w:rPr>
        <w:t>memiliki</w:t>
      </w:r>
      <w:proofErr w:type="spellEnd"/>
      <w:r>
        <w:rPr>
          <w:rFonts w:eastAsiaTheme="minorEastAsia"/>
          <w:lang w:val="en-US"/>
        </w:rPr>
        <w:t xml:space="preserve"> </w:t>
      </w:r>
      <w:proofErr w:type="spellStart"/>
      <w:r>
        <w:rPr>
          <w:rFonts w:eastAsiaTheme="minorEastAsia"/>
          <w:lang w:val="en-US"/>
        </w:rPr>
        <w:t>efek</w:t>
      </w:r>
      <w:proofErr w:type="spellEnd"/>
      <w:r>
        <w:rPr>
          <w:rFonts w:eastAsiaTheme="minorEastAsia"/>
          <w:lang w:val="en-US"/>
        </w:rPr>
        <w:t xml:space="preserve"> </w:t>
      </w:r>
      <w:proofErr w:type="spellStart"/>
      <w:r>
        <w:rPr>
          <w:rFonts w:eastAsiaTheme="minorEastAsia"/>
          <w:lang w:val="en-US"/>
        </w:rPr>
        <w:t>samping</w:t>
      </w:r>
      <w:proofErr w:type="spellEnd"/>
      <w:r>
        <w:rPr>
          <w:rFonts w:eastAsiaTheme="minorEastAsia"/>
          <w:lang w:val="en-US"/>
        </w:rPr>
        <w:t xml:space="preserve"> yang tidak </w:t>
      </w:r>
      <w:proofErr w:type="spellStart"/>
      <w:r>
        <w:rPr>
          <w:rFonts w:eastAsiaTheme="minorEastAsia"/>
          <w:lang w:val="en-US"/>
        </w:rPr>
        <w:t>diinginkan</w:t>
      </w:r>
      <w:proofErr w:type="spellEnd"/>
      <w:r>
        <w:rPr>
          <w:rFonts w:eastAsiaTheme="minorEastAsia"/>
          <w:lang w:val="id-ID"/>
        </w:rPr>
        <w:t xml:space="preserve"> seperti</w:t>
      </w:r>
      <w:r>
        <w:rPr>
          <w:rFonts w:eastAsiaTheme="minorEastAsia"/>
          <w:lang w:val="en-US"/>
        </w:rPr>
        <w:t xml:space="preserve"> </w:t>
      </w:r>
      <w:proofErr w:type="spellStart"/>
      <w:r>
        <w:rPr>
          <w:rFonts w:eastAsiaTheme="minorEastAsia"/>
          <w:lang w:val="en-US"/>
        </w:rPr>
        <w:t>depresi</w:t>
      </w:r>
      <w:proofErr w:type="spellEnd"/>
      <w:r>
        <w:rPr>
          <w:rFonts w:eastAsiaTheme="minorEastAsia"/>
          <w:lang w:val="en-US"/>
        </w:rPr>
        <w:t xml:space="preserve"> </w:t>
      </w:r>
      <w:proofErr w:type="spellStart"/>
      <w:r>
        <w:rPr>
          <w:rFonts w:eastAsiaTheme="minorEastAsia"/>
          <w:lang w:val="en-US"/>
        </w:rPr>
        <w:t>pernapasan</w:t>
      </w:r>
      <w:proofErr w:type="spellEnd"/>
      <w:r>
        <w:rPr>
          <w:rFonts w:eastAsiaTheme="minorEastAsia"/>
          <w:lang w:val="en-US"/>
        </w:rPr>
        <w:t xml:space="preserve">, </w:t>
      </w:r>
      <w:proofErr w:type="spellStart"/>
      <w:r>
        <w:rPr>
          <w:rFonts w:eastAsiaTheme="minorEastAsia"/>
          <w:lang w:val="en-US"/>
        </w:rPr>
        <w:t>mual</w:t>
      </w:r>
      <w:proofErr w:type="spellEnd"/>
      <w:r>
        <w:rPr>
          <w:rFonts w:eastAsiaTheme="minorEastAsia"/>
          <w:lang w:val="en-US"/>
        </w:rPr>
        <w:t xml:space="preserve">, </w:t>
      </w:r>
      <w:proofErr w:type="spellStart"/>
      <w:r>
        <w:rPr>
          <w:rFonts w:eastAsiaTheme="minorEastAsia"/>
          <w:lang w:val="en-US"/>
        </w:rPr>
        <w:t>muntah</w:t>
      </w:r>
      <w:proofErr w:type="spellEnd"/>
      <w:r>
        <w:rPr>
          <w:rFonts w:eastAsiaTheme="minorEastAsia"/>
          <w:lang w:val="en-US"/>
        </w:rPr>
        <w:t xml:space="preserve">, </w:t>
      </w:r>
      <w:proofErr w:type="spellStart"/>
      <w:r>
        <w:rPr>
          <w:rFonts w:eastAsiaTheme="minorEastAsia"/>
          <w:lang w:val="en-US"/>
        </w:rPr>
        <w:t>retensi</w:t>
      </w:r>
      <w:proofErr w:type="spellEnd"/>
      <w:r>
        <w:rPr>
          <w:rFonts w:eastAsiaTheme="minorEastAsia"/>
          <w:lang w:val="en-US"/>
        </w:rPr>
        <w:t xml:space="preserve"> urin, </w:t>
      </w:r>
      <w:proofErr w:type="spellStart"/>
      <w:r>
        <w:rPr>
          <w:rFonts w:eastAsiaTheme="minorEastAsia"/>
          <w:lang w:val="en-US"/>
        </w:rPr>
        <w:t>konstipasi</w:t>
      </w:r>
      <w:proofErr w:type="spellEnd"/>
      <w:r>
        <w:rPr>
          <w:rFonts w:eastAsiaTheme="minorEastAsia"/>
          <w:lang w:val="en-US"/>
        </w:rPr>
        <w:t xml:space="preserve">, ileus, dan pruritus. </w:t>
      </w:r>
      <w:r>
        <w:rPr>
          <w:rFonts w:eastAsiaTheme="minorEastAsia"/>
          <w:lang w:val="id-ID"/>
        </w:rPr>
        <w:t>Opioid yang digunakan secara terus menerus juga menimbulkan dampak pada kecanduan opioid.</w:t>
      </w:r>
      <w:r>
        <w:rPr>
          <w:rFonts w:eastAsiaTheme="minorEastAsia"/>
          <w:lang w:val="en-US"/>
        </w:rPr>
        <w:fldChar w:fldCharType="begin" w:fldLock="1"/>
      </w:r>
      <w:r>
        <w:rPr>
          <w:rFonts w:eastAsiaTheme="minorEastAsia"/>
          <w:lang w:val="en-US"/>
        </w:rPr>
        <w:instrText>ADDIN CSL_CITATION {"citationItems":[{"id":"ITEM-1","itemData":{"DOI":"10.1213/ANE.0000000000003668","ISBN":"0000000000","ISSN":"15267598","PMID":"30252709","abstract":"Balanced general anesthesia, the most common management strategy used in anesthesia care, entails the administration of different drugs together to create the anesthetic state. Anesthesiologists developed this approach to avoid sole reliance on ether for general anesthesia maintenance. Balanced general anesthesia uses less of each drug than if the drug were administered alone, thereby increasing the likelihood of its desired effects and reducing the likelihood of its side effects. To manage nociception intraoperatively and pain postoperatively, the current practice of balanced general anesthesia relies almost exclusively on opioids. While opioids are the most effective antinociceptive agents, they have undesirable side effects. Moreover, overreliance on opioids has contributed to the opioid epidemic in the United States. Spurred by concern of opioid overuse, balanced general anesthesia strategies are now using more agents to create the anesthetic state. Under these approaches, called \"multimodal general anesthesia,\" the additional drugs may include agents with specific central nervous system targets such as dexmedetomidine and ones with less specific targets, such as magnesium. It is postulated that use of more agents at smaller doses further maximizes desired effects while minimizing side effects. Although this approach appears to maximize the benefit-to-side effect ratio, no rational strategy has been provided for choosing the drug combinations. Nociception induced by surgery is the primary reason for placing a patient in a state of general anesthesia. Hence, any rational strategy should focus on nociception control intraoperatively and pain control postoperatively. In this Special Article, we review the anatomy and physiology of the nociceptive and arousal circuits, and the mechanisms through which commonly used anesthetics and anesthetic adjuncts act in these systems. We propose a rational strategy for multimodal general anesthesia predicated on choosing a combination of agents that act at different targets in the nociceptive system to control nociception intraoperatively and pain postoperatively. Because these agents also decrease arousal, the doses of hypnotics and/or inhaled ethers needed to control unconsciousness are reduced. Effective use of this strategy requires simultaneous monitoring of antinociception and level of unconsciousness. We illustrate the application of this strategy by summarizing anesthetic management for 4 representative surg…","author":[{"dropping-particle":"","family":"Brown","given":"Emery N.","non-dropping-particle":"","parse-names":false,"suffix":""},{"dropping-particle":"","family":"Pavone","given":"Kara J.","non-dropping-particle":"","parse-names":false,"suffix":""},{"dropping-particle":"","family":"Naranjo","given":"Marusa","non-dropping-particle":"","parse-names":false,"suffix":""}],"container-title":"Anesthesia and Analgesia","id":"ITEM-1","issue":"5","issued":{"date-parts":[["2018"]]},"page":"1246-1258","title":"Multimodal general anesthesia: Theory and practice","type":"article-journal","volume":"127"},"uris":["http://www.mendeley.com/documents/?uuid=22822377-e8f4-430a-a304-7f758e803ec1"]}],"mendeley":{"formattedCitation":"&lt;sup&gt;4&lt;/sup&gt;","plainTextFormattedCitation":"4","previouslyFormattedCitation":"&lt;sup&gt;4&lt;/sup&gt;"},"properties":{"noteIndex":0},"schema":"https://github.com/citation-style-language/schema/raw/master/csl-citation.json"}</w:instrText>
      </w:r>
      <w:r>
        <w:rPr>
          <w:rFonts w:eastAsiaTheme="minorEastAsia"/>
          <w:lang w:val="en-US"/>
        </w:rPr>
        <w:fldChar w:fldCharType="separate"/>
      </w:r>
      <w:r>
        <w:rPr>
          <w:rFonts w:eastAsiaTheme="minorEastAsia"/>
          <w:noProof/>
          <w:vertAlign w:val="superscript"/>
          <w:lang w:val="en-US"/>
        </w:rPr>
        <w:t>4</w:t>
      </w:r>
      <w:r>
        <w:rPr>
          <w:rFonts w:eastAsiaTheme="minorEastAsia"/>
          <w:lang w:val="en-US"/>
        </w:rPr>
        <w:fldChar w:fldCharType="end"/>
      </w:r>
      <w:r>
        <w:rPr>
          <w:rFonts w:eastAsiaTheme="minorEastAsia"/>
          <w:lang w:val="id-ID"/>
        </w:rPr>
        <w:t xml:space="preserve"> </w:t>
      </w:r>
      <w:r>
        <w:rPr>
          <w:color w:val="000000"/>
          <w:lang w:val="id-ID"/>
        </w:rPr>
        <w:t xml:space="preserve">Pada penelitian sebelumnya juga dilaporkan bahwa manajemen penurunan nyeri pascatonsilektomi telah dilakukan dengan menggunakan </w:t>
      </w:r>
      <w:r>
        <w:rPr>
          <w:lang w:val="id-ID"/>
        </w:rPr>
        <w:t>o</w:t>
      </w:r>
      <w:r>
        <w:rPr>
          <w:lang w:val="en-US"/>
        </w:rPr>
        <w:t xml:space="preserve">bat </w:t>
      </w:r>
      <w:proofErr w:type="spellStart"/>
      <w:r>
        <w:rPr>
          <w:lang w:val="en-US"/>
        </w:rPr>
        <w:t>analgesik</w:t>
      </w:r>
      <w:proofErr w:type="spellEnd"/>
      <w:r>
        <w:rPr>
          <w:lang w:val="en-US"/>
        </w:rPr>
        <w:t xml:space="preserve"> </w:t>
      </w:r>
      <w:proofErr w:type="spellStart"/>
      <w:r>
        <w:rPr>
          <w:lang w:val="en-US"/>
        </w:rPr>
        <w:t>secara</w:t>
      </w:r>
      <w:proofErr w:type="spellEnd"/>
      <w:r>
        <w:rPr>
          <w:lang w:val="en-US"/>
        </w:rPr>
        <w:t xml:space="preserve"> oral atau parenteral </w:t>
      </w:r>
      <w:proofErr w:type="spellStart"/>
      <w:r>
        <w:rPr>
          <w:lang w:val="en-US"/>
        </w:rPr>
        <w:t>pascatonsilektomi</w:t>
      </w:r>
      <w:proofErr w:type="spellEnd"/>
      <w:r>
        <w:rPr>
          <w:lang w:val="en-US"/>
        </w:rPr>
        <w:t>,</w:t>
      </w:r>
      <w:r>
        <w:rPr>
          <w:lang w:val="id-ID"/>
        </w:rPr>
        <w:t xml:space="preserve"> namun</w:t>
      </w:r>
      <w:r>
        <w:rPr>
          <w:lang w:val="en-US"/>
        </w:rPr>
        <w:t xml:space="preserve"> </w:t>
      </w:r>
      <w:proofErr w:type="spellStart"/>
      <w:r>
        <w:rPr>
          <w:lang w:val="en-US"/>
        </w:rPr>
        <w:t>nyeri</w:t>
      </w:r>
      <w:proofErr w:type="spellEnd"/>
      <w:r>
        <w:rPr>
          <w:lang w:val="en-US"/>
        </w:rPr>
        <w:t xml:space="preserve"> </w:t>
      </w:r>
      <w:proofErr w:type="spellStart"/>
      <w:r>
        <w:rPr>
          <w:lang w:val="en-US"/>
        </w:rPr>
        <w:t>tetap</w:t>
      </w:r>
      <w:proofErr w:type="spellEnd"/>
      <w:r>
        <w:rPr>
          <w:lang w:val="en-US"/>
        </w:rPr>
        <w:t xml:space="preserve"> </w:t>
      </w:r>
      <w:proofErr w:type="spellStart"/>
      <w:r>
        <w:rPr>
          <w:lang w:val="en-US"/>
        </w:rPr>
        <w:t>menjadi</w:t>
      </w:r>
      <w:proofErr w:type="spellEnd"/>
      <w:r>
        <w:rPr>
          <w:lang w:val="en-US"/>
        </w:rPr>
        <w:t xml:space="preserve"> salah </w:t>
      </w:r>
      <w:proofErr w:type="spellStart"/>
      <w:r>
        <w:rPr>
          <w:lang w:val="en-US"/>
        </w:rPr>
        <w:t>satu</w:t>
      </w:r>
      <w:proofErr w:type="spellEnd"/>
      <w:r>
        <w:rPr>
          <w:lang w:val="en-US"/>
        </w:rPr>
        <w:t xml:space="preserve"> </w:t>
      </w:r>
      <w:proofErr w:type="spellStart"/>
      <w:r>
        <w:rPr>
          <w:lang w:val="en-US"/>
        </w:rPr>
        <w:t>keluhan</w:t>
      </w:r>
      <w:proofErr w:type="spellEnd"/>
      <w:r>
        <w:rPr>
          <w:lang w:val="en-US"/>
        </w:rPr>
        <w:t xml:space="preserve"> </w:t>
      </w:r>
      <w:proofErr w:type="spellStart"/>
      <w:r>
        <w:rPr>
          <w:lang w:val="en-US"/>
        </w:rPr>
        <w:t>utama</w:t>
      </w:r>
      <w:proofErr w:type="spellEnd"/>
      <w:r>
        <w:rPr>
          <w:lang w:val="en-US"/>
        </w:rPr>
        <w:t xml:space="preserve"> </w:t>
      </w:r>
      <w:r>
        <w:rPr>
          <w:lang w:val="id-ID"/>
        </w:rPr>
        <w:t xml:space="preserve">pascatonsilektomi bahkan </w:t>
      </w:r>
      <w:proofErr w:type="spellStart"/>
      <w:r>
        <w:rPr>
          <w:lang w:val="en-US"/>
        </w:rPr>
        <w:t>hingga</w:t>
      </w:r>
      <w:proofErr w:type="spellEnd"/>
      <w:r>
        <w:rPr>
          <w:lang w:val="en-US"/>
        </w:rPr>
        <w:t xml:space="preserve"> </w:t>
      </w:r>
      <w:proofErr w:type="spellStart"/>
      <w:r>
        <w:rPr>
          <w:lang w:val="en-US"/>
        </w:rPr>
        <w:t>hari</w:t>
      </w:r>
      <w:proofErr w:type="spellEnd"/>
      <w:r>
        <w:rPr>
          <w:lang w:val="en-US"/>
        </w:rPr>
        <w:t xml:space="preserve"> ke 9 </w:t>
      </w:r>
      <w:proofErr w:type="spellStart"/>
      <w:r>
        <w:rPr>
          <w:lang w:val="en-US"/>
        </w:rPr>
        <w:t>pascapembedahan</w:t>
      </w:r>
      <w:proofErr w:type="spellEnd"/>
      <w:r>
        <w:rPr>
          <w:lang w:val="id-ID"/>
        </w:rPr>
        <w:t>.</w:t>
      </w:r>
      <w:r>
        <w:rPr>
          <w:lang w:val="en-US"/>
        </w:rPr>
        <w:fldChar w:fldCharType="begin" w:fldLock="1"/>
      </w:r>
      <w:r>
        <w:rPr>
          <w:lang w:val="en-US"/>
        </w:rPr>
        <w:instrText>ADDIN CSL_CITATION {"citationItems":[{"id":"ITEM-1","itemData":{"DOI":"10.47210/bjohns.2020.v28i3.318","ISSN":"2395-2393","abstract":"Introduction Tonsillectomy is one of the most commonly performed surgical procedures worldwide, with the major drawback of significant post operative pain.There is no consensus regarding topical application or local infiltration of anesthetics post operatively to reduce pain. The present study was performed to evaluate the effect of bupivacaine infiltration in the tonsillar fossae after tonsillectomy. Materials and Methods A double-blinded clinical trial was performed on 75 patients undergoing tonsillectomy between January 2019 and January 2020. All patients underwent tonsillectomy under general anesthesia and were then randomly divided into 3 groups of 25 patients each. For Group I, a swab soaked in normal saline was applied to the tonsillar fossae for 5 minutes just before extubation. In Group II, a swab soaked in 5 ml of 0.5% bupivacaine was placed for 5 minutes, while in Group III, 5ml of 0.5% bupivacaine was infiltrated in the tonsillar fossae. The intensity of pain for each group was measured in the immediate post op period, at6 hours, 24 hours and 1 week by Wong Baker Faces Pain Rating Scale. Results There was a significant difference in the mean level of pain between groups I and III in the immediate post op period, at 6 hours and 24 hours. Although the average pain scores of group III were better than those of group II, the results were significant only in the 6 hour post op period. Conclusion To reduce post-tonsillectomy pain,0.5% bupivacaine can be infiltrated into the tonsillar fossa.","author":[{"dropping-particle":"","family":"Rakesh","given":"B.S","non-dropping-particle":"","parse-names":false,"suffix":""},{"dropping-particle":"","family":"Bharathi","given":"M.B","non-dropping-particle":"","parse-names":false,"suffix":""},{"dropping-particle":"","family":"Thanzeemunisa","given":"U","non-dropping-particle":"","parse-names":false,"suffix":""},{"dropping-particle":"De","family":"Kumar","given":"Shankar","non-dropping-particle":"","parse-names":false,"suffix":""},{"dropping-particle":"","family":"Aggarwal","given":"Nitish","non-dropping-particle":"","parse-names":false,"suffix":""}],"container-title":"Bengal Journal of Otolaryngology and Head Neck Surgery","id":"ITEM-1","issue":"3","issued":{"date-parts":[["2021"]]},"page":"228-233","title":"Local Bupivacaine Infiltration to Reduce Pain after Tonsillectomy: A Low Cost Approach","type":"article-journal","volume":"28"},"uris":["http://www.mendeley.com/documents/?uuid=029e0584-67db-4bc4-a8eb-a640af49ea35"]}],"mendeley":{"formattedCitation":"&lt;sup&gt;3&lt;/sup&gt;","plainTextFormattedCitation":"3","previouslyFormattedCitation":"&lt;sup&gt;3&lt;/sup&gt;"},"properties":{"noteIndex":0},"schema":"https://github.com/citation-style-language/schema/raw/master/csl-citation.json"}</w:instrText>
      </w:r>
      <w:r>
        <w:rPr>
          <w:lang w:val="en-US"/>
        </w:rPr>
        <w:fldChar w:fldCharType="separate"/>
      </w:r>
      <w:r>
        <w:rPr>
          <w:noProof/>
          <w:vertAlign w:val="superscript"/>
          <w:lang w:val="en-US"/>
        </w:rPr>
        <w:t>3</w:t>
      </w:r>
      <w:r>
        <w:rPr>
          <w:lang w:val="en-US"/>
        </w:rPr>
        <w:fldChar w:fldCharType="end"/>
      </w:r>
      <w:r>
        <w:rPr>
          <w:rFonts w:eastAsiaTheme="minorEastAsia" w:hint="eastAsia"/>
          <w:color w:val="000000"/>
          <w:lang w:eastAsia="zh-CN"/>
        </w:rPr>
        <w:t xml:space="preserve"> </w:t>
      </w:r>
      <w:r>
        <w:rPr>
          <w:rFonts w:eastAsiaTheme="minorEastAsia"/>
          <w:color w:val="000000"/>
          <w:lang w:val="id-ID" w:eastAsia="zh-CN"/>
        </w:rPr>
        <w:t xml:space="preserve">Oleh karena itu, </w:t>
      </w:r>
      <w:r>
        <w:rPr>
          <w:lang w:val="id-ID"/>
        </w:rPr>
        <w:t>p</w:t>
      </w:r>
      <w:proofErr w:type="spellStart"/>
      <w:r>
        <w:rPr>
          <w:lang w:val="en-US"/>
        </w:rPr>
        <w:t>enurunan</w:t>
      </w:r>
      <w:proofErr w:type="spellEnd"/>
      <w:r>
        <w:rPr>
          <w:lang w:val="en-US"/>
        </w:rPr>
        <w:t xml:space="preserve"> </w:t>
      </w:r>
      <w:proofErr w:type="spellStart"/>
      <w:r>
        <w:rPr>
          <w:lang w:val="en-US"/>
        </w:rPr>
        <w:t>nyeri</w:t>
      </w:r>
      <w:proofErr w:type="spellEnd"/>
      <w:r>
        <w:rPr>
          <w:lang w:val="en-US"/>
        </w:rPr>
        <w:t xml:space="preserve"> </w:t>
      </w:r>
      <w:proofErr w:type="spellStart"/>
      <w:r>
        <w:rPr>
          <w:lang w:val="en-US"/>
        </w:rPr>
        <w:t>pascatonsilektomi</w:t>
      </w:r>
      <w:proofErr w:type="spellEnd"/>
      <w:r>
        <w:rPr>
          <w:lang w:val="en-US"/>
        </w:rPr>
        <w:t xml:space="preserve"> </w:t>
      </w:r>
      <w:proofErr w:type="spellStart"/>
      <w:r>
        <w:rPr>
          <w:lang w:val="en-US"/>
        </w:rPr>
        <w:t>telah</w:t>
      </w:r>
      <w:proofErr w:type="spellEnd"/>
      <w:r>
        <w:rPr>
          <w:lang w:val="en-US"/>
        </w:rPr>
        <w:t xml:space="preserve"> </w:t>
      </w:r>
      <w:proofErr w:type="spellStart"/>
      <w:r>
        <w:rPr>
          <w:lang w:val="en-US"/>
        </w:rPr>
        <w:t>menjadi</w:t>
      </w:r>
      <w:proofErr w:type="spellEnd"/>
      <w:r>
        <w:rPr>
          <w:lang w:val="en-US"/>
        </w:rPr>
        <w:t xml:space="preserve"> </w:t>
      </w:r>
      <w:proofErr w:type="spellStart"/>
      <w:r>
        <w:rPr>
          <w:lang w:val="en-US"/>
        </w:rPr>
        <w:t>subjek</w:t>
      </w:r>
      <w:proofErr w:type="spellEnd"/>
      <w:r>
        <w:rPr>
          <w:lang w:val="en-US"/>
        </w:rPr>
        <w:t xml:space="preserve"> </w:t>
      </w:r>
      <w:proofErr w:type="spellStart"/>
      <w:r>
        <w:rPr>
          <w:lang w:val="en-US"/>
        </w:rPr>
        <w:t>penelitian</w:t>
      </w:r>
      <w:proofErr w:type="spellEnd"/>
      <w:r>
        <w:rPr>
          <w:lang w:val="en-US"/>
        </w:rPr>
        <w:t xml:space="preserve"> </w:t>
      </w:r>
      <w:proofErr w:type="spellStart"/>
      <w:r>
        <w:rPr>
          <w:lang w:val="en-US"/>
        </w:rPr>
        <w:t>intensif</w:t>
      </w:r>
      <w:proofErr w:type="spellEnd"/>
      <w:r>
        <w:rPr>
          <w:lang w:val="en-US"/>
        </w:rPr>
        <w:t xml:space="preserve">, dengan </w:t>
      </w:r>
      <w:proofErr w:type="spellStart"/>
      <w:r>
        <w:rPr>
          <w:lang w:val="en-US"/>
        </w:rPr>
        <w:t>berbagai</w:t>
      </w:r>
      <w:proofErr w:type="spellEnd"/>
      <w:r>
        <w:rPr>
          <w:lang w:val="en-US"/>
        </w:rPr>
        <w:t xml:space="preserve"> </w:t>
      </w:r>
      <w:proofErr w:type="spellStart"/>
      <w:r>
        <w:rPr>
          <w:lang w:val="en-US"/>
        </w:rPr>
        <w:t>metode</w:t>
      </w:r>
      <w:proofErr w:type="spellEnd"/>
      <w:r>
        <w:rPr>
          <w:lang w:val="en-US"/>
        </w:rPr>
        <w:t xml:space="preserve"> </w:t>
      </w:r>
      <w:proofErr w:type="spellStart"/>
      <w:r>
        <w:rPr>
          <w:lang w:val="en-US"/>
        </w:rPr>
        <w:t>baru</w:t>
      </w:r>
      <w:proofErr w:type="spellEnd"/>
      <w:r>
        <w:rPr>
          <w:lang w:val="en-US"/>
        </w:rPr>
        <w:t xml:space="preserve"> yang </w:t>
      </w:r>
      <w:proofErr w:type="spellStart"/>
      <w:r>
        <w:rPr>
          <w:lang w:val="en-US"/>
        </w:rPr>
        <w:t>diterapkan</w:t>
      </w:r>
      <w:proofErr w:type="spellEnd"/>
      <w:r>
        <w:rPr>
          <w:lang w:val="en-US"/>
        </w:rPr>
        <w:t>.</w:t>
      </w:r>
      <w:r>
        <w:rPr>
          <w:color w:val="000000"/>
          <w:lang w:val="id-ID"/>
        </w:rPr>
        <w:t xml:space="preserve"> </w:t>
      </w:r>
      <w:r>
        <w:rPr>
          <w:lang w:val="id-ID"/>
        </w:rPr>
        <w:lastRenderedPageBreak/>
        <w:t xml:space="preserve">Banyak </w:t>
      </w:r>
      <w:r>
        <w:t xml:space="preserve">penelitian yang </w:t>
      </w:r>
      <w:r>
        <w:rPr>
          <w:lang w:val="id-ID"/>
        </w:rPr>
        <w:t>meneliti</w:t>
      </w:r>
      <w:r>
        <w:t xml:space="preserve"> banyak metode untuk mengurangi </w:t>
      </w:r>
      <w:r>
        <w:rPr>
          <w:lang w:val="id-ID"/>
        </w:rPr>
        <w:t xml:space="preserve">nyeri </w:t>
      </w:r>
      <w:r>
        <w:t>pra bedah, intra bedah atau pascabedah, injeksi preinsisi atau pascatonsilektomi atau aplikasi topikal</w:t>
      </w:r>
      <w:r>
        <w:rPr>
          <w:lang w:val="id-ID"/>
        </w:rPr>
        <w:t>.</w:t>
      </w:r>
      <w:r>
        <w:rPr>
          <w:lang w:val="id-ID"/>
        </w:rPr>
        <w:fldChar w:fldCharType="begin" w:fldLock="1"/>
      </w:r>
      <w:r>
        <w:rPr>
          <w:lang w:val="id-ID"/>
        </w:rPr>
        <w:instrText>ADDIN CSL_CITATION {"citationItems":[{"id":"ITEM-1","itemData":{"DOI":"10.4103/0019-5049.199855","ISSN":"00195049","abstract":"Adenotonsillectomy remains one of the most common surgical procedures carried out in children. Though a commonly performed procedure, it poses a great challenge to the surgeon as well as the anaesthesiologist and is associated with a substantially increased risk of morbidity and mortality. In the post‑operative period, it poses threats such as post‑tonsillectomy bleeding and airway obstruction if not diagnosed and treated promptly. Various recent advances in airway management and early detection of post‑operative complications have been made to reduce the sequelae associated with tonsillectomy. In this article, we have reviewed the various techniques, complications and recent advances, which have evolved in the anaesthetic technique related to adenotonsillectomy.","author":[{"dropping-particle":"","family":"Bangera","given":"Anand","non-dropping-particle":"","parse-names":false,"suffix":""}],"container-title":"Indian Journal of Anaesthesia","id":"ITEM-1","issue":"2","issued":{"date-parts":[["2017"]]},"page":"103-109","title":"Anaesthesia for adenotonsillectomy: An update","type":"article-journal","volume":"61"},"uris":["http://www.mendeley.com/documents/?uuid=8b72a035-d3f0-434e-95fb-49b60ab69325"]},{"id":"ITEM-2","itemData":{"DOI":"10.4097/kja.19259","ISBN":"0000000226752","ISSN":"20057563","PMID":"31220910","abstract":"Dexmedetomidine is a potent, highly selective α-2 adrenoceptor agonist, with sedative, analgesic, anxiolytic, sympatholytic, and opioid-sparing properties. Dexmedetomidine induces a unique sedative response, which shows an easy transition from sleep to wakefulness, thus allowing a patient to be cooperative and communicative when stimulated. Dexmedetomidine may produce less delirium than other sedatives or even prevent delirium. The analgesic effect of dexmedetomidine is not strong; however, it can be administered as a useful analgesic adjuvant. As an anesthetic adjuvant, dexmedetomidine decreases the need for opioids, inhalational anesthetics, and intravenous anesthetics. The sympatholytic effect of dexmedetomidine may provide stable hemodynamics during the perioperative period. Dexmedetomidine-induced cooperative sedation with minimal respiratory depression provides safe and acceptable conditions during neurosurgical procedures in awake patients and awake fiberoptic intubation. Despite the lack of pediatric labelling, dexmedetomidine has been widely studied for pediatric use in various applications. Most adverse events associated with dexmedetomidine occur during or shortly after a loading infusion. There are some case reports of dexmedetomidine-related cardiac arrest following severe bradycardia. Some extended applications of dexmedetomidine discussed in this review are promising, but still limited, and further research is required. The pharmacological properties and possible adverse effects of dexmedetomidine should be well understood by the anesthesiologist prior to use. Moreover, it is necessary to select patients carefully and to determine the appropriate dosage of dexmedetomidine to ensure patient safety.","author":[{"dropping-particle":"","family":"Lee","given":"Seongheon","non-dropping-particle":"","parse-names":false,"suffix":""}],"container-title":"Korean Journal of Anesthesiology","id":"ITEM-2","issue":"4","issued":{"date-parts":[["2019"]]},"page":"323-330","title":"Dexmedetomidine: Present and future directions","type":"article-journal","volume":"72"},"uris":["http://www.mendeley.com/documents/?uuid=531553d9-2cd6-4a8b-abbf-08231c80ca22"]}],"mendeley":{"formattedCitation":"&lt;sup&gt;8,9&lt;/sup&gt;","plainTextFormattedCitation":"8,9","previouslyFormattedCitation":"&lt;sup&gt;8,9&lt;/sup&gt;"},"properties":{"noteIndex":0},"schema":"https://github.com/citation-style-language/schema/raw/master/csl-citation.json"}</w:instrText>
      </w:r>
      <w:r>
        <w:rPr>
          <w:lang w:val="id-ID"/>
        </w:rPr>
        <w:fldChar w:fldCharType="separate"/>
      </w:r>
      <w:r>
        <w:rPr>
          <w:noProof/>
          <w:vertAlign w:val="superscript"/>
          <w:lang w:val="id-ID"/>
        </w:rPr>
        <w:t>8,9</w:t>
      </w:r>
      <w:r>
        <w:rPr>
          <w:lang w:val="id-ID"/>
        </w:rPr>
        <w:fldChar w:fldCharType="end"/>
      </w:r>
    </w:p>
    <w:p w14:paraId="094F258E" w14:textId="77777777" w:rsidR="003B79BC" w:rsidRDefault="00000000">
      <w:pPr>
        <w:pStyle w:val="Bibliography1"/>
        <w:tabs>
          <w:tab w:val="left" w:pos="0"/>
        </w:tabs>
        <w:spacing w:line="360" w:lineRule="auto"/>
        <w:ind w:firstLine="567"/>
        <w:jc w:val="both"/>
        <w:rPr>
          <w:rFonts w:eastAsiaTheme="minorEastAsia"/>
          <w:lang w:val="id-ID" w:eastAsia="zh-CN"/>
        </w:rPr>
      </w:pPr>
      <w:r>
        <w:rPr>
          <w:lang w:val="id-ID"/>
        </w:rPr>
        <w:t xml:space="preserve">Berdasarkan </w:t>
      </w:r>
      <w:r>
        <w:rPr>
          <w:i/>
          <w:iCs/>
        </w:rPr>
        <w:t>Procedure-Specific Postoperative Pain Management</w:t>
      </w:r>
      <w:r>
        <w:rPr>
          <w:lang w:val="id-ID"/>
        </w:rPr>
        <w:t xml:space="preserve"> (PROSPECT) intervensi prabedah dan intrabedah yang memperbaiki nyeri pascabedah tonsilektomi yaitu parasetamol, obat antiinflamasi nonsteroid, deksametason intravena, ketamin, gabapentinoid, dexmedetomidine, madu dan akupunktur.</w:t>
      </w:r>
      <w:r>
        <w:rPr>
          <w:lang w:val="id-ID"/>
        </w:rPr>
        <w:fldChar w:fldCharType="begin" w:fldLock="1"/>
      </w:r>
      <w:r>
        <w:rPr>
          <w:lang w:val="id-ID"/>
        </w:rPr>
        <w:instrText>ADDIN CSL_CITATION {"citationItems":[{"id":"ITEM-1","itemData":{"DOI":"10.1111/anae.15299","ISSN":"13652044","PMID":"33201518","abstract":"Tonsillectomy is one of the most frequently performed surgical procedures; however, pain management remains challenging. Procedure-specific efficacy as well as specific risks of treatment options should guide selection of pain management protocols based on evidence and should optimise analgesia without harm. The aims of this systematic review were to evaluate the available literature and develop recommendations for optimal pain management after tonsillectomy. A systematic review utilising preferred reporting items for systematic reviews and meta-analysis guidelines with procedure-specific postoperative pain management (PROSPECT) methodology was undertaken. Randomised controlled trials published in the English language up to November 2019 assessing postoperative pain using analgesic, anaesthetic or surgical interventions were identified. Out of the 719 potentially eligible studies identified, 226 randomised controlled trials met the inclusion criteria, excluding the studies examining surgical techniques. Pre-operative and intra-operative interventions that improved postoperative pain were paracetamol; non-steroidal anti-inflammatory drugs; intravenous dexamethasone; ketamine (only assessed in children); gabapentinoids; dexmedetomidine; honey; and acupuncture. Inconsistent evidence was found for local anaesthetic infiltration; antibiotics; and magnesium sulphate. Limited evidence was found for clonidine. The analgesic regimen for tonsillectomy should include paracetamol; non-steroidal anti-inflammatory drugs; and intravenous dexamethasone, with opioids as rescue analgesics. Analgesic adjuncts such as intra-operative and postoperative acupuncture as well as postoperative honey are also recommended. Ketamine (only for children); dexmedetomidine; or gabapentinoids may be considered when some of the first-line analgesics are contra-indicated. Further randomised controlled trials are required to define risk and combination of drugs most effective for postoperative pain relief after tonsillectomy.","author":[{"dropping-particle":"","family":"Aldamluji","given":"N.","non-dropping-particle":"","parse-names":false,"suffix":""},{"dropping-particle":"","family":"Burgess","given":"A.","non-dropping-particle":"","parse-names":false,"suffix":""},{"dropping-particle":"","family":"Pogatzki-Zahn","given":"E.","non-dropping-particle":"","parse-names":false,"suffix":""},{"dropping-particle":"","family":"Raeder","given":"J.","non-dropping-particle":"","parse-names":false,"suffix":""},{"dropping-particle":"","family":"Beloeil","given":"H.","non-dropping-particle":"","parse-names":false,"suffix":""},{"dropping-particle":"","family":"Albrecht","given":"E.","non-dropping-particle":"","parse-names":false,"suffix":""},{"dropping-particle":"","family":"Beloeil","given":"H.","non-dropping-particle":"","parse-names":false,"suffix":""},{"dropping-particle":"","family":"Bonnet","given":"F.","non-dropping-particle":"","parse-names":false,"suffix":""},{"dropping-particle":"","family":"Freys","given":"S.","non-dropping-particle":"","parse-names":false,"suffix":""},{"dropping-particle":"","family":"Joshi","given":"G. P.","non-dropping-particle":"","parse-names":false,"suffix":""},{"dropping-particle":"","family":"Kehlet","given":"H.","non-dropping-particle":"","parse-names":false,"suffix":""},{"dropping-particle":"","family":"Lavand’homme","given":"P.","non-dropping-particle":"","parse-names":false,"suffix":""},{"dropping-particle":"","family":"Lirk","given":"P.","non-dropping-particle":"","parse-names":false,"suffix":""},{"dropping-particle":"","family":"Lobo","given":"D.","non-dropping-particle":"","parse-names":false,"suffix":""},{"dropping-particle":"","family":"Pogatzki-Zahn","given":"E.","non-dropping-particle":"","parse-names":false,"suffix":""},{"dropping-particle":"","family":"Rawal","given":"N.","non-dropping-particle":"","parse-names":false,"suffix":""},{"dropping-particle":"","family":"Raeder","given":"J.","non-dropping-particle":"","parse-names":false,"suffix":""},{"dropping-particle":"","family":"Sauter","given":"A.","non-dropping-particle":"","parse-names":false,"suffix":""},{"dropping-particle":"","family":"Schug","given":"S.","non-dropping-particle":"","parse-names":false,"suffix":""},{"dropping-particle":"","family":"Velde","given":"M.","non-dropping-particle":"van de","parse-names":false,"suffix":""}],"container-title":"Anaesthesia","id":"ITEM-1","issue":"7","issued":{"date-parts":[["2021"]]},"page":"947-961","title":"PROSPECT guideline for tonsillectomy: systematic review and procedure-specific postoperative pain management recommendations","type":"article-journal","volume":"76"},"uris":["http://www.mendeley.com/documents/?uuid=e172f384-2a8d-461a-b40a-e6bf446587dd"]}],"mendeley":{"formattedCitation":"&lt;sup&gt;10&lt;/sup&gt;","plainTextFormattedCitation":"10","previouslyFormattedCitation":"&lt;sup&gt;10&lt;/sup&gt;"},"properties":{"noteIndex":0},"schema":"https://github.com/citation-style-language/schema/raw/master/csl-citation.json"}</w:instrText>
      </w:r>
      <w:r>
        <w:rPr>
          <w:lang w:val="id-ID"/>
        </w:rPr>
        <w:fldChar w:fldCharType="separate"/>
      </w:r>
      <w:r>
        <w:rPr>
          <w:noProof/>
          <w:vertAlign w:val="superscript"/>
          <w:lang w:val="id-ID"/>
        </w:rPr>
        <w:t>10</w:t>
      </w:r>
      <w:r>
        <w:rPr>
          <w:lang w:val="id-ID"/>
        </w:rPr>
        <w:fldChar w:fldCharType="end"/>
      </w:r>
      <w:r>
        <w:rPr>
          <w:lang w:val="id-ID"/>
        </w:rPr>
        <w:t xml:space="preserve"> </w:t>
      </w:r>
      <w:r>
        <w:rPr>
          <w:rFonts w:eastAsiaTheme="minorEastAsia"/>
          <w:lang w:val="id-ID"/>
        </w:rPr>
        <w:t>Adanya</w:t>
      </w:r>
      <w:r w:rsidRPr="00F426C1">
        <w:rPr>
          <w:rFonts w:eastAsiaTheme="minorEastAsia"/>
          <w:lang w:val="id-ID"/>
        </w:rPr>
        <w:t xml:space="preserve"> kekhawatiran tentang penggunaan opioid yang berlebihan dan efek sampingnya yang tidak diinginkan</w:t>
      </w:r>
      <w:r>
        <w:rPr>
          <w:rFonts w:eastAsiaTheme="minorEastAsia"/>
          <w:lang w:val="id-ID"/>
        </w:rPr>
        <w:t xml:space="preserve"> juga dilakukan </w:t>
      </w:r>
      <w:r w:rsidRPr="00F426C1">
        <w:rPr>
          <w:rFonts w:eastAsiaTheme="minorEastAsia"/>
          <w:lang w:val="id-ID"/>
        </w:rPr>
        <w:t xml:space="preserve">strategi anestesi multimodal </w:t>
      </w:r>
      <w:r>
        <w:rPr>
          <w:rFonts w:eastAsiaTheme="minorEastAsia"/>
          <w:lang w:val="id-ID"/>
        </w:rPr>
        <w:t xml:space="preserve">yaitu </w:t>
      </w:r>
      <w:r w:rsidRPr="00F426C1">
        <w:rPr>
          <w:rFonts w:eastAsiaTheme="minorEastAsia"/>
          <w:lang w:val="id-ID"/>
        </w:rPr>
        <w:t>obat tambahan dapat mencakup agen dengan target sistem saraf pusat spesifik</w:t>
      </w:r>
      <w:r>
        <w:rPr>
          <w:rFonts w:eastAsiaTheme="minorEastAsia"/>
          <w:lang w:val="id-ID"/>
        </w:rPr>
        <w:t>. P</w:t>
      </w:r>
      <w:r w:rsidRPr="00374F09">
        <w:rPr>
          <w:rFonts w:eastAsiaTheme="minorEastAsia"/>
          <w:lang w:val="id-ID"/>
        </w:rPr>
        <w:t xml:space="preserve">endekatan multimodal </w:t>
      </w:r>
      <w:r>
        <w:rPr>
          <w:rFonts w:eastAsiaTheme="minorEastAsia"/>
          <w:lang w:val="id-ID"/>
        </w:rPr>
        <w:t xml:space="preserve">dapat </w:t>
      </w:r>
      <w:r w:rsidRPr="00374F09">
        <w:rPr>
          <w:rFonts w:eastAsiaTheme="minorEastAsia"/>
          <w:lang w:val="id-ID"/>
        </w:rPr>
        <w:t>memaksimalkan rasio manfaat-efek samping.</w:t>
      </w:r>
      <w:r>
        <w:rPr>
          <w:rFonts w:eastAsiaTheme="minorEastAsia"/>
          <w:lang w:val="en-US"/>
        </w:rPr>
        <w:fldChar w:fldCharType="begin" w:fldLock="1"/>
      </w:r>
      <w:r w:rsidRPr="00374F09">
        <w:rPr>
          <w:rFonts w:eastAsiaTheme="minorEastAsia"/>
          <w:lang w:val="id-ID"/>
        </w:rPr>
        <w:instrText>ADDIN CSL_CITATION {"citationItems":[{"id":"ITEM-1","itemData":{"DOI":"10.1213/ANE.0000000000003668","ISBN":"0000000000","ISSN":"15267598","PMID":"30252709","abstract":"Balanced general anesthesia, the most common management strategy used in anesthesia care, entails the administration of different drugs together to create the anesthetic state. Anesthesiologists developed this approach to avoid sole reliance on ether for general anesthesia maintenance. Balanced general anesthesia uses less of each drug than if the drug were administered alone, thereby increasing the likelihood of its desired effects and reducing the likelihood of its side effects. To manage nociception intraoperatively and pain postoperatively, the current practice of balanced general anesthesia relies almost exclusively on opioids. While opioids are the most effective antinociceptive agents, they have undesirable side effects. Moreover, overreliance on opioids has contributed to the opioid epidemic in the United States. Spurred by concern of opioid overuse, balanced general anesthesia strategies are now using more agents to create the anesthetic state. Under these approaches, called \"multimodal general anesthesia,\" the additional drugs may include agents with specific central nervous system targets such as dexmedetomidine and ones with less specific targets, such as magnesium. It is postulated that use of more agents at smaller doses furt</w:instrText>
      </w:r>
      <w:r>
        <w:rPr>
          <w:rFonts w:eastAsiaTheme="minorEastAsia"/>
          <w:lang w:val="en-US"/>
        </w:rPr>
        <w:instrText>her maximizes desired effects while minimizing side effects. Although this approach appears to maximize the benefit-to-side effect ratio, no rational strategy has been provided for choosing the drug combinations. Nociception induced by surgery is the primary reason for placing a patient in a state of general anesthesia. Hence, any rational strategy should focus on nociception control intraoperatively and pain control postoperatively. In this Special Article, we review the anatomy and physiology of the nociceptive and arousal circuits, and the mechanisms through which commonly used anesthetics and anesthetic adjuncts act in these systems. We propose a rational strategy for multimodal general anesthesia predicated on choosing a combination of agents that act at different targets in the nociceptive system to control nociception intraoperatively and pain postoperatively. Because these agents also decrease arousal, the doses of hypnotics and/or inhaled ethers needed to control unconsciousness are reduced. Effective use of this strategy requires simultaneous monitoring of antinociception and level of unconsciousness. We illustrate the application of this strategy by summarizing anesthetic management for 4 representative surg…","author":[{"dropping-particle":"","family":"Brown","given":"Emery N.","non-dropping-particle":"","parse-names":false,"suffix":""},{"dropping-particle":"","family":"Pavone","given":"Kara J.","non-dropping-particle":"","parse-names":false,"suffix":""},{"dropping-particle":"","family":"Naranjo","given":"Marusa","non-dropping-particle":"","parse-names":false,"suffix":""}],"container-title":"Anesthesia and Analgesia","id":"ITEM-1","issue":"5","issued":{"date-parts":[["2018"]]},"page":"1246-1258","title":"Multimodal general anesthesia: Theory and practice","type":"article-journal","volume":"127"},"uris":["http://www.mendeley.com/documents/?uuid=22822377-e8f4-430a-a304-7f758e803ec1"]}],"mendeley":{"formattedCitation":"&lt;sup&gt;4&lt;/sup&gt;","plainTextFormattedCitation":"4","previouslyFormattedCitation":"&lt;sup&gt;4&lt;/sup&gt;"},"properties":{"noteIndex":0},"schema":"https://github.com/citation-style-language/schema/raw/master/csl-citation.json"}</w:instrText>
      </w:r>
      <w:r>
        <w:rPr>
          <w:rFonts w:eastAsiaTheme="minorEastAsia"/>
          <w:lang w:val="en-US"/>
        </w:rPr>
        <w:fldChar w:fldCharType="separate"/>
      </w:r>
      <w:r>
        <w:rPr>
          <w:rFonts w:eastAsiaTheme="minorEastAsia"/>
          <w:noProof/>
          <w:vertAlign w:val="superscript"/>
          <w:lang w:val="en-US"/>
        </w:rPr>
        <w:t>4</w:t>
      </w:r>
      <w:r>
        <w:rPr>
          <w:rFonts w:eastAsiaTheme="minorEastAsia"/>
          <w:lang w:val="en-US"/>
        </w:rPr>
        <w:fldChar w:fldCharType="end"/>
      </w:r>
      <w:r>
        <w:rPr>
          <w:rFonts w:eastAsiaTheme="minorEastAsia"/>
          <w:lang w:val="id-ID"/>
        </w:rPr>
        <w:t xml:space="preserve"> </w:t>
      </w:r>
      <w:r>
        <w:t>Saat ini</w:t>
      </w:r>
      <w:r>
        <w:rPr>
          <w:lang w:val="id-ID"/>
        </w:rPr>
        <w:t xml:space="preserve"> </w:t>
      </w:r>
      <w:r>
        <w:t xml:space="preserve">ada banyak penelitian yang mencoba mengidentifikasi </w:t>
      </w:r>
      <w:r>
        <w:rPr>
          <w:lang w:val="id-ID"/>
        </w:rPr>
        <w:t>pengurangan penggunaan</w:t>
      </w:r>
      <w:r>
        <w:t xml:space="preserve"> opioid untuk tonsilektomi menggunakan berbagai jenis strategi analgesia termasuk </w:t>
      </w:r>
      <w:r>
        <w:rPr>
          <w:lang w:val="id-ID"/>
        </w:rPr>
        <w:t>levo</w:t>
      </w:r>
      <w:r>
        <w:t>bupiva</w:t>
      </w:r>
      <w:r>
        <w:rPr>
          <w:lang w:val="id-ID"/>
        </w:rPr>
        <w:t>c</w:t>
      </w:r>
      <w:r>
        <w:t>ain</w:t>
      </w:r>
      <w:r>
        <w:rPr>
          <w:lang w:val="id-ID"/>
        </w:rPr>
        <w:t>e</w:t>
      </w:r>
      <w:r>
        <w:t xml:space="preserve"> isobarik infiltrasi, dan dexmedetomidine.</w:t>
      </w:r>
      <w:r>
        <w:fldChar w:fldCharType="begin" w:fldLock="1"/>
      </w:r>
      <w:r>
        <w:instrText>ADDIN CSL_CITATION {"citationItems":[{"id":"ITEM-1","itemData":{"DOI":"10.1213/ANE.0000000000003309","ISBN":"0000000000","ISSN":"15267598","PMID":"29481438","abstract":"Recent concerns have been raised about the quality and safety of adenotonsillectomy, a common surgery performed to treat obstructive sleep apnea (OSA) in children. OSA is a risk factor for opioid-related perioperative respiratory complications including those associated with anoxic brain injury or death. Our objective was to identify controversial issues related to the care of children with OSA. A standardized Delphi consensus technique involving an interdisciplinary group of 24 pediatric OSA experts identified 3 key issues: “postoperative disposition, preoperative screening, and pain management.” These topics are prime candidates for future systematic reviews and will guide Society of Anesthesia and Sleep Medicine-related research endeavors.","author":[{"dropping-particle":"","family":"Murto","given":"Kimmo T.","non-dropping-particle":"","parse-names":false,"suffix":""},{"dropping-particle":"","family":"Chen","given":"Wesley","non-dropping-particle":"","parse-names":false,"suffix":""},{"dropping-particle":"","family":"Katz","given":"Sherri L.","non-dropping-particle":"","parse-names":false,"suffix":""},{"dropping-particle":"","family":"Schwengel","given":"Deborah A.","non-dropping-particle":"","parse-names":false,"suffix":""},{"dropping-particle":"","family":"Elden","given":"Lisa M.","non-dropping-particle":"","parse-names":false,"suffix":""},{"dropping-particle":"","family":"Belani","given":"Kumar G.","non-dropping-particle":"","parse-names":false,"suffix":""},{"dropping-particle":"","family":"Gozal","given":"David","non-dropping-particle":"","parse-names":false,"suffix":""}],"container-title":"Anesthesia and Analgesia","id":"ITEM-1","issue":"1","issued":{"date-parts":[["2018"]]},"page":"198-201","title":"Research needs assessment for children with obstructive sleep apnea undergoing diagnostic or surgical procedures","type":"article-journal","volume":"127"},"uris":["http://www.mendeley.com/documents/?uuid=c1d07b5b-adef-4aa5-bd17-60eb3ede176a"]},{"id":"ITEM-2","itemData":{"DOI":"10.1016/j.amjoto.2019.02.007","ISSN":"1532818X","PMID":"30803808","abstract":"Importance: Pediatric tonsillectomy is a common procedure now being performed most often for patients with obstructive sleep apnea, which has been associated with increased sensitivity to the respiratory side effects of opioid medications. This study investigates a strategy to decrease the use of opiate medications in a particularly vulnerable population. Objective: Describe an interdisciplinary approach between Otolaryngologists and Anesthesiologists to decrease opiate use in tonsillectomy patients. Demonstrate safety of this protocol. Evaluate the effect of the protocol on intraoperative need for opiate medications and inhaled anesthetic use. Perform cost analysis of the protocol. Design: Retrospective case-control study with cost analysis. Setting: Tertiary Care Hospital. Participants: Pediatric patients undergoing tonsillectomy at a tertiary care hospital. Interventions: Preoperative and intraoperative dexmedetomidine with local bupivacaine injection into the tonsillar fossa. Measures: Intraoperative need for sevoflurane, opiate, and propofol. Post-operative pain scores, and utilization of post-operative opiate, acetaminophen, and ibuprofen pain medications. Post-operative adverse events. Cost analysis of protocol. Results: This protocol led to a decrease in intraoperative opiate use by 49.6%, a decrease in intraoperative sevofluorane use by 18%, and a lower reported maximum post-operative pain score without any increase in adverse events. The protocol added a small increase in medication cost of $4.07 to each procedure. Conclusion: The use of dexmedetomidine and local anesthetic in pediatric tonsillectomy is a safe and effective protocol that allows for the reduction of opiate use and improved post-operative pain control. Key points: Question: Can the combination of dexmedetomidine and infiltration of local anesthetic reduce overall opioid use for peediatric patients undergoing tonsillectomy? Findings: In this case-control study, use of dexmedetomidine and local anesthetic injected into the tonsillar fossa led to a decrease in intraoperative opiate use by 49.6%, a decrease in intraoperative sevofluorane use by 18%, and a lower reported maximum pain score without an increase in adverse events. Meaning: Use of dexmedetomidine and local anesthetic as anesthetic adjuncts may help reduce need for intraoperative opiates and decrease the use of volatile anesthetic agents in pediatric tonsillectomy patients, which are undesirable medications in the pediatr…","author":[{"dropping-particle":"","family":"DeHart","given":"Austin N.","non-dropping-particle":"","parse-names":</w:instrText>
      </w:r>
      <w:r>
        <w:rPr>
          <w:lang w:eastAsia="zh-CN"/>
        </w:rPr>
        <w:instrText>false,"suffix":""},{"dropping-particle":"","family":"Potter","given":"Jessica","non-dropping-particle":"","parse-names":false,"suffix":""},{"dropping-particle":"","family":"Anderson","given":"Justin","non-dropping-particle":"","parse-names":false,"suffix":""},{"dropping-particle":"","family":"Russo-Menna","given":"Iolanda","non-dropping-particle":"","parse-names":false,"suffix":""},{"dropping-particle":"","family":"Lee","given":"Jong Hyung","non-dropping-particle":"","parse-names":false,"suffix":""},{"dropping-particle":"","family":"Chapman","given":"Derek A.","non-dropping-particle":"","parse-names":false,"suffix":""},{"dropping-particle":"","family":"Dodson","given":"Kelley M.","non-dropping-particle":"","parse-names":false,"suffix":""}],"container-title":"American Journal of Otolaryngology - Head and Neck Medicine and Surgery","id":"ITEM-2","issue":"3","issued":{"date-parts":[["2019"]]},"page":"382-388","publisher":"Elsevier","title":"Perioperative interdisciplinary approach for reduction of opioid use in pediatric tonsillectomy: Protocol using dexmedetomidine and bupivicaine as adjunct agents","type":"article-journal","volume":"40"},"uris":["http://www.mendeley.com/documents/?uuid=9e708259-c1e5-4756-818b-a286316b4839"]}],"mendeley":{"formattedCitation":"&lt;sup&gt;5,11&lt;/sup&gt;","plainTextFormattedCitation":"5,11","previouslyFormattedCitation":"&lt;sup&gt;5,11&lt;/sup&gt;"},"properties":{"noteIndex":0},"schema":"https://github.com/citation-style-language/schema/raw/master/csl-citation.json"}</w:instrText>
      </w:r>
      <w:r>
        <w:fldChar w:fldCharType="separate"/>
      </w:r>
      <w:r>
        <w:rPr>
          <w:noProof/>
          <w:vertAlign w:val="superscript"/>
          <w:lang w:eastAsia="zh-CN"/>
        </w:rPr>
        <w:t>5,11</w:t>
      </w:r>
      <w:r>
        <w:fldChar w:fldCharType="end"/>
      </w:r>
    </w:p>
    <w:p w14:paraId="3C607102" w14:textId="77777777" w:rsidR="003B79BC" w:rsidRDefault="00000000">
      <w:pPr>
        <w:pStyle w:val="Bibliography1"/>
        <w:tabs>
          <w:tab w:val="left" w:pos="0"/>
        </w:tabs>
        <w:spacing w:line="360" w:lineRule="auto"/>
        <w:ind w:firstLine="567"/>
        <w:jc w:val="both"/>
        <w:rPr>
          <w:color w:val="000000" w:themeColor="text1"/>
          <w:lang w:val="id-ID"/>
        </w:rPr>
      </w:pPr>
      <w:r w:rsidRPr="00374F09">
        <w:rPr>
          <w:color w:val="000000"/>
          <w:lang w:val="id-ID" w:eastAsia="zh-CN"/>
        </w:rPr>
        <w:t xml:space="preserve">Anestesi lokal dalam bentuk infiltrasi peritonsiler prainsisi atau pascainsisi </w:t>
      </w:r>
      <w:r>
        <w:rPr>
          <w:color w:val="000000"/>
          <w:lang w:val="id-ID" w:eastAsia="zh-CN"/>
        </w:rPr>
        <w:t xml:space="preserve">dinyatakan sebagai </w:t>
      </w:r>
      <w:r w:rsidRPr="00374F09">
        <w:rPr>
          <w:color w:val="000000"/>
          <w:lang w:val="id-ID" w:eastAsia="zh-CN"/>
        </w:rPr>
        <w:t>metode yang paling efektif untuk manajemen nyeri pascatonsilektomi</w:t>
      </w:r>
      <w:r>
        <w:rPr>
          <w:color w:val="000000"/>
          <w:lang w:val="id-ID" w:eastAsia="zh-CN"/>
        </w:rPr>
        <w:t>.</w:t>
      </w:r>
      <w:r>
        <w:rPr>
          <w:color w:val="000000"/>
          <w:lang w:val="id-ID"/>
        </w:rPr>
        <w:fldChar w:fldCharType="begin" w:fldLock="1"/>
      </w:r>
      <w:r>
        <w:rPr>
          <w:color w:val="000000"/>
          <w:lang w:val="id-ID" w:eastAsia="zh-CN"/>
        </w:rPr>
        <w:instrText>ADDIN CSL_CITATION {"citationItems":[{"id":"ITEM-1","itemData":{"DOI":"10.1007/s12070-020-02252-7","ISSN":"09737707","abstract":"Tonsillectomy is one of the common surgeries performed by Otorhinolaryngologists and is associated with several morbidities with pain being the commonest, which can cause considerable delay in oral intake and discharge from the hospital. As a commonly performed day care procedure nowadays, pain control is much better than what it used to be previously observed. Therefore newer drugs are being constantly studied inorder to give better analgesia and post operative comfort to the patient with minimal side effects. The main obstacle being finding the best medical method to control pain with minimum side effects, but at the same time making sure that the patient is adequately hydrated and they resume regular eating as soon as possible. Our aim is to study the role of pre-incisional 0.5% bupivacaine versus normal saline infiltration in post-tonsillectomy analgesia. Over a period of 1 year, 30 patients with each group of 15 were compared for the efficacy of 0.5% bupivacaine and 0.9% normal saline in post-operative tonsillectomy pain management. After thorough clinical examination and investigations, all patients underwent tonsillectomy by dissection and snare method. After intubation, 0.</w:instrText>
      </w:r>
      <w:r>
        <w:rPr>
          <w:color w:val="000000"/>
          <w:lang w:val="id-ID"/>
        </w:rPr>
        <w:instrText>5% bupivacaine or normal saline was infiltrated in the tonsillar fossa and pain scores was obtained using Visual Analogue Scale (V.A.S) at 6, 12 and 24 h post operatively. Using Mann–Whitney non-parametric statistical test, inter-group analysis was done which showed highly significant p-value (&lt;0.0001) indicating that the pre-incisional bupivacaine infiltration is highly effective in reducing the post-tonsillectomy pain. Hence, we recommend the routine use of pre-incisional peritonsillar infiltration of 0.5% bupivacaine in all tonsillectomy/adenotonsillectomy cases, irrespective of the age of the patient to reduce the post tonsillectomy pain and other discomfort associated with it.","author":[{"dropping-particle":"","family":"Ankle","given":"Nitin R.","non-dropping-particle":"","parse-names":false,"suffix":""},{"dropping-particle":"","family":"Yeramalla","given":"Vijay","non-dropping-particle":"","parse-names":false,"suffix":""},{"dropping-particle":"","family":"Havaldar","given":"Rajesh Radhakrishna","non-dropping-particle":"","parse-names":false,"suffix":""}],"container-title":"Indian Journal of Otolaryngology and Head and Neck Surgery","id":"ITEM-1","issue":"October 2021","issued":{"date-parts":[["2022"]]},"page":"5296-5300","publisher":"Springer India","title":"Role of Pre-incisional Bupivacaine Infiltration in Post-tonsillectomy Analgesia","type":"article-journal","volume":"74"},"uris":["http://www.mendeley.com/documents/?uuid=7d33f890-612f-4fe8-adc5-5ba6ea5050cc"]}],"mendeley":{"formattedCitation":"&lt;sup&gt;12&lt;/sup&gt;","plainTextFormattedCitation":"12","previouslyFormattedCitation":"&lt;sup&gt;12&lt;/sup&gt;"},"properties":{"noteIndex":0},"schema":"https://github.com/citation-style-language/schema/raw/master/csl-citation.json"}</w:instrText>
      </w:r>
      <w:r>
        <w:rPr>
          <w:color w:val="000000"/>
          <w:lang w:val="id-ID"/>
        </w:rPr>
        <w:fldChar w:fldCharType="separate"/>
      </w:r>
      <w:r>
        <w:rPr>
          <w:noProof/>
          <w:color w:val="000000"/>
          <w:vertAlign w:val="superscript"/>
          <w:lang w:val="id-ID"/>
        </w:rPr>
        <w:t>12</w:t>
      </w:r>
      <w:r>
        <w:rPr>
          <w:color w:val="000000"/>
          <w:lang w:val="id-ID"/>
        </w:rPr>
        <w:fldChar w:fldCharType="end"/>
      </w:r>
      <w:r>
        <w:rPr>
          <w:color w:val="000000"/>
          <w:lang w:val="id-ID"/>
        </w:rPr>
        <w:t xml:space="preserve"> </w:t>
      </w:r>
      <w:r>
        <w:rPr>
          <w:lang w:val="id-ID"/>
        </w:rPr>
        <w:t>Infiltrasi peritonsil</w:t>
      </w:r>
      <w:r w:rsidRPr="00374F09">
        <w:rPr>
          <w:lang w:val="id-ID"/>
        </w:rPr>
        <w:t>e</w:t>
      </w:r>
      <w:r>
        <w:rPr>
          <w:lang w:val="id-ID"/>
        </w:rPr>
        <w:t xml:space="preserve">r preincisional dengan levobupivakain sebelum tonsilektomi, </w:t>
      </w:r>
      <w:r>
        <w:rPr>
          <w:color w:val="000000" w:themeColor="text1"/>
          <w:lang w:val="id-ID"/>
        </w:rPr>
        <w:t>lebih efektif daripada saline, dalam mengurangi nyeri awal pasca tonsilektomi. Dibandingkan dengan saline, penggunaan levobupivakain menurunkan penggunaan analgesia.</w:t>
      </w:r>
      <w:r>
        <w:rPr>
          <w:color w:val="000000" w:themeColor="text1"/>
          <w:lang w:val="id-ID"/>
        </w:rPr>
        <w:fldChar w:fldCharType="begin" w:fldLock="1"/>
      </w:r>
      <w:r>
        <w:rPr>
          <w:color w:val="000000" w:themeColor="text1"/>
          <w:lang w:val="id-ID"/>
        </w:rPr>
        <w:instrText>ADDIN CSL_CITATION {"citationItems":[{"id":"ITEM-1","itemData":{"DOI":"10.1016/j.ijporl.2010.11.015","ISSN":"01655876","PMID":"21168923","abstract":"Objectives: To compare the effects of preincisional peritonsillar infiltration of levobupivacaine and bupivacaine on post-tonsillectomy pain in children. Methods: Sixty children undergoing elective tonsillectomy or adenotonsillectomy were randomly allocated into three groups before tonsillectomy: peritonsillar infiltrations with 0.25% levobupivacaine with 1:200,000 epinephrine (group levobupivacaine, n= 20), 0.25% bupivacaine with 1:200,000 epinephrine (group bupivacaine, n= 20), and normal saline (group saline, n= 20) were applied. Pain was evaluated by using a modified Children's Hospital of Eastern Ontario Pain Scale (mCHEOPS). Choice of additional analgesic was acetaminophen for all patients. Results: mCHEOPS values at 0th (immediately) and 30th minute after arrival the PACU were lower in both the local anesthetics groups than the saline group (p&lt; 0.001, p&lt; 0.01 for the group levobupivacaine; p&lt; 0.001, p&lt; 0.05 for the group bupivacaine, respectively). In addition, mCHEOPS values at 1st hour in the ward was lower in the group bupivacaine when compared to the group saline (p&lt; 0.05). Analgesic requirements and the time to first analgesia required, were also significantly different between the local anesthetic and saline groups (p&lt; 0.05 for both local anesthetics groups). Time to first mobilization was shorter in both local anesthetic groups when compared to the saline group (p&lt; 0.05 for both local anesthetic groups). Conclusion: Preincisional peritonsillar infiltration with levobupivacaine or bupivacaine before tonsillectomy, are effective than saline, in reducing early post-tonsillectomy pain, where as bupivacaine had slightly longer effect. Compared to saline, with both anesthetic infiltrations, lesser medication for analgesia is required. The clinical trial registration number (Research Ethics Committee of Medical Faculty, Uludag University): 2008-4/36, 19 February 2008. © 2010 Elsevier Ireland Ltd.","author":[{"dropping-particle":"","family":"Kasapoglu","given":"Fikret","non-dropping-particle":"","parse-names":false,"suffix":""},{"dropping-particle":"","family":"Kaya","given":"Fatma Nur","non-dropping-particle":"","parse-names":false,"suffix":""},{"dropping-particle":"","family":"Tuzemen","given":"Gokhan","non-dropping-particle":"","parse-names":false,"suffix":""},{"dropping-particle":"","family":"Ozmen","given":"Omer Afsin","non-dropping-particle":"","parse-names":false,"suffix":""},{"dropping-particle":"","family":"Kaya","given":"Atila","non-dropping-particle":"","parse-names":false,"suffix":""},{"dropping-particle":"","family":"Onart","given":"Selcuk","non-dropping-particle":"","parse-names":false,"suffix":""}],"container-title":"International Journal of Pediatric Otorhinolaryngology","id":"ITEM-1","issue":"3","issued":{"date-parts":[["2011"]]},"page":"322-326","publisher":"Elsevier Ireland Ltd","title":"Comparison of peritonsillar levobupivacaine and bupivacaine infiltration for post-tonsillectomy pain relief in children: Placebo-controlled clinical study","type":"article-journal","volume":"75"},"uris":["http://www.mendeley.com/documents/?uuid=f0d12eb6-fcb0-4166-964b-b766f03e22ae"]}],"mendeley":{"formattedCitation":"&lt;sup&gt;13&lt;/sup&gt;","plainTextFormattedCitation":"13","previouslyFormattedCitation":"&lt;sup&gt;13&lt;/sup&gt;"},"properties":{"noteIndex":0},"schema":"https://github.com/citation-style-language/schema/raw/master/csl-citation.json"}</w:instrText>
      </w:r>
      <w:r>
        <w:rPr>
          <w:color w:val="000000" w:themeColor="text1"/>
          <w:lang w:val="id-ID"/>
        </w:rPr>
        <w:fldChar w:fldCharType="separate"/>
      </w:r>
      <w:r>
        <w:rPr>
          <w:noProof/>
          <w:color w:val="000000" w:themeColor="text1"/>
          <w:vertAlign w:val="superscript"/>
          <w:lang w:val="id-ID"/>
        </w:rPr>
        <w:t>13</w:t>
      </w:r>
      <w:r>
        <w:rPr>
          <w:color w:val="000000" w:themeColor="text1"/>
          <w:lang w:val="id-ID"/>
        </w:rPr>
        <w:fldChar w:fldCharType="end"/>
      </w:r>
    </w:p>
    <w:p w14:paraId="5ADC2AF3" w14:textId="77777777" w:rsidR="003B79BC" w:rsidRDefault="00000000">
      <w:pPr>
        <w:pStyle w:val="Bibliography1"/>
        <w:tabs>
          <w:tab w:val="left" w:pos="0"/>
        </w:tabs>
        <w:spacing w:line="360" w:lineRule="auto"/>
        <w:ind w:firstLine="567"/>
        <w:jc w:val="both"/>
        <w:rPr>
          <w:color w:val="000000" w:themeColor="text1"/>
          <w:lang w:val="id-ID"/>
        </w:rPr>
      </w:pPr>
      <w:r>
        <w:rPr>
          <w:color w:val="000000" w:themeColor="text1"/>
          <w:lang w:val="id-ID"/>
        </w:rPr>
        <w:t>Levob</w:t>
      </w:r>
      <w:r w:rsidRPr="00374F09">
        <w:rPr>
          <w:color w:val="000000" w:themeColor="text1"/>
          <w:lang w:val="id-ID"/>
        </w:rPr>
        <w:t>upiva</w:t>
      </w:r>
      <w:r>
        <w:rPr>
          <w:color w:val="000000" w:themeColor="text1"/>
          <w:lang w:val="id-ID"/>
        </w:rPr>
        <w:t>c</w:t>
      </w:r>
      <w:r w:rsidRPr="00374F09">
        <w:rPr>
          <w:color w:val="000000" w:themeColor="text1"/>
          <w:lang w:val="id-ID"/>
        </w:rPr>
        <w:t>ain</w:t>
      </w:r>
      <w:r>
        <w:rPr>
          <w:color w:val="000000" w:themeColor="text1"/>
          <w:lang w:val="id-ID"/>
        </w:rPr>
        <w:t>e</w:t>
      </w:r>
      <w:r w:rsidRPr="00374F09">
        <w:rPr>
          <w:color w:val="000000" w:themeColor="text1"/>
          <w:lang w:val="id-ID"/>
        </w:rPr>
        <w:t xml:space="preserve"> </w:t>
      </w:r>
      <w:r>
        <w:rPr>
          <w:color w:val="000000" w:themeColor="text1"/>
          <w:lang w:val="id-ID"/>
        </w:rPr>
        <w:t xml:space="preserve">adalah </w:t>
      </w:r>
      <w:r w:rsidRPr="00374F09">
        <w:rPr>
          <w:color w:val="000000" w:themeColor="text1"/>
          <w:lang w:val="id-ID"/>
        </w:rPr>
        <w:t xml:space="preserve">s-isomer dari rasemat </w:t>
      </w:r>
      <w:r>
        <w:rPr>
          <w:color w:val="000000" w:themeColor="text1"/>
          <w:lang w:val="id-ID"/>
        </w:rPr>
        <w:t>b</w:t>
      </w:r>
      <w:r w:rsidRPr="00374F09">
        <w:rPr>
          <w:color w:val="000000" w:themeColor="text1"/>
          <w:lang w:val="id-ID"/>
        </w:rPr>
        <w:t>upiva</w:t>
      </w:r>
      <w:r>
        <w:rPr>
          <w:color w:val="000000" w:themeColor="text1"/>
          <w:lang w:val="id-ID"/>
        </w:rPr>
        <w:t>c</w:t>
      </w:r>
      <w:r w:rsidRPr="00374F09">
        <w:rPr>
          <w:color w:val="000000" w:themeColor="text1"/>
          <w:lang w:val="id-ID"/>
        </w:rPr>
        <w:t>ain</w:t>
      </w:r>
      <w:r>
        <w:rPr>
          <w:color w:val="000000" w:themeColor="text1"/>
          <w:lang w:val="id-ID"/>
        </w:rPr>
        <w:t>e</w:t>
      </w:r>
      <w:r w:rsidRPr="00374F09">
        <w:rPr>
          <w:color w:val="000000" w:themeColor="text1"/>
          <w:lang w:val="id-ID"/>
        </w:rPr>
        <w:t>.</w:t>
      </w:r>
      <w:r>
        <w:rPr>
          <w:color w:val="000000" w:themeColor="text1"/>
          <w:lang w:val="en-US"/>
        </w:rPr>
        <w:fldChar w:fldCharType="begin" w:fldLock="1"/>
      </w:r>
      <w:r w:rsidRPr="00374F09">
        <w:rPr>
          <w:color w:val="000000" w:themeColor="text1"/>
          <w:lang w:val="id-ID"/>
        </w:rPr>
        <w:instrText>ADDIN CSL_CITATION {"citationItems":[{"id":"ITEM-1","itemData":{"DOI":"10.7860/JCDR/2016/17344.7079","ISSN":"0973709X","abstract":"Introduction: Levobupivacaine is the s-isomer of racemic Bupivacaine. It is less cardio, neurotoxic and equally potent local anaesthetic compared to its racemate. It is known to cause less Depression of myocardial contractility. Dexmeditomidine when used via epidural route has synergistic effect with local anaesthetics. Majority of patients presenting for vascular surgery are elderly and have associated co-morbidities like diabetes, hypertension, and coronary artery disease. We intend to study safety and efficacy of epidural Levoupivacaine and Dexmedetomidine in this group of patients. Materials and Methods: Sixty adult patients undergoing lower limb vascular surgery under lumbar epidural anaesthesia were randomly allocated to three groups. All groups were preloaded with 10ml/kg of crystalloid solution. B group was scheduled to receive 15 ml of racemic Bupivacaine, L-group was scheduled to receive 15ml of Levobupivacaine and LD-group received 15ml of Levobupivacaine with 0.5 mics/kg Dexmeditomedine. Time to onset of sensory block to T-10, maximum sensory level achieved, Bromage scale, time to two segment regression, time to total regression, sedation level achieved and patients assessment of quality of anaesthesia were assessed. Haemodynamic parameters were monitored throughout study period. Adverse effects were noted and treated appropriately. Results: Baseline parameters were comparable among all the groups. Time to onset of sensory block to T-10 and maximum level of block achieved, was comparable among the groups. Time to two segment regression and time to total regression was significantly prolonged in LD group compared to other two groups. There was significant bradycardia noted in LD group which required treatment. Conclusion: Levobupivacaine can be safely used in elderly high risk patients undergoing vascular surgery. Addition of dexmedetomidine prolongs the duration of anaesthesia and postoperative analgesia.","author":[{"dropping-particle":"","family":"Sathyanarayana","given":"Lakshmi Adalagere","non-dropping-particle":"","parse-names":false,"suffix":""},{"dropping-particle":"","family":"Heggeri","given":"Vijayakumar M.","non-dropping-particle":"","parse-names":false,"suffix":""},{"dropping-particle":"","family":"Simha","given":"Parimala Prasanna","non-dropping-particle":"","parse-names":false,"suffix":""},{"dropping-particle":"","family":"Narasimaiah","given":"Satish","non-dropping-particle":"","parse-names":false,"suffix":""},{"dropping-particle":"","family":"Narasimaiah","given":"Manjunath","non-dropping-particle":"","parse-names":false,"suffix":""},{"dropping-particle":"","family":"Subbarao","given":"Bharathi Katheraguppa","non-dropping-particle":"","parse-names":false,"suffix":""}],"container-title":"Journal of Clinical and Diagnostic Research","id":"ITEM-1","issue":"1","issued":{"date-parts":[["2016"]]},"page":"UC13-UC17","title":"Comparison of epidural bupivacaine, levobupivacaine and dexmedetomidine in patients undergoing vascular surgery","type":"article-journal","volume":"10"},"uris":["http://www.mendeley.com/documents/?uuid=2339d5a9-de4c-49b1-809f-c308dec09d52"]}],"mendeley":{"formattedCitation":"&lt;sup&gt;14&lt;/sup&gt;","plainTextFormattedCitation":"14","previouslyFormattedCitation":"&lt;sup&gt;14&lt;/sup&gt;"},"properties":{"noteIndex":0},"schema":"https://github.com/citation-style-language/schema/raw/master/csl-citation.json"}</w:instrText>
      </w:r>
      <w:r>
        <w:rPr>
          <w:color w:val="000000" w:themeColor="text1"/>
          <w:lang w:val="en-US"/>
        </w:rPr>
        <w:fldChar w:fldCharType="separate"/>
      </w:r>
      <w:r w:rsidRPr="00374F09">
        <w:rPr>
          <w:noProof/>
          <w:color w:val="000000" w:themeColor="text1"/>
          <w:vertAlign w:val="superscript"/>
          <w:lang w:val="id-ID"/>
        </w:rPr>
        <w:t>14</w:t>
      </w:r>
      <w:r>
        <w:rPr>
          <w:color w:val="000000" w:themeColor="text1"/>
          <w:lang w:val="en-US"/>
        </w:rPr>
        <w:fldChar w:fldCharType="end"/>
      </w:r>
      <w:r>
        <w:rPr>
          <w:color w:val="000000" w:themeColor="text1"/>
          <w:lang w:val="id-ID"/>
        </w:rPr>
        <w:t xml:space="preserve"> Levobupivacaine merupakan anestesi lokal dengan potensi tinggi, kerja lama dengan onset kerja yang relatif lambat. Levobupivacaine memiliki kecenderungan lebih rendah untuk memblokir saluran natrium dan kalium yang tidak aktif bersama dengan laju disosiasi yang lebih cepat dibandingkan dengan bentuk rasematnya. Levobupivakain memiliki potensi farmakodinamik yang sama, namun risiko toksisitas kardiovaskular dan sistem syaraf pusat lebih rendah daripada bupivakain.</w:t>
      </w:r>
      <w:r>
        <w:rPr>
          <w:color w:val="000000" w:themeColor="text1"/>
          <w:lang w:val="id-ID"/>
        </w:rPr>
        <w:fldChar w:fldCharType="begin" w:fldLock="1"/>
      </w:r>
      <w:r>
        <w:rPr>
          <w:color w:val="000000" w:themeColor="text1"/>
          <w:lang w:val="id-ID"/>
        </w:rPr>
        <w:instrText>ADDIN CSL_CITATION {"citationItems":[{"id":"ITEM-1","itemData":{"DOI":"10.1016/j.rcae.2016.02.012","ISSN":"22562087","abstract":"Introduction: Levobupivacaine and ropivacaine are relatively new local anaesthetics developed in order to address the issue of bupivacaine toxicity. Although certain differences do exist between their pharmacological profiles, its clinical relevance at equipotent doses is not evident so far. Objective: To compare the efficacy and characteristics of equipotent doses of intrathecal levobupivacaine with ropivacaine. Methodology: Sixty ASA grade I/II patients of 18-60 years, either sex posted for lower limb orthopaedic surgery under spinal anaesthesia were randomly given either 15 mg levobupivacaine or 22.5 mg ropivacaine. Sensory and motor block, haemodynamic characteristics, as well as any side effects, were recorded. Results: Onset of sensory block to T10 was more rapid in group R than group L (P &lt; .0001). The median (range) height achieved in group R was T7 (T5-T10) while in group L was T7 (T4-T10). Time to reach maximum height and time to modified bromage grade 3 was shorter in group R as compared to group L (P &lt; .0001). Levobupivacaine produced significantly longer (290.50 ± 34.67 min) duration of motor block compared to ropivacaine (222.50 ± 23.00 min). Duration of analgesia was significantly longer in group L (309.83 ± 36.45 min) than group R (249.50 ± 22.83). No serious adverse effects were recorded. Conclusion: Levobupivacaine produces significantly longer duration of analgesia than ropivacaine when used in a ratio of 0.6:1. Efficacy, toxicity and haemodynamic profile make ropivacaine suitable agent for surgeries with low threshold for hypotension.","author":[{"dropping-particle":"","family":"Athar","given":"Manazir","non-dropping-particle":"","parse-names":false,"suffix":""},{"dropping-particle":"","family":"Ahmed","given":"Syed Moied","non-dropping-particle":"","parse-names":false,"suffix":""},{"dropping-particle":"","family":"Ali","given":"Shahna","non-dropping-particle":"","parse-names":false,"suffix":""},{"dropping-particle":"","family":"Doley","given":"Kashmiri","non-dropping-particle":"","parse-names":false,"suffix":""},{"dropping-particle":"","family":"Varshney","given":"Ankur","non-dropping-particle":"","parse-names":false,"suffix":""},{"dropping-particle":"","family":"Siddiqi","given":"Mohd. Masood Hussain","non-dropping-particle":"","parse-names":false,"suffix":""}],"container-title":"Colombian Journal of Anesthesiology","id":"ITEM-1","issue":"2","issued":{"date-parts":[["2016"]]},"page":"97-104","publisher":"Sociedad Colombiana de Anestesiología y Reanimación","title":"Levobupivacaine or ropivacaine: A randomised double blind controlled trial using equipotent doses in spinal anaesthesia","type":"article-journal","volume":"44"},"uris":["http://www.mendeley.com/documents/?uuid=4e704a53-7a57-4650-8281-976b244f659a"]}],"mendeley":{"formattedCitation":"&lt;sup&gt;15&lt;/sup&gt;","plainTextFormattedCitation":"15","previouslyFormattedCitation":"&lt;sup&gt;15&lt;/sup&gt;"},"properties":{"noteIndex":0},"schema":"https://github.com/citation-style-language/schema/raw/master/csl-citation.json"}</w:instrText>
      </w:r>
      <w:r>
        <w:rPr>
          <w:color w:val="000000" w:themeColor="text1"/>
          <w:lang w:val="id-ID"/>
        </w:rPr>
        <w:fldChar w:fldCharType="separate"/>
      </w:r>
      <w:r>
        <w:rPr>
          <w:noProof/>
          <w:color w:val="000000" w:themeColor="text1"/>
          <w:vertAlign w:val="superscript"/>
          <w:lang w:val="id-ID"/>
        </w:rPr>
        <w:t>15</w:t>
      </w:r>
      <w:r>
        <w:rPr>
          <w:color w:val="000000" w:themeColor="text1"/>
          <w:lang w:val="id-ID"/>
        </w:rPr>
        <w:fldChar w:fldCharType="end"/>
      </w:r>
      <w:r>
        <w:rPr>
          <w:color w:val="000000" w:themeColor="text1"/>
          <w:lang w:val="id-ID"/>
        </w:rPr>
        <w:t xml:space="preserve"> Mekanisme kerja dengan </w:t>
      </w:r>
      <w:r w:rsidRPr="00F426C1">
        <w:rPr>
          <w:color w:val="000000" w:themeColor="text1"/>
          <w:lang w:val="id-ID"/>
        </w:rPr>
        <w:t>berinteraksi dengan reseptor yang terletak di dalam saluran Na</w:t>
      </w:r>
      <w:r w:rsidRPr="00F426C1">
        <w:rPr>
          <w:color w:val="000000" w:themeColor="text1"/>
          <w:vertAlign w:val="superscript"/>
          <w:lang w:val="id-ID"/>
        </w:rPr>
        <w:t>+</w:t>
      </w:r>
      <w:r w:rsidRPr="00F426C1">
        <w:rPr>
          <w:color w:val="000000" w:themeColor="text1"/>
          <w:lang w:val="id-ID"/>
        </w:rPr>
        <w:t xml:space="preserve"> yang peka terhadap tegangan dan meningkatkan ambang pembukaan saluran. </w:t>
      </w:r>
      <w:r w:rsidRPr="00F426C1">
        <w:rPr>
          <w:color w:val="000000" w:themeColor="text1"/>
          <w:lang w:val="pt-BR"/>
        </w:rPr>
        <w:t>Permeabilitas Na</w:t>
      </w:r>
      <w:r w:rsidRPr="00F426C1">
        <w:rPr>
          <w:color w:val="000000" w:themeColor="text1"/>
          <w:vertAlign w:val="superscript"/>
          <w:lang w:val="pt-BR"/>
        </w:rPr>
        <w:t>+</w:t>
      </w:r>
      <w:r w:rsidRPr="00F426C1">
        <w:rPr>
          <w:color w:val="000000" w:themeColor="text1"/>
          <w:lang w:val="pt-BR"/>
        </w:rPr>
        <w:t xml:space="preserve"> gagal meningkat sebagai respons terhadap </w:t>
      </w:r>
      <w:r w:rsidRPr="00F426C1">
        <w:rPr>
          <w:color w:val="000000" w:themeColor="text1"/>
          <w:lang w:val="pt-BR"/>
        </w:rPr>
        <w:lastRenderedPageBreak/>
        <w:t>stimulus dan konduksi impuls terputus ketika saluran Na</w:t>
      </w:r>
      <w:r w:rsidRPr="00F426C1">
        <w:rPr>
          <w:color w:val="000000" w:themeColor="text1"/>
          <w:vertAlign w:val="superscript"/>
          <w:lang w:val="pt-BR"/>
        </w:rPr>
        <w:t>+</w:t>
      </w:r>
      <w:r w:rsidRPr="00F426C1">
        <w:rPr>
          <w:color w:val="000000" w:themeColor="text1"/>
          <w:lang w:val="pt-BR"/>
        </w:rPr>
        <w:t xml:space="preserve"> diblokir.</w:t>
      </w:r>
      <w:r>
        <w:rPr>
          <w:color w:val="000000" w:themeColor="text1"/>
          <w:lang w:val="id-ID"/>
        </w:rPr>
        <w:fldChar w:fldCharType="begin" w:fldLock="1"/>
      </w:r>
      <w:r>
        <w:rPr>
          <w:color w:val="000000" w:themeColor="text1"/>
          <w:lang w:val="id-ID"/>
        </w:rPr>
        <w:instrText>ADDIN CSL_CITATION {"citationItems":[{"id":"ITEM-1","itemData":{"DOI":"10.47210/bjohns.2020.v28i3.318","ISSN":"2395-2393","abstract":"Introduction Tonsillectomy is one of the most commonly performed surgical procedures worldwide, with the major drawback of significant post operative pain.There is no consensus regarding topical application or local infiltration of anesthetics post operatively to reduce pain. The present study was performed to evaluate the effect of bupivacaine infiltration in the tonsillar fossae after tonsillectomy. Materials and Methods A double-blinded clinical trial was performed on 75 patients undergoing tonsillectomy between January 2019 and January 2020. All patients underwent tonsillectomy under general anesthesia and were then randomly divided into 3 groups of 25 patients each. For Group I, a swab soaked in normal saline was applied to the tonsillar fossae for 5 minutes just before extubation. In Group II, a swab soaked in 5 ml of 0.5% bupivacaine was placed for 5 minutes, while in Group III, 5ml of 0.5% bupivacaine was infiltrated in the tonsillar fossae. The intensity of pain for each group was measured in the immediate post op period, at6 hours, 24 hours and 1 week by Wong Baker Faces Pain Rating Scale. Results There was a significant difference in the mean level of pain between groups I and III in the immediate post op period, at 6 hours and 24 hours. Although the average pain scores of group III were better than those of group II, the results were significant only in the 6 hour post op period. Conclusion To reduce post-tonsillectomy pain,0.5% bupivacaine can be infiltrated into the tonsillar fossa.","author":[{"dropping-particle":"","family":"Rakesh","given":"B.S","non-dropping-particle":"","parse-names":false,"suffix":""},{"dropping-particle":"","family":"Bharathi","given":"M.B","non-dropping-particle":"","parse-names":false,"suffix":""},{"dropping-particle":"","family":"Thanzeemunisa","given":"U","non-dropping-particle":"","parse-names":false,"suffix":""},{"dropping-particle":"De","family":"Kumar","given":"Shankar","non-dropping-particle":"","parse-names":false,"suffix":""},{"dropping-particle":"","family":"Aggarwal","given":"Nitish","non-dropping-particle":"","parse-names":false,"suffix":""}],"container-title":"Bengal Journal of Otolaryngology and Head Neck Surgery","id":"ITEM-1","issue":"3","issued":{"date-parts":[["2021"]]},"page":"228-233","title":"Local Bupivacaine Infiltration to Reduce Pain after Tonsillectomy: A Low Cost Approach","type":"article-journal","volume":"28"},"uris":["http://www.mendeley.com/documents/?uuid=029e0584-67db-4bc4-a8eb-a640af49ea35"]}],"mendeley":{"formattedCitation":"&lt;sup&gt;3&lt;/sup&gt;","plainTextFormattedCitation":"3","previouslyFormattedCitation":"&lt;sup&gt;3&lt;/sup&gt;"},"properties":{"noteIndex":0},"schema":"https://github.com/citation-style-language/schema/raw/master/csl-citation.json"}</w:instrText>
      </w:r>
      <w:r>
        <w:rPr>
          <w:color w:val="000000" w:themeColor="text1"/>
          <w:lang w:val="id-ID"/>
        </w:rPr>
        <w:fldChar w:fldCharType="separate"/>
      </w:r>
      <w:r>
        <w:rPr>
          <w:noProof/>
          <w:color w:val="000000" w:themeColor="text1"/>
          <w:vertAlign w:val="superscript"/>
          <w:lang w:val="id-ID"/>
        </w:rPr>
        <w:t>3</w:t>
      </w:r>
      <w:r>
        <w:rPr>
          <w:color w:val="000000" w:themeColor="text1"/>
          <w:lang w:val="id-ID"/>
        </w:rPr>
        <w:fldChar w:fldCharType="end"/>
      </w:r>
      <w:r>
        <w:rPr>
          <w:color w:val="000000" w:themeColor="text1"/>
          <w:lang w:val="id-ID"/>
        </w:rPr>
        <w:t xml:space="preserve"> Dengan demikian, nyeri menurun </w:t>
      </w:r>
      <w:r w:rsidRPr="00F426C1">
        <w:rPr>
          <w:color w:val="000000" w:themeColor="text1"/>
          <w:lang w:val="id-ID"/>
        </w:rPr>
        <w:t>melalui penggunaan anestesi lokal</w:t>
      </w:r>
      <w:r>
        <w:rPr>
          <w:color w:val="000000" w:themeColor="text1"/>
          <w:lang w:val="id-ID"/>
        </w:rPr>
        <w:t xml:space="preserve"> akibat b</w:t>
      </w:r>
      <w:r w:rsidRPr="00F426C1">
        <w:rPr>
          <w:color w:val="000000" w:themeColor="text1"/>
          <w:lang w:val="id-ID"/>
        </w:rPr>
        <w:t xml:space="preserve">lokade saraf perifer dari impuls nyeri ke sistem saraf pusat selama bedah dapat mencegah pembentukan keadaan hipereksitasi di </w:t>
      </w:r>
      <w:r>
        <w:rPr>
          <w:color w:val="000000" w:themeColor="text1"/>
          <w:lang w:val="id-ID"/>
        </w:rPr>
        <w:t>sistem syaraf pusat</w:t>
      </w:r>
      <w:r w:rsidRPr="00F426C1">
        <w:rPr>
          <w:color w:val="000000" w:themeColor="text1"/>
          <w:lang w:val="id-ID"/>
        </w:rPr>
        <w:t xml:space="preserve"> dan selanjutnya menghasilkan pengurangan nyeri pascabedah.</w:t>
      </w:r>
      <w:r>
        <w:rPr>
          <w:color w:val="000000" w:themeColor="text1"/>
          <w:lang w:val="en-US"/>
        </w:rPr>
        <w:fldChar w:fldCharType="begin" w:fldLock="1"/>
      </w:r>
      <w:r w:rsidRPr="00F426C1">
        <w:rPr>
          <w:color w:val="000000" w:themeColor="text1"/>
          <w:lang w:val="id-ID"/>
        </w:rPr>
        <w:instrText>ADDIN CSL_CITATION {"citationItems":[{"id":"ITEM-1","itemData":{"DOI":"10.5005/jp-journals-10003-1409","ISSN":"0975-444X","author":[{"dropping-particle":"","family":"Thomas","given":"James","non-dropping-particle":"","parse-names":false,"suffix":""},{"dropping-particle":"","family":"Bhatnagar","given":"Aastha","non-dropping-particle":"","parse-names":false,"suffix":""},{"dropping-particle":"V","family":"Satav","given":"Anuja","non-dropping-particle":"","parse-names":false,"suffix":""},{"dropping-particle":"","family":"Kancherla","given":"Srinithya","non-dropping-particle":"","parse-names":false,"suffix":""},{"dropping-particle":"","family":"Prasad","given":"Shubhangi","non-dropping-particle":"","parse-names":false,"suffix":""},{"dropping-particle":"","family":"Pareek","given":"Rajesh","non-dropping-particle":"","parse-names":false,"suffix":""},{"dropping-particle":"","family":"Kakollu","given":"Lakshmisravya","non-dropping-particle":"","parse-names":false,"suffix":""},{"dropping-particle":"","family":"Pawar","given":"Rishikesh","non-dropping-particle":"","parse-names":false,"suffix":""}],"container-title":"An International Journal of Otorhinolaryngology Clinics","id":"ITEM-1","issue":"3","issued":{"d</w:instrText>
      </w:r>
      <w:r>
        <w:rPr>
          <w:color w:val="000000" w:themeColor="text1"/>
          <w:lang w:val="en-US"/>
        </w:rPr>
        <w:instrText>ate-parts":[["2023"]]},"page":"79-81","title":"To Study the Effect of Pre-incisional Infiltration of Ropivacaine for Post-tonsillectomy Pain Relief","type":"article-journal","volume":"14"},"uris":["http://www.mendeley.com/documents/?uuid=71dc88c3-6674-4588-a99b-167792b0d5cd"]}],"mendeley":{"formattedCitation":"&lt;sup&gt;6&lt;/sup&gt;","plainTextFormattedCitation":"6","previouslyFormattedCitation":"&lt;sup&gt;6&lt;/sup&gt;"},"properties":{"noteIndex":0},"schema":"https://github.com/citation-style-language/schema/raw/master/csl-citation.json"}</w:instrText>
      </w:r>
      <w:r>
        <w:rPr>
          <w:color w:val="000000" w:themeColor="text1"/>
          <w:lang w:val="en-US"/>
        </w:rPr>
        <w:fldChar w:fldCharType="separate"/>
      </w:r>
      <w:r w:rsidRPr="00F426C1">
        <w:rPr>
          <w:noProof/>
          <w:color w:val="000000" w:themeColor="text1"/>
          <w:vertAlign w:val="superscript"/>
          <w:lang w:val="pt-BR"/>
        </w:rPr>
        <w:t>6</w:t>
      </w:r>
      <w:r>
        <w:rPr>
          <w:color w:val="000000" w:themeColor="text1"/>
          <w:lang w:val="en-US"/>
        </w:rPr>
        <w:fldChar w:fldCharType="end"/>
      </w:r>
      <w:r>
        <w:rPr>
          <w:color w:val="000000" w:themeColor="text1"/>
          <w:lang w:val="id-ID"/>
        </w:rPr>
        <w:t xml:space="preserve"> </w:t>
      </w:r>
    </w:p>
    <w:p w14:paraId="4B688238" w14:textId="77777777" w:rsidR="003B79BC" w:rsidRDefault="00000000">
      <w:pPr>
        <w:spacing w:line="360" w:lineRule="auto"/>
        <w:ind w:firstLine="709"/>
        <w:jc w:val="both"/>
        <w:rPr>
          <w:rFonts w:eastAsiaTheme="minorEastAsia"/>
          <w:color w:val="000000" w:themeColor="text1"/>
          <w:lang w:val="id-ID"/>
        </w:rPr>
      </w:pPr>
      <w:r w:rsidRPr="00F426C1">
        <w:rPr>
          <w:color w:val="000000" w:themeColor="text1"/>
          <w:lang w:val="pt-BR"/>
        </w:rPr>
        <w:t>D</w:t>
      </w:r>
      <w:r>
        <w:rPr>
          <w:color w:val="000000" w:themeColor="text1"/>
          <w:lang w:val="id-ID"/>
        </w:rPr>
        <w:t>e</w:t>
      </w:r>
      <w:r w:rsidRPr="00F426C1">
        <w:rPr>
          <w:color w:val="000000" w:themeColor="text1"/>
          <w:lang w:val="pt-BR"/>
        </w:rPr>
        <w:t>xmedetomidine menghasilkan efek sedatif melalui</w:t>
      </w:r>
      <w:r>
        <w:rPr>
          <w:color w:val="000000" w:themeColor="text1"/>
          <w:lang w:val="id-ID"/>
        </w:rPr>
        <w:t xml:space="preserve"> a</w:t>
      </w:r>
      <w:r w:rsidRPr="00F426C1">
        <w:rPr>
          <w:color w:val="000000" w:themeColor="text1"/>
          <w:lang w:val="pt-BR"/>
        </w:rPr>
        <w:t>2</w:t>
      </w:r>
      <w:r>
        <w:rPr>
          <w:color w:val="000000" w:themeColor="text1"/>
          <w:lang w:val="id-ID"/>
        </w:rPr>
        <w:t>-</w:t>
      </w:r>
      <w:r w:rsidRPr="00F426C1">
        <w:rPr>
          <w:color w:val="000000" w:themeColor="text1"/>
          <w:lang w:val="pt-BR"/>
        </w:rPr>
        <w:t xml:space="preserve">adrenoseptor </w:t>
      </w:r>
      <w:r w:rsidRPr="00F426C1">
        <w:rPr>
          <w:color w:val="000000"/>
          <w:lang w:val="pt-BR"/>
        </w:rPr>
        <w:t>di locus coeruleus di sistem saraf pusat.</w:t>
      </w:r>
      <w:r>
        <w:rPr>
          <w:color w:val="000000"/>
          <w:lang w:val="en-US"/>
        </w:rPr>
        <w:fldChar w:fldCharType="begin" w:fldLock="1"/>
      </w:r>
      <w:r w:rsidRPr="00F426C1">
        <w:rPr>
          <w:color w:val="000000"/>
          <w:lang w:val="pt-BR"/>
        </w:rPr>
        <w:instrText>ADDIN CSL_CITATION {"citationItems":[{"id":"ITEM-1","itemData":{"DOI":"10.1016/j.bjae.2020.05.004","ISSN":"20585357","author":[{"dropping-particle":"","family":"Lin","given":"R.","non-dropping-particle":"","parse-names":false,"suffix":""},{"dropping-particle":"","family":"Ansermino","given":"J. M.","non-dropping-particle":"","parse-names":false,"suffix":""}],"container-title":"BJA Education","id":"ITEM-1","issue":"10","issued":{"date-parts":[["2020"]]},"page":"348-353","publisher":"Elsevier Ltd","title":"Dexmedetomidine in paediatric anaesthesia","type":"article-journal","volume":"20"},"uris":["http://www.mendeley.com/documents/?uuid=fd8874cb-7019-426e-8746-8c8f47420af2"]}],"mendeley":{"formattedCitation":"&lt;sup&gt;16&lt;/sup&gt;","plainTextFormattedCitation":"16","previouslyFormattedCitation":"&lt;sup&gt;16&lt;/sup&gt;"},"properties":{"noteIndex":0},"schema":"https://github.com/citation-style-language/schema/raw/master/csl-citation.json"}</w:instrText>
      </w:r>
      <w:r>
        <w:rPr>
          <w:color w:val="000000"/>
          <w:lang w:val="en-US"/>
        </w:rPr>
        <w:fldChar w:fldCharType="separate"/>
      </w:r>
      <w:r>
        <w:rPr>
          <w:noProof/>
          <w:color w:val="000000"/>
          <w:vertAlign w:val="superscript"/>
          <w:lang w:val="en-US"/>
        </w:rPr>
        <w:t>16</w:t>
      </w:r>
      <w:r>
        <w:rPr>
          <w:color w:val="000000"/>
          <w:lang w:val="en-US"/>
        </w:rPr>
        <w:fldChar w:fldCharType="end"/>
      </w:r>
      <w:r>
        <w:rPr>
          <w:color w:val="000000"/>
        </w:rPr>
        <w:t xml:space="preserve"> </w:t>
      </w:r>
      <w:r>
        <w:rPr>
          <w:rFonts w:eastAsiaTheme="minorEastAsia"/>
          <w:lang w:val="en-US"/>
        </w:rPr>
        <w:t>Dexmedetomidine</w:t>
      </w:r>
      <w:r>
        <w:rPr>
          <w:rFonts w:eastAsiaTheme="minorEastAsia"/>
          <w:lang w:val="id-ID"/>
        </w:rPr>
        <w:t xml:space="preserve"> juga mempunyai </w:t>
      </w:r>
      <w:proofErr w:type="spellStart"/>
      <w:r>
        <w:rPr>
          <w:rFonts w:eastAsiaTheme="minorEastAsia"/>
          <w:lang w:val="en-US"/>
        </w:rPr>
        <w:t>efek</w:t>
      </w:r>
      <w:proofErr w:type="spellEnd"/>
      <w:r>
        <w:rPr>
          <w:rFonts w:eastAsiaTheme="minorEastAsia"/>
          <w:lang w:val="en-US"/>
        </w:rPr>
        <w:t xml:space="preserve"> </w:t>
      </w:r>
      <w:proofErr w:type="spellStart"/>
      <w:r>
        <w:rPr>
          <w:rFonts w:eastAsiaTheme="minorEastAsia"/>
          <w:lang w:val="en-US"/>
        </w:rPr>
        <w:t>antino</w:t>
      </w:r>
      <w:proofErr w:type="spellEnd"/>
      <w:r>
        <w:rPr>
          <w:rFonts w:eastAsiaTheme="minorEastAsia"/>
          <w:lang w:val="id-ID"/>
        </w:rPr>
        <w:t>siseptif</w:t>
      </w:r>
      <w:r>
        <w:rPr>
          <w:rFonts w:eastAsiaTheme="minorEastAsia"/>
          <w:lang w:val="en-US"/>
        </w:rPr>
        <w:t xml:space="preserve"> di 2 </w:t>
      </w:r>
      <w:proofErr w:type="spellStart"/>
      <w:r>
        <w:rPr>
          <w:rFonts w:eastAsiaTheme="minorEastAsia"/>
          <w:lang w:val="en-US"/>
        </w:rPr>
        <w:t>lokasi</w:t>
      </w:r>
      <w:proofErr w:type="spellEnd"/>
      <w:r>
        <w:rPr>
          <w:rFonts w:eastAsiaTheme="minorEastAsia"/>
          <w:lang w:val="en-US"/>
        </w:rPr>
        <w:t xml:space="preserve"> </w:t>
      </w:r>
      <w:proofErr w:type="spellStart"/>
      <w:r>
        <w:rPr>
          <w:rFonts w:eastAsiaTheme="minorEastAsia"/>
          <w:lang w:val="en-US"/>
        </w:rPr>
        <w:t>utama</w:t>
      </w:r>
      <w:proofErr w:type="spellEnd"/>
      <w:r>
        <w:rPr>
          <w:rFonts w:eastAsiaTheme="minorEastAsia"/>
          <w:lang w:val="en-US"/>
        </w:rPr>
        <w:t xml:space="preserve"> </w:t>
      </w:r>
      <w:r>
        <w:rPr>
          <w:rFonts w:eastAsiaTheme="minorEastAsia"/>
          <w:lang w:val="id-ID"/>
        </w:rPr>
        <w:t>yaitu</w:t>
      </w:r>
      <w:r>
        <w:rPr>
          <w:rFonts w:eastAsiaTheme="minorEastAsia"/>
          <w:lang w:val="en-US"/>
        </w:rPr>
        <w:t xml:space="preserve"> </w:t>
      </w:r>
      <w:proofErr w:type="spellStart"/>
      <w:r>
        <w:rPr>
          <w:rFonts w:eastAsiaTheme="minorEastAsia"/>
          <w:lang w:val="en-US"/>
        </w:rPr>
        <w:t>meningkatkan</w:t>
      </w:r>
      <w:proofErr w:type="spellEnd"/>
      <w:r>
        <w:rPr>
          <w:rFonts w:eastAsiaTheme="minorEastAsia"/>
          <w:lang w:val="en-US"/>
        </w:rPr>
        <w:t xml:space="preserve"> </w:t>
      </w:r>
      <w:proofErr w:type="spellStart"/>
      <w:r>
        <w:rPr>
          <w:rFonts w:eastAsiaTheme="minorEastAsia"/>
          <w:lang w:val="en-US"/>
        </w:rPr>
        <w:t>penghambatan</w:t>
      </w:r>
      <w:proofErr w:type="spellEnd"/>
      <w:r>
        <w:rPr>
          <w:rFonts w:eastAsiaTheme="minorEastAsia"/>
          <w:lang w:val="en-US"/>
        </w:rPr>
        <w:t xml:space="preserve"> </w:t>
      </w:r>
      <w:proofErr w:type="spellStart"/>
      <w:r>
        <w:rPr>
          <w:rFonts w:eastAsiaTheme="minorEastAsia"/>
          <w:lang w:val="en-US"/>
        </w:rPr>
        <w:t>penurunan</w:t>
      </w:r>
      <w:proofErr w:type="spellEnd"/>
      <w:r>
        <w:rPr>
          <w:rFonts w:eastAsiaTheme="minorEastAsia"/>
          <w:lang w:val="en-US"/>
        </w:rPr>
        <w:t xml:space="preserve"> </w:t>
      </w:r>
      <w:proofErr w:type="spellStart"/>
      <w:r>
        <w:rPr>
          <w:rFonts w:eastAsiaTheme="minorEastAsia"/>
          <w:lang w:val="en-US"/>
        </w:rPr>
        <w:t>transmisi</w:t>
      </w:r>
      <w:proofErr w:type="spellEnd"/>
      <w:r>
        <w:rPr>
          <w:rFonts w:eastAsiaTheme="minorEastAsia"/>
          <w:lang w:val="en-US"/>
        </w:rPr>
        <w:t xml:space="preserve"> </w:t>
      </w:r>
      <w:proofErr w:type="spellStart"/>
      <w:r>
        <w:rPr>
          <w:rFonts w:eastAsiaTheme="minorEastAsia"/>
          <w:lang w:val="en-US"/>
        </w:rPr>
        <w:t>nosiseptif</w:t>
      </w:r>
      <w:proofErr w:type="spellEnd"/>
      <w:r>
        <w:rPr>
          <w:rFonts w:eastAsiaTheme="minorEastAsia"/>
          <w:lang w:val="en-US"/>
        </w:rPr>
        <w:t xml:space="preserve"> dengan </w:t>
      </w:r>
      <w:proofErr w:type="spellStart"/>
      <w:r>
        <w:rPr>
          <w:rFonts w:eastAsiaTheme="minorEastAsia"/>
          <w:lang w:val="en-US"/>
        </w:rPr>
        <w:t>mengaktifkan</w:t>
      </w:r>
      <w:proofErr w:type="spellEnd"/>
      <w:r>
        <w:rPr>
          <w:rFonts w:eastAsiaTheme="minorEastAsia"/>
          <w:lang w:val="en-US"/>
        </w:rPr>
        <w:t xml:space="preserve"> interneuron </w:t>
      </w:r>
      <w:proofErr w:type="spellStart"/>
      <w:r>
        <w:rPr>
          <w:rFonts w:eastAsiaTheme="minorEastAsia"/>
          <w:lang w:val="en-US"/>
        </w:rPr>
        <w:t>penghambat</w:t>
      </w:r>
      <w:proofErr w:type="spellEnd"/>
      <w:r>
        <w:rPr>
          <w:rFonts w:eastAsiaTheme="minorEastAsia"/>
          <w:lang w:val="en-US"/>
        </w:rPr>
        <w:t xml:space="preserve"> yang </w:t>
      </w:r>
      <w:proofErr w:type="spellStart"/>
      <w:r>
        <w:rPr>
          <w:rFonts w:eastAsiaTheme="minorEastAsia"/>
          <w:lang w:val="en-US"/>
        </w:rPr>
        <w:t>bersinaps</w:t>
      </w:r>
      <w:proofErr w:type="spellEnd"/>
      <w:r>
        <w:rPr>
          <w:rFonts w:eastAsiaTheme="minorEastAsia"/>
          <w:lang w:val="en-US"/>
        </w:rPr>
        <w:t xml:space="preserve"> ke neuron </w:t>
      </w:r>
      <w:proofErr w:type="spellStart"/>
      <w:r>
        <w:rPr>
          <w:rFonts w:eastAsiaTheme="minorEastAsia"/>
          <w:lang w:val="en-US"/>
        </w:rPr>
        <w:t>proyeksi</w:t>
      </w:r>
      <w:proofErr w:type="spellEnd"/>
      <w:r>
        <w:rPr>
          <w:rFonts w:eastAsiaTheme="minorEastAsia"/>
          <w:lang w:val="en-US"/>
        </w:rPr>
        <w:t xml:space="preserve"> di </w:t>
      </w:r>
      <w:proofErr w:type="spellStart"/>
      <w:r>
        <w:rPr>
          <w:rFonts w:eastAsiaTheme="minorEastAsia"/>
          <w:lang w:val="en-US"/>
        </w:rPr>
        <w:t>tanduk</w:t>
      </w:r>
      <w:proofErr w:type="spellEnd"/>
      <w:r>
        <w:rPr>
          <w:rFonts w:eastAsiaTheme="minorEastAsia"/>
          <w:lang w:val="en-US"/>
        </w:rPr>
        <w:t xml:space="preserve"> dorsal </w:t>
      </w:r>
      <w:proofErr w:type="spellStart"/>
      <w:r>
        <w:rPr>
          <w:rFonts w:eastAsiaTheme="minorEastAsia"/>
          <w:lang w:val="en-US"/>
        </w:rPr>
        <w:t>sumsum</w:t>
      </w:r>
      <w:proofErr w:type="spellEnd"/>
      <w:r>
        <w:rPr>
          <w:rFonts w:eastAsiaTheme="minorEastAsia"/>
          <w:lang w:val="en-US"/>
        </w:rPr>
        <w:t xml:space="preserve"> </w:t>
      </w:r>
      <w:proofErr w:type="spellStart"/>
      <w:r>
        <w:rPr>
          <w:rFonts w:eastAsiaTheme="minorEastAsia"/>
          <w:lang w:val="en-US"/>
        </w:rPr>
        <w:t>tulang</w:t>
      </w:r>
      <w:proofErr w:type="spellEnd"/>
      <w:r>
        <w:rPr>
          <w:rFonts w:eastAsiaTheme="minorEastAsia"/>
          <w:lang w:val="en-US"/>
        </w:rPr>
        <w:t xml:space="preserve"> </w:t>
      </w:r>
      <w:proofErr w:type="spellStart"/>
      <w:r>
        <w:rPr>
          <w:rFonts w:eastAsiaTheme="minorEastAsia"/>
          <w:lang w:val="en-US"/>
        </w:rPr>
        <w:t>belakang</w:t>
      </w:r>
      <w:proofErr w:type="spellEnd"/>
      <w:r>
        <w:rPr>
          <w:rFonts w:eastAsiaTheme="minorEastAsia"/>
          <w:lang w:val="id-ID"/>
        </w:rPr>
        <w:t xml:space="preserve"> dan</w:t>
      </w:r>
      <w:r>
        <w:rPr>
          <w:rFonts w:eastAsiaTheme="minorEastAsia"/>
          <w:lang w:val="en-US"/>
        </w:rPr>
        <w:t xml:space="preserve"> dengan </w:t>
      </w:r>
      <w:proofErr w:type="spellStart"/>
      <w:r>
        <w:rPr>
          <w:rFonts w:eastAsiaTheme="minorEastAsia"/>
          <w:lang w:val="en-US"/>
        </w:rPr>
        <w:t>mengurangi</w:t>
      </w:r>
      <w:proofErr w:type="spellEnd"/>
      <w:r>
        <w:rPr>
          <w:rFonts w:eastAsiaTheme="minorEastAsia"/>
          <w:lang w:val="en-US"/>
        </w:rPr>
        <w:t xml:space="preserve"> </w:t>
      </w:r>
      <w:proofErr w:type="spellStart"/>
      <w:r>
        <w:rPr>
          <w:rFonts w:eastAsiaTheme="minorEastAsia"/>
          <w:lang w:val="en-US"/>
        </w:rPr>
        <w:t>rangsangan</w:t>
      </w:r>
      <w:proofErr w:type="spellEnd"/>
      <w:r>
        <w:rPr>
          <w:rFonts w:eastAsiaTheme="minorEastAsia"/>
          <w:lang w:val="en-US"/>
        </w:rPr>
        <w:t xml:space="preserve">. </w:t>
      </w:r>
      <w:r>
        <w:rPr>
          <w:rFonts w:eastAsiaTheme="minorEastAsia"/>
          <w:lang w:val="id-ID"/>
        </w:rPr>
        <w:t>D</w:t>
      </w:r>
      <w:proofErr w:type="spellStart"/>
      <w:r>
        <w:rPr>
          <w:rFonts w:eastAsiaTheme="minorEastAsia"/>
          <w:lang w:val="en-US"/>
        </w:rPr>
        <w:t>exmedetomidine</w:t>
      </w:r>
      <w:proofErr w:type="spellEnd"/>
      <w:r>
        <w:rPr>
          <w:rFonts w:eastAsiaTheme="minorEastAsia"/>
          <w:lang w:val="en-US"/>
        </w:rPr>
        <w:t xml:space="preserve"> </w:t>
      </w:r>
      <w:proofErr w:type="spellStart"/>
      <w:r>
        <w:rPr>
          <w:rFonts w:eastAsiaTheme="minorEastAsia"/>
          <w:lang w:val="en-US"/>
        </w:rPr>
        <w:t>bekerja</w:t>
      </w:r>
      <w:proofErr w:type="spellEnd"/>
      <w:r>
        <w:rPr>
          <w:rFonts w:eastAsiaTheme="minorEastAsia"/>
          <w:lang w:val="en-US"/>
        </w:rPr>
        <w:t xml:space="preserve"> </w:t>
      </w:r>
      <w:proofErr w:type="spellStart"/>
      <w:r>
        <w:rPr>
          <w:rFonts w:eastAsiaTheme="minorEastAsia"/>
          <w:lang w:val="en-US"/>
        </w:rPr>
        <w:t>secara</w:t>
      </w:r>
      <w:proofErr w:type="spellEnd"/>
      <w:r>
        <w:rPr>
          <w:rFonts w:eastAsiaTheme="minorEastAsia"/>
          <w:lang w:val="en-US"/>
        </w:rPr>
        <w:t xml:space="preserve"> </w:t>
      </w:r>
      <w:proofErr w:type="spellStart"/>
      <w:r>
        <w:rPr>
          <w:rFonts w:eastAsiaTheme="minorEastAsia"/>
          <w:lang w:val="en-US"/>
        </w:rPr>
        <w:t>presinaptik</w:t>
      </w:r>
      <w:proofErr w:type="spellEnd"/>
      <w:r>
        <w:rPr>
          <w:rFonts w:eastAsiaTheme="minorEastAsia"/>
          <w:lang w:val="en-US"/>
        </w:rPr>
        <w:t xml:space="preserve"> untuk </w:t>
      </w:r>
      <w:proofErr w:type="spellStart"/>
      <w:r>
        <w:rPr>
          <w:rFonts w:eastAsiaTheme="minorEastAsia"/>
          <w:lang w:val="en-US"/>
        </w:rPr>
        <w:t>mengurangi</w:t>
      </w:r>
      <w:proofErr w:type="spellEnd"/>
      <w:r>
        <w:rPr>
          <w:rFonts w:eastAsiaTheme="minorEastAsia"/>
          <w:lang w:val="en-US"/>
        </w:rPr>
        <w:t xml:space="preserve"> </w:t>
      </w:r>
      <w:proofErr w:type="spellStart"/>
      <w:r>
        <w:rPr>
          <w:rFonts w:eastAsiaTheme="minorEastAsia"/>
          <w:lang w:val="en-US"/>
        </w:rPr>
        <w:t>pelepasan</w:t>
      </w:r>
      <w:proofErr w:type="spellEnd"/>
      <w:r>
        <w:rPr>
          <w:rFonts w:eastAsiaTheme="minorEastAsia"/>
          <w:lang w:val="en-US"/>
        </w:rPr>
        <w:t xml:space="preserve"> </w:t>
      </w:r>
      <w:proofErr w:type="spellStart"/>
      <w:r>
        <w:rPr>
          <w:rFonts w:eastAsiaTheme="minorEastAsia"/>
          <w:lang w:val="en-US"/>
        </w:rPr>
        <w:t>norepinefrin</w:t>
      </w:r>
      <w:proofErr w:type="spellEnd"/>
      <w:r>
        <w:rPr>
          <w:rFonts w:eastAsiaTheme="minorEastAsia"/>
          <w:lang w:val="en-US"/>
        </w:rPr>
        <w:t xml:space="preserve"> </w:t>
      </w:r>
      <w:proofErr w:type="spellStart"/>
      <w:r>
        <w:rPr>
          <w:rFonts w:eastAsiaTheme="minorEastAsia"/>
          <w:lang w:val="en-US"/>
        </w:rPr>
        <w:t>dari</w:t>
      </w:r>
      <w:proofErr w:type="spellEnd"/>
      <w:r>
        <w:rPr>
          <w:rFonts w:eastAsiaTheme="minorEastAsia"/>
          <w:lang w:val="en-US"/>
        </w:rPr>
        <w:t xml:space="preserve"> neuron locus </w:t>
      </w:r>
      <w:r>
        <w:rPr>
          <w:rFonts w:eastAsiaTheme="minorEastAsia"/>
          <w:color w:val="000000" w:themeColor="text1"/>
          <w:lang w:val="en-US"/>
        </w:rPr>
        <w:t xml:space="preserve">coeruleus yang </w:t>
      </w:r>
      <w:proofErr w:type="spellStart"/>
      <w:r>
        <w:rPr>
          <w:rFonts w:eastAsiaTheme="minorEastAsia"/>
          <w:color w:val="000000" w:themeColor="text1"/>
          <w:lang w:val="en-US"/>
        </w:rPr>
        <w:t>diproyeksikan</w:t>
      </w:r>
      <w:proofErr w:type="spellEnd"/>
      <w:r>
        <w:rPr>
          <w:rFonts w:eastAsiaTheme="minorEastAsia"/>
          <w:color w:val="000000" w:themeColor="text1"/>
          <w:lang w:val="en-US"/>
        </w:rPr>
        <w:t xml:space="preserve"> ke </w:t>
      </w:r>
      <w:proofErr w:type="spellStart"/>
      <w:r>
        <w:rPr>
          <w:rFonts w:eastAsiaTheme="minorEastAsia"/>
          <w:color w:val="000000" w:themeColor="text1"/>
          <w:lang w:val="en-US"/>
        </w:rPr>
        <w:t>otak</w:t>
      </w:r>
      <w:proofErr w:type="spellEnd"/>
      <w:r>
        <w:rPr>
          <w:rFonts w:eastAsiaTheme="minorEastAsia"/>
          <w:color w:val="000000" w:themeColor="text1"/>
          <w:lang w:val="en-US"/>
        </w:rPr>
        <w:t xml:space="preserve"> </w:t>
      </w:r>
      <w:proofErr w:type="spellStart"/>
      <w:r>
        <w:rPr>
          <w:rFonts w:eastAsiaTheme="minorEastAsia"/>
          <w:color w:val="000000" w:themeColor="text1"/>
          <w:lang w:val="en-US"/>
        </w:rPr>
        <w:t>depan</w:t>
      </w:r>
      <w:proofErr w:type="spellEnd"/>
      <w:r>
        <w:rPr>
          <w:rFonts w:eastAsiaTheme="minorEastAsia"/>
          <w:color w:val="000000" w:themeColor="text1"/>
          <w:lang w:val="en-US"/>
        </w:rPr>
        <w:t xml:space="preserve"> basal, </w:t>
      </w:r>
      <w:proofErr w:type="spellStart"/>
      <w:r>
        <w:rPr>
          <w:rFonts w:eastAsiaTheme="minorEastAsia"/>
          <w:color w:val="000000" w:themeColor="text1"/>
          <w:lang w:val="en-US"/>
        </w:rPr>
        <w:t>nukleus</w:t>
      </w:r>
      <w:proofErr w:type="spellEnd"/>
      <w:r>
        <w:rPr>
          <w:rFonts w:eastAsiaTheme="minorEastAsia"/>
          <w:color w:val="000000" w:themeColor="text1"/>
          <w:lang w:val="en-US"/>
        </w:rPr>
        <w:t xml:space="preserve"> intralaminar </w:t>
      </w:r>
      <w:proofErr w:type="spellStart"/>
      <w:r>
        <w:rPr>
          <w:rFonts w:eastAsiaTheme="minorEastAsia"/>
          <w:color w:val="000000" w:themeColor="text1"/>
          <w:lang w:val="en-US"/>
        </w:rPr>
        <w:t>talamus</w:t>
      </w:r>
      <w:proofErr w:type="spellEnd"/>
      <w:r>
        <w:rPr>
          <w:rFonts w:eastAsiaTheme="minorEastAsia"/>
          <w:color w:val="000000" w:themeColor="text1"/>
          <w:lang w:val="en-US"/>
        </w:rPr>
        <w:t xml:space="preserve">, area </w:t>
      </w:r>
      <w:proofErr w:type="spellStart"/>
      <w:r>
        <w:rPr>
          <w:rFonts w:eastAsiaTheme="minorEastAsia"/>
          <w:color w:val="000000" w:themeColor="text1"/>
          <w:lang w:val="en-US"/>
        </w:rPr>
        <w:t>preoptik</w:t>
      </w:r>
      <w:proofErr w:type="spellEnd"/>
      <w:r>
        <w:rPr>
          <w:rFonts w:eastAsiaTheme="minorEastAsia"/>
          <w:color w:val="000000" w:themeColor="text1"/>
          <w:lang w:val="en-US"/>
        </w:rPr>
        <w:t xml:space="preserve"> </w:t>
      </w:r>
      <w:proofErr w:type="spellStart"/>
      <w:r>
        <w:rPr>
          <w:rFonts w:eastAsiaTheme="minorEastAsia"/>
          <w:color w:val="000000" w:themeColor="text1"/>
          <w:lang w:val="en-US"/>
        </w:rPr>
        <w:t>hipotalamus</w:t>
      </w:r>
      <w:proofErr w:type="spellEnd"/>
      <w:r>
        <w:rPr>
          <w:rFonts w:eastAsiaTheme="minorEastAsia"/>
          <w:color w:val="000000" w:themeColor="text1"/>
          <w:lang w:val="en-US"/>
        </w:rPr>
        <w:t xml:space="preserve">, dan </w:t>
      </w:r>
      <w:proofErr w:type="spellStart"/>
      <w:r>
        <w:rPr>
          <w:rFonts w:eastAsiaTheme="minorEastAsia"/>
          <w:color w:val="000000" w:themeColor="text1"/>
          <w:lang w:val="en-US"/>
        </w:rPr>
        <w:t>secara</w:t>
      </w:r>
      <w:proofErr w:type="spellEnd"/>
      <w:r>
        <w:rPr>
          <w:rFonts w:eastAsiaTheme="minorEastAsia"/>
          <w:color w:val="000000" w:themeColor="text1"/>
          <w:lang w:val="en-US"/>
        </w:rPr>
        <w:t xml:space="preserve"> </w:t>
      </w:r>
      <w:proofErr w:type="spellStart"/>
      <w:r>
        <w:rPr>
          <w:rFonts w:eastAsiaTheme="minorEastAsia"/>
          <w:color w:val="000000" w:themeColor="text1"/>
          <w:lang w:val="en-US"/>
        </w:rPr>
        <w:t>difus</w:t>
      </w:r>
      <w:proofErr w:type="spellEnd"/>
      <w:r>
        <w:rPr>
          <w:rFonts w:eastAsiaTheme="minorEastAsia"/>
          <w:color w:val="000000" w:themeColor="text1"/>
          <w:lang w:val="en-US"/>
        </w:rPr>
        <w:t xml:space="preserve"> ke korteks.</w:t>
      </w:r>
      <w:r>
        <w:rPr>
          <w:rFonts w:eastAsiaTheme="minorEastAsia"/>
          <w:color w:val="000000" w:themeColor="text1"/>
          <w:lang w:val="en-US"/>
        </w:rPr>
        <w:fldChar w:fldCharType="begin" w:fldLock="1"/>
      </w:r>
      <w:r>
        <w:rPr>
          <w:rFonts w:eastAsiaTheme="minorEastAsia"/>
          <w:color w:val="000000" w:themeColor="text1"/>
          <w:lang w:val="en-US"/>
        </w:rPr>
        <w:instrText>ADDIN CSL_CITATION {"citationItems":[{"id":"ITEM-1","itemData":{"DOI":"10.1213/ANE.0000000000003668","ISBN":"0000000000","ISSN":"15267598","PMID":"30252709","abstract":"Balanced general anesthesia, the most common management strategy used in anesthesia care, entails the administration of different drugs together to create the anesthetic state. Anesthesiologists developed this approach to avoid sole reliance on ether for general anesthesia maintenance. Balanced general anesthesia uses less of each drug than if the drug were administered alone, thereby increasing the likelihood of its desired effects and reducing the likelihood of its side effects. To manage nociception intraoperatively and pain postoperatively, the current practice of balanced general anesthesia relies almost exclusively on opioids. While opioids are the most effective antinociceptive agents, they have undesirable side effects. Moreover, overreliance on opioids has contributed to the opioid epidemic in the United States. Spurred by concern of opioid overuse, balanced general anesthesia strategies are now using more agents to create the anesthetic state. Under these approaches, called \"multimodal general anesthesia,\" the additional drugs may include agents with specific central nervous system targets such as dexmedetomidine and ones with less specific targets, such as magnesium. It is postulated that use of more agents at smaller doses further maximizes desired effects while minimizing side effects. Although this approach appears to maximize the benefit-to-side effect ratio, no rational strategy has been provided for choosing the drug combinations. Nociception induced by surgery is the primary reason for placing a patient in a state of general anesthesia. Hence, any rational strategy should focus on nociception control intraoperatively and pain control postoperatively. In this Special Article, we review the anatomy and physiology of the nociceptive and arousal circuits, and the mechanisms through which commonly used anesthetics and anesthetic adjuncts act in these systems. We propose a rational strategy for multimodal general anesthesia predicated on choosing a combination of agents that act at different targets in the nociceptive system to control nociception intraoperatively and pain postoperatively. Because these agents also decrease arousal, the doses of hypnotics and/or inhaled ethers needed to control unconsciousness are reduced. Effective use of this strategy requires simultaneous monitoring of antinociception and level of unconsciousness. We illustrate the application of this strategy by summarizing anesthetic management for 4 representative surg…","author":[{"dropping-particle":"","family":"Brown","given":"Emery N.","non-dropping-particle":"","parse-names":false,"suffix":""},{"dropping-particle":"","family":"Pavone","given":"Kara J.","non-dropping-particle":"","parse-names":false,"suffix":""},{"dropping-particle":"","family":"Naranjo","given":"Marusa","non-dropping-particle":"","parse-names":false,"suffix":""}],"container-title":"Anesthesia and Analgesia","id":"ITEM-1","issue":"5","issued":{"date-parts":[["2018"]]},"page":"1246-1258","title":"Multimodal general anesthesia: Theory and practice","type":"article-journal","volume":"127"},"uris":["http://www.mendeley.com/documents/?uuid=22822377-e8f4-430a-a304-7f758e803ec1"]}],"mendeley":{"formattedCitation":"&lt;sup&gt;4&lt;/sup&gt;","plainTextFormattedCitation":"4","previouslyFormattedCitation":"&lt;sup&gt;4&lt;/sup&gt;"},"properties":{"noteIndex":0},"schema":"https://github.com/citation-style-language/schema/raw/master/csl-citation.json"}</w:instrText>
      </w:r>
      <w:r>
        <w:rPr>
          <w:rFonts w:eastAsiaTheme="minorEastAsia"/>
          <w:color w:val="000000" w:themeColor="text1"/>
          <w:lang w:val="en-US"/>
        </w:rPr>
        <w:fldChar w:fldCharType="separate"/>
      </w:r>
      <w:r>
        <w:rPr>
          <w:rFonts w:eastAsiaTheme="minorEastAsia"/>
          <w:noProof/>
          <w:color w:val="000000" w:themeColor="text1"/>
          <w:vertAlign w:val="superscript"/>
          <w:lang w:val="en-US"/>
        </w:rPr>
        <w:t>4</w:t>
      </w:r>
      <w:r>
        <w:rPr>
          <w:rFonts w:eastAsiaTheme="minorEastAsia"/>
          <w:color w:val="000000" w:themeColor="text1"/>
          <w:lang w:val="en-US"/>
        </w:rPr>
        <w:fldChar w:fldCharType="end"/>
      </w:r>
    </w:p>
    <w:p w14:paraId="0358854D" w14:textId="77777777" w:rsidR="003B79BC" w:rsidRDefault="00000000">
      <w:pPr>
        <w:spacing w:line="360" w:lineRule="auto"/>
        <w:ind w:firstLine="709"/>
        <w:jc w:val="both"/>
        <w:rPr>
          <w:rFonts w:eastAsiaTheme="minorEastAsia"/>
          <w:color w:val="000000" w:themeColor="text1"/>
          <w:lang w:val="id-ID"/>
        </w:rPr>
      </w:pPr>
      <w:r>
        <w:rPr>
          <w:rStyle w:val="rynqvb"/>
          <w:color w:val="000000" w:themeColor="text1"/>
          <w:lang w:val="id-ID"/>
        </w:rPr>
        <w:t>Penggunaan dexmedetomidine dan anestesi lokal sebagai anestesi tambahan dinyatakan dapat membantu mengurangi kebutuhan opioid dan efek samping neurotoksik.</w:t>
      </w:r>
      <w:r>
        <w:rPr>
          <w:rStyle w:val="rynqvb"/>
          <w:color w:val="000000" w:themeColor="text1"/>
          <w:lang w:val="id-ID"/>
        </w:rPr>
        <w:fldChar w:fldCharType="begin" w:fldLock="1"/>
      </w:r>
      <w:r>
        <w:rPr>
          <w:rStyle w:val="rynqvb"/>
          <w:color w:val="000000" w:themeColor="text1"/>
          <w:lang w:val="id-ID"/>
        </w:rPr>
        <w:instrText>ADDIN CSL_CITATION {"citationItems":[{"id":"ITEM-1","itemData":{"DOI":"10.1016/j.amjoto.2019.02.007","ISSN":"1532818X","PMID":"30803808","abstract":"Importance: Pediatric tonsillectomy is a common procedure now being performed most often for patients with obstructive sleep apnea, which has been associated with increased sensitivity to the respiratory side effects of opioid medications. This study investigates a strategy to decrease the use of opiate medications in a particularly vulnerable population. Objective: Describe an interdisciplinary approach between Otolaryngologists and Anesthesiologists to decrease opiate use in tonsillectomy patients. Demonstrate safety of this protocol. Evaluate the effect of the protocol on intraoperative need for opiate medications and inhaled anesthetic use. Perform cost analysis of the protocol. Design: Retrospective case-control study with cost analysis. Setting: Tertiary Care Hospital. Participants: Pediatric patients undergoing tonsillectomy at a tertiary care hospital. Interventions: Preoperative and intraoperative dexmedetomidine with local bupivacaine injection into the tonsillar fossa. Measures: Intraoperative need for sevoflurane, opiate, and propofol. Post-operative pain scores, and utilization of post-operative opiate, acetaminophen, and ibuprofen pain medications. Post-operative adverse events. Cost analysis of protocol. Results: This protocol led to a decrease in intraoperative opiate use by 49.6%, a decrease in intraoperative sevofluorane use by 18%, and a lower reported maximum post-operative pain score without any increase in adverse events. The protocol added a small increase in medication cost of $4.07 to each procedure. Conclusion: The use of dexmedetomidine and local anesthetic in pediatric tonsillectomy is a safe and effective protocol that allows for the reduction of opiate use and improved post-operative pain control. Key points: Question: Can the combination of dexmedetomidine and infiltration of local anesthetic reduce overall opioid use for peediatric patients undergoing tonsillectomy? Findings: In this case-control study, use of dexmedetomidine and local anesthetic injected into the tonsillar fossa led to a decrease in intraoperative opiate use by 49.6%, a decrease in intraoperative sevofluorane use by 18%, and a lower reported maximum pain score without an increase in adverse events. Meaning: Use of dexmedetomidine and local anesthetic as anesthetic adjuncts may help reduce need for intraoperative opiates and decrease the use of volatile anesthetic agents in pediatric tonsillectomy patients, which are undesirable medications in the pediatr…","author":[{"dropping-particle":"","family":"DeHart","given":"Austin N.","non-dropping-particle":"","parse-names":false,"suffix":""},{"dropping-particle":"","family":"Potter","given":"Jessica","non-dropping-particle":"","parse-names":false,"suffix":""},{"dropping-particle":"","family":"Anderson","given":"Justin","non-dropping-particle":"","parse-names":false,"suffix":""},{"dropping-particle":"","family":"Russo-Menna","given":"Iolanda","non-dropping-particle":"","parse-names":false,"suffix":""},{"dropping-particle":"","family":"Lee","given":"Jong Hyung","non-dropping-particle":"","parse-names":false,"suffix":""},{"dropping-particle":"","family":"Chapman","given":"Derek A.","non-dropping-particle":"","parse-names":false,"suffix":""},{"dropping-particle":"","family":"Dodson","given":"Kelley M.","non-dropping-particle":"","parse-names":false,"suffix":""}],"container-title":"American Journal of Otolaryngology - Head and Neck Medicine and Surgery","id":"ITEM-1","issue":"3","issued":{"date-parts":[["2019"]]},"page":"382-388","publisher":"Elsevier","title":"Perioperative interdisciplinary approach for reduction of opioid use in pediatric tonsillectomy: Protocol using dexmedetomidine and bupivicaine as adjunct agents","type":"article-journal","volume":"40"},"uris":["http://www.mendeley.com/documents/?uuid=9e708259-c1e5-4756-818b-a286316b4839"]}],"mendeley":{"formattedCitation":"&lt;sup&gt;5&lt;/sup&gt;","plainTextFormattedCitation":"5","previouslyFormattedCitation":"&lt;sup&gt;5&lt;/sup&gt;"},"properties":{"noteIndex":0},"schema":"https://github.com/citation-style-language/schema/raw/master/csl-citation.json"}</w:instrText>
      </w:r>
      <w:r>
        <w:rPr>
          <w:rStyle w:val="rynqvb"/>
          <w:color w:val="000000" w:themeColor="text1"/>
          <w:lang w:val="id-ID"/>
        </w:rPr>
        <w:fldChar w:fldCharType="separate"/>
      </w:r>
      <w:r>
        <w:rPr>
          <w:rStyle w:val="rynqvb"/>
          <w:noProof/>
          <w:color w:val="000000" w:themeColor="text1"/>
          <w:vertAlign w:val="superscript"/>
          <w:lang w:val="id-ID"/>
        </w:rPr>
        <w:t>5</w:t>
      </w:r>
      <w:r>
        <w:rPr>
          <w:rStyle w:val="rynqvb"/>
          <w:color w:val="000000" w:themeColor="text1"/>
          <w:lang w:val="id-ID"/>
        </w:rPr>
        <w:fldChar w:fldCharType="end"/>
      </w:r>
      <w:r>
        <w:rPr>
          <w:color w:val="000000" w:themeColor="text1"/>
          <w:lang w:val="id-ID"/>
        </w:rPr>
        <w:t xml:space="preserve"> </w:t>
      </w:r>
      <w:r>
        <w:rPr>
          <w:rFonts w:eastAsiaTheme="minorEastAsia"/>
          <w:color w:val="000000" w:themeColor="text1"/>
          <w:lang w:val="id-ID"/>
        </w:rPr>
        <w:t>Penelitian sebelumnya melaporkan bahwa infiltrasi peritonsil</w:t>
      </w:r>
      <w:r w:rsidRPr="00F426C1">
        <w:rPr>
          <w:rFonts w:eastAsiaTheme="minorEastAsia"/>
          <w:color w:val="000000" w:themeColor="text1"/>
          <w:lang w:val="id-ID"/>
        </w:rPr>
        <w:t>e</w:t>
      </w:r>
      <w:r>
        <w:rPr>
          <w:rFonts w:eastAsiaTheme="minorEastAsia"/>
          <w:color w:val="000000" w:themeColor="text1"/>
          <w:lang w:val="id-ID"/>
        </w:rPr>
        <w:t>r levobupivacaine dan dexmedetomidine memperbaiki nyeri pasca operasi setelah adenotonsilektomi. Penelitian tersebut dilakukan pada anak.</w:t>
      </w:r>
      <w:r>
        <w:rPr>
          <w:rFonts w:eastAsiaTheme="minorEastAsia"/>
          <w:color w:val="000000" w:themeColor="text1"/>
          <w:lang w:val="id-ID"/>
        </w:rPr>
        <w:fldChar w:fldCharType="begin" w:fldLock="1"/>
      </w:r>
      <w:r>
        <w:rPr>
          <w:rFonts w:eastAsiaTheme="minorEastAsia"/>
          <w:color w:val="000000" w:themeColor="text1"/>
          <w:lang w:val="id-ID"/>
        </w:rPr>
        <w:instrText>ADDIN CSL_CITATION {"citationItems":[{"id":"ITEM-1","itemData":{"DOI":"10.1155/2022/9958668","ISSN":"12036765","PMID":"36247104","abstract":"Background. The study evaluated the analgesic effects of levobupivacaine infiltration in the tonsil bed, and a combination of levobupivacaine and dexmedetomidine in patients undergoing tonsillectomy. Methods. Ninety children (ages 3 to 7 years) who were scheduled for a tonsillectomy were allocated randomly into two groups. (L Group): peritonsillar infiltration with 0.25% levobupivacaine (2 ml + 0.5 ml saline 0.9% per tonsil). (LD Group): levobupivacaine 0.25% (2 ml) plus dexmedetomidine 1 μg/kg diluted in 1 ml saline 0.9% (0.5 ml in each tonsil), and administered by peritonsillar infiltration (2.5 ml per tonsil) following intubation 3-5 minutes before operation. To avoid bias, infiltrate a total volume of 2.5 ml in each tonsil. The first analgesic request time was the primary outcome, with postoperative pain score, total analgesic consumption, total oral intake, sedation, and side effects as secondary outcomes. Results. The first rescue analgesia time in the LD group was longer (644.31 ± 112.89 min) than in the L group (551.51 ± 146.16 min, P-value &lt;0.001). The number of patients who required &gt;1 analgesic dose in the L group (n = 13) was higher than in the LD group (n = 5). The LD group consumes a lower total dose of IV paracetamol in the first 24 hours postoperatively (321.89 ± 93.25 mg) than the L group (394.89 ± 183.71 mg, P&lt;0.00-value &lt; 0.050). On the first day postoperatively, patients in the LD group had a higher total oral intake (P&lt;0.001). Except for a slight increase in laryngospasm in the L group, there were no side effects. Conclusions. The Children's peritonsillar infiltration of levobupivacaine and dexmedetomidine improved postoperative pain after adenotonsillectomy. The topically applied levobupivacaine and dexmedetomidine were concomitant with no systemic effects, greater total oral intake on the first day postoperative, and higher family satisfaction.","author":[{"dropping-particle":"","family":"Abo Elfadl","given":"Ghada Mohammad","non-dropping-particle":"","parse-names":false,"suffix":""},{"dropping-particle":"","family":"Abdelrady","given":"Marwa Mahmoud","non-dropping-particle":"","parse-names":false,"suffix":""},{"dropping-particle":"","family":"Osman","given":"Hany M.","non-dropping-particle":"","parse-names":false,"suffix":""},{"dropping-particle":"","family":"Gad","given":"Mohamed Omar","non-dropping-particle":"","parse-names":false,"suffix":""},{"dropping-particle":"","family":"Abd El-Rady","given":"Nessren M.","non-dropping-particle":"","parse-names":false,"suffix":""},{"dropping-particle":"","family":"Ali","given":"Wesam Nashat","non-dropping-particle":"","parse-names":false,"suffix":""}],"container-title":"Pain Research and Management","id":"ITEM-1","issued":{"date-parts":[["2022"]]},"title":"Efficacy of Levobupivacaine Versus Levobupivacaine Plus Dexmedetomidine Infiltration for Post-Tonsillectomy Analgesia: A Randomized Controlled Trial","type":"article-journal","volume":"2022"},"uris":["http://www.mendeley.com/documents/?uuid=6bda621b-c8ed-427f-b08d-ac230cc72e5f"]}],"mendeley":{"formattedCitation":"&lt;sup&gt;17&lt;/sup&gt;","plainTextFormattedCitation":"17","previouslyFormattedCitation":"&lt;sup&gt;17&lt;/sup&gt;"},"properties":{"noteIndex":0},"schema":"https://github.com/citation-style-language/schema/raw/master/csl-citation.json"}</w:instrText>
      </w:r>
      <w:r>
        <w:rPr>
          <w:rFonts w:eastAsiaTheme="minorEastAsia"/>
          <w:color w:val="000000" w:themeColor="text1"/>
          <w:lang w:val="id-ID"/>
        </w:rPr>
        <w:fldChar w:fldCharType="separate"/>
      </w:r>
      <w:r>
        <w:rPr>
          <w:rFonts w:eastAsiaTheme="minorEastAsia"/>
          <w:noProof/>
          <w:color w:val="000000" w:themeColor="text1"/>
          <w:vertAlign w:val="superscript"/>
          <w:lang w:val="id-ID"/>
        </w:rPr>
        <w:t>17</w:t>
      </w:r>
      <w:r>
        <w:rPr>
          <w:rFonts w:eastAsiaTheme="minorEastAsia"/>
          <w:color w:val="000000" w:themeColor="text1"/>
          <w:lang w:val="id-ID"/>
        </w:rPr>
        <w:fldChar w:fldCharType="end"/>
      </w:r>
      <w:r>
        <w:rPr>
          <w:rFonts w:eastAsiaTheme="minorEastAsia"/>
          <w:color w:val="000000" w:themeColor="text1"/>
          <w:lang w:val="id-ID"/>
        </w:rPr>
        <w:t xml:space="preserve"> Penelitian tersebut pada bedah tonsilektomi masih sangat terbatas.</w:t>
      </w:r>
    </w:p>
    <w:p w14:paraId="75FE7E1C" w14:textId="77777777" w:rsidR="003B79BC" w:rsidRDefault="00000000">
      <w:pPr>
        <w:spacing w:line="360" w:lineRule="auto"/>
        <w:ind w:firstLine="709"/>
        <w:jc w:val="both"/>
        <w:rPr>
          <w:color w:val="000000" w:themeColor="text1"/>
          <w:lang w:val="en-US" w:eastAsia="zh-CN"/>
        </w:rPr>
      </w:pPr>
      <w:r>
        <w:rPr>
          <w:rStyle w:val="markedcontent"/>
          <w:color w:val="000000" w:themeColor="text1"/>
          <w:lang w:val="id-ID"/>
        </w:rPr>
        <w:t xml:space="preserve">Selain itu dilaporkan bahwa ada hubungan antara intensitas nyeri dengan kadar IL-6. </w:t>
      </w:r>
      <w:r>
        <w:rPr>
          <w:rStyle w:val="markedcontent"/>
          <w:color w:val="000000" w:themeColor="text1"/>
        </w:rPr>
        <w:t>IL-6 berperan pada mekanisme nyeri dan hipersensitivitas berhubungan dengan peradangan</w:t>
      </w:r>
      <w:r>
        <w:rPr>
          <w:rStyle w:val="markedcontent"/>
          <w:color w:val="000000" w:themeColor="text1"/>
          <w:lang w:val="id-ID"/>
        </w:rPr>
        <w:t>.</w:t>
      </w:r>
      <w:r>
        <w:rPr>
          <w:rStyle w:val="markedcontent"/>
          <w:color w:val="000000" w:themeColor="text1"/>
        </w:rPr>
        <w:t xml:space="preserve"> </w:t>
      </w:r>
      <w:r>
        <w:rPr>
          <w:rStyle w:val="markedcontent"/>
          <w:rFonts w:eastAsiaTheme="minorEastAsia"/>
          <w:color w:val="000000" w:themeColor="text1"/>
          <w:lang w:eastAsia="zh-CN"/>
        </w:rPr>
        <w:t>Secara perifer, IL-6 mampu mengaktifkan neuron sensorik aferen primer melalui trans-signaling, yang merupakan langkah awal menuju sensasi nyeri.</w:t>
      </w:r>
      <w:r>
        <w:rPr>
          <w:rStyle w:val="markedcontent"/>
          <w:rFonts w:eastAsiaTheme="minorEastAsia"/>
          <w:color w:val="000000" w:themeColor="text1"/>
          <w:lang w:eastAsia="zh-CN"/>
        </w:rPr>
        <w:fldChar w:fldCharType="begin" w:fldLock="1"/>
      </w:r>
      <w:r>
        <w:rPr>
          <w:rStyle w:val="markedcontent"/>
          <w:rFonts w:eastAsiaTheme="minorEastAsia"/>
          <w:color w:val="000000" w:themeColor="text1"/>
          <w:lang w:eastAsia="zh-CN"/>
        </w:rPr>
        <w:instrText>ADDIN CSL_CITATION {"citationItems":[{"id":"ITEM-1","itemData":{"DOI":"10.2147/OARRR.S291388","ISSN":"1179156X","abstract":"Pain is a major and common symptom reported as a top priority in patients with rheumatoid arthritis (RA). Intuitively, RA-related pain is often considered to be a natural conse-quence of peripheral inflammation, so treatment of RA is expected to manage pain concurrently as part of inflammation control. However, pain in patients with RA can be poorly correlated with objective measures of inflammation, for example, in patients who are otherwise in remission. Joint damage appears to account for only a fraction of this residual pain. Emerging evidence suggests that alteration of peripheral and central pain processing contributes to RA-related pain; this is parallel to, but somewhat independent of, joint inflammation. Interleukin (IL)-6 is a proinflammatory cytokine that contributes to the pathogenesis of RA. It exerts systemic effects via signaling through soluble forms of the IL-6 receptor (“trans-signaling”). Evidence from preclinical studies demonstrates that intra-articular IL-6 can produce long-lasting peripheral sensitization to mechanical stimulation and suggests an important role for IL-6 in central pain sensitization. This may be partly explained by its ability to activate neurons through trans-signaling, affecting nociceptive plasticity and nerve fiber regrowth. Local activity at neuron endings may culminate in altered pain processing in the central nervous system because of persistent signaling from sensitized peripheral neurons. Peripheral and central sensitization can promote the development of chronic pain, which can have a significant impact on patients’ health and quality of life. A proportion of pain in RA may be more appropriately managed as an entity separate from inflammation. Both the peripheral and central nervous systems should be recognized as important potential systems targeted by RA. The substantial burden of RA-related chronic pain suggests that pain should be a key focus in RA management and should be assessed and addressed early and separately from the inflammatory component.","author":[{"dropping-particle":"","family":"Sebba","given":"Anthony","non-dropping-particle":"","parse-names":false,"suffix":""}],"container-title":"Open Access Rheumatology: Research and Reviews","id":"ITEM-1","issued":{"date-parts":[["2021"]]},"page":"31-43","title":"Pain: A review of interleukin-6 and its roles in the pain of rheumatoid arthritis","type":"article-journal","volume":"13"},"uris":["http://www.mendeley.com/documents/?uuid=38ac5037-7aca-4c86-b4b8-3e71ec72c645"]}],"mendeley":{"formattedCitation":"&lt;sup&gt;18&lt;/sup&gt;","plainTextFormattedCitation":"18","previouslyFormattedCitation":"&lt;sup&gt;18&lt;/sup&gt;"},"properties":{"noteIndex":0},"schema":"https://github.com/citation-style-language/schema/raw/master/csl-citation.json"}</w:instrText>
      </w:r>
      <w:r>
        <w:rPr>
          <w:rStyle w:val="markedcontent"/>
          <w:rFonts w:eastAsiaTheme="minorEastAsia"/>
          <w:color w:val="000000" w:themeColor="text1"/>
          <w:lang w:eastAsia="zh-CN"/>
        </w:rPr>
        <w:fldChar w:fldCharType="separate"/>
      </w:r>
      <w:r>
        <w:rPr>
          <w:rStyle w:val="markedcontent"/>
          <w:rFonts w:eastAsiaTheme="minorEastAsia"/>
          <w:noProof/>
          <w:color w:val="000000" w:themeColor="text1"/>
          <w:vertAlign w:val="superscript"/>
          <w:lang w:eastAsia="zh-CN"/>
        </w:rPr>
        <w:t>18</w:t>
      </w:r>
      <w:r>
        <w:rPr>
          <w:rStyle w:val="markedcontent"/>
          <w:rFonts w:eastAsiaTheme="minorEastAsia"/>
          <w:color w:val="000000" w:themeColor="text1"/>
          <w:lang w:eastAsia="zh-CN"/>
        </w:rPr>
        <w:fldChar w:fldCharType="end"/>
      </w:r>
      <w:r>
        <w:rPr>
          <w:rStyle w:val="markedcontent"/>
          <w:rFonts w:eastAsiaTheme="minorEastAsia" w:hint="eastAsia"/>
          <w:color w:val="000000" w:themeColor="text1"/>
          <w:lang w:eastAsia="zh-CN"/>
        </w:rPr>
        <w:t xml:space="preserve"> </w:t>
      </w:r>
      <w:r>
        <w:rPr>
          <w:color w:val="000000" w:themeColor="text1"/>
          <w:lang w:val="id"/>
        </w:rPr>
        <w:t xml:space="preserve">IL-6 dapat menyebabkan allodinia mekanis atau hiperalgesia termal, dan suntikan intratekal antibodi penetral anti-IL-6 </w:t>
      </w:r>
      <w:r>
        <w:rPr>
          <w:color w:val="000000" w:themeColor="text1"/>
          <w:lang w:val="en-US"/>
        </w:rPr>
        <w:t xml:space="preserve">dapat </w:t>
      </w:r>
      <w:r>
        <w:rPr>
          <w:color w:val="000000" w:themeColor="text1"/>
          <w:lang w:val="id"/>
        </w:rPr>
        <w:t xml:space="preserve">mengurangi </w:t>
      </w:r>
      <w:proofErr w:type="spellStart"/>
      <w:r>
        <w:rPr>
          <w:color w:val="000000" w:themeColor="text1"/>
          <w:lang w:val="en-US"/>
        </w:rPr>
        <w:t>nyeri</w:t>
      </w:r>
      <w:proofErr w:type="spellEnd"/>
      <w:r>
        <w:rPr>
          <w:color w:val="000000" w:themeColor="text1"/>
          <w:lang w:val="id"/>
        </w:rPr>
        <w:t>.</w:t>
      </w:r>
      <w:r>
        <w:rPr>
          <w:color w:val="000000" w:themeColor="text1"/>
        </w:rPr>
        <w:fldChar w:fldCharType="begin" w:fldLock="1"/>
      </w:r>
      <w:r>
        <w:rPr>
          <w:color w:val="000000" w:themeColor="text1"/>
        </w:rPr>
        <w:instrText>ADDIN CSL_CITATION {"citationItems":[{"id":"ITEM-1","itemData":{"DOI":"10.1186/s12974-016-0607-6","ISSN":"17422094","PMID":"27267059","abstract":"Interleukin-6 is an inflammatory cytokine with wide-ranging biological effects. It has been widely demonstrated that neuroinflammation plays a critical role in the development of pathological pain. Recently, various pathological pain models have shown elevated expression levels of interleukin-6 and its receptor in the spinal cord and dorsal root ganglia. Additionally, the administration of interleukin-6 could cause mechanical allodynia and thermal hyperalgesia, and an intrathecal injection of anti-interleukin-6 neutralizing antibody alleviated these pain-related behaviors. These studies indicated a pivotal role of interleukin-6 in pathological pain. In this review, we summarize the recent progress in understanding the roles and mechanisms of interleukin-6 in mediating pathological pain associated with bone cancer, peripheral nerve injury, spinal cord injury, chemotherapy-induced peripheral neuropathy, complete Freund's adjuvant injection, and carrageenan injection. Understanding and regulating interleukin-6 could be an interesting lead to novel therapeutic strategies for pathological pain.","author":[{"dropping-particle":"","family":"Zhou","given":"Ya Qu</w:instrText>
      </w:r>
      <w:r>
        <w:rPr>
          <w:color w:val="000000" w:themeColor="text1"/>
          <w:lang w:eastAsia="zh-CN"/>
        </w:rPr>
        <w:instrText>n","non-dropping-particle":"","parse-names":false,"suffix":""},{"dropping-particle":"","family":"Liu","given":"Zheng","non-dropping-particle":"","parse-names":false,"suffix":""},{"dropping-particle":"","family":"Liu","given":"Zhi Heng","non-dropping-particle":"","parse-names":false,"suffix":""},{"dropping-particle":"","family":"Chen","given":"Shu Ping","non-dropping-particle":"","parse-names":false,"suffix":""},{"dropping-particle":"","family":"Li","given":"Man","non-dropping-particle":"","parse-names":false,"suffix":""},{"dropping-particle":"","family":"Shahveranov","given":"Allahverdi","non-dropping-particle":"","parse-names":false,"suffix":""},{"dropping-particle":"","family":"Ye","given":"Da Wei","non-dropping-particle":"","parse-names":false,"suffix":""},{"dropping-particle":"","family":"Tian","given":"Yu Ke","non-dropping-particle":"","parse-names":false,"suffix":""}],"container-title":"Journal of Neuroinflammation","id":"ITEM-1","issue":"1","issued":{"date-parts":[["2016"]]},"page":"1-9","publisher":"Journal of Neuroinflammation","title":"Interleukin-6: an emerging regulator of pathological pain","type":"article-journal","volume":"13"},"uris":["http://www.mendeley.com/documents/?uuid=7dd3c5e2-39b6-4bc5-b5e8-c88acf6d3ef7"]}],"mendeley":{"formattedCitation":"&lt;sup&gt;19&lt;/sup&gt;","plainTextFormattedCitation":"19","previouslyFormattedCitation":"&lt;sup&gt;19&lt;/sup&gt;"},"properties":{"noteIndex":0},"schema":"https://github.com/citation-style-language/schema/raw/master/csl-citation.json"}</w:instrText>
      </w:r>
      <w:r>
        <w:rPr>
          <w:color w:val="000000" w:themeColor="text1"/>
        </w:rPr>
        <w:fldChar w:fldCharType="separate"/>
      </w:r>
      <w:r>
        <w:rPr>
          <w:noProof/>
          <w:color w:val="000000" w:themeColor="text1"/>
          <w:vertAlign w:val="superscript"/>
          <w:lang w:eastAsia="zh-CN"/>
        </w:rPr>
        <w:t>19</w:t>
      </w:r>
      <w:r>
        <w:rPr>
          <w:color w:val="000000" w:themeColor="text1"/>
        </w:rPr>
        <w:fldChar w:fldCharType="end"/>
      </w:r>
      <w:r>
        <w:rPr>
          <w:color w:val="000000" w:themeColor="text1"/>
          <w:lang w:val="en-US" w:eastAsia="zh-CN"/>
        </w:rPr>
        <w:t xml:space="preserve"> </w:t>
      </w:r>
    </w:p>
    <w:p w14:paraId="3F38FFA5" w14:textId="77777777" w:rsidR="003B79BC" w:rsidRDefault="00000000">
      <w:pPr>
        <w:spacing w:line="360" w:lineRule="auto"/>
        <w:ind w:firstLine="709"/>
        <w:jc w:val="both"/>
        <w:rPr>
          <w:color w:val="000000" w:themeColor="text1"/>
          <w:lang w:val="id-ID"/>
        </w:rPr>
      </w:pPr>
      <w:r>
        <w:rPr>
          <w:color w:val="000000" w:themeColor="text1"/>
          <w:lang w:val="id-ID" w:eastAsia="zh-CN"/>
        </w:rPr>
        <w:t xml:space="preserve">Pada penelitian sebelumnya telah melaporkan </w:t>
      </w:r>
      <w:r>
        <w:rPr>
          <w:rStyle w:val="rynqvb"/>
          <w:color w:val="000000" w:themeColor="text1"/>
          <w:lang w:val="id-ID" w:eastAsia="zh-CN"/>
        </w:rPr>
        <w:t xml:space="preserve">penggunaan dexmedetomidine dan anestesi lokal </w:t>
      </w:r>
      <w:r>
        <w:rPr>
          <w:rFonts w:eastAsiaTheme="minorEastAsia"/>
          <w:color w:val="000000" w:themeColor="text1"/>
          <w:lang w:val="id-ID" w:eastAsia="zh-CN"/>
        </w:rPr>
        <w:t xml:space="preserve">bupivacaine terhadap kadar IL-6 pasca operasi caesar dengan hasil bahwa pemberian bersama dexmedetomidine dan bupivacaine memperpanjang durasi blok motorik dan sensorik dibandingkan dengan </w:t>
      </w:r>
      <w:r>
        <w:rPr>
          <w:rFonts w:eastAsiaTheme="minorEastAsia"/>
          <w:color w:val="000000" w:themeColor="text1"/>
          <w:lang w:val="id-ID" w:eastAsia="zh-CN"/>
        </w:rPr>
        <w:lastRenderedPageBreak/>
        <w:t>penggunaan bupivacaine saja. Kadar IL-6 plasma pasca operasi lebih rendah pada kelompok yang dilakukan pemberian bersama dexmedetomidine dan bupivacaine. Pada 6 jam setelah operasi, skor nyeri lebih rendah pada kelompok pemberian bersama dexmedetomidine dan bupivacaine.</w:t>
      </w:r>
      <w:r>
        <w:rPr>
          <w:rFonts w:eastAsiaTheme="minorEastAsia"/>
          <w:color w:val="000000" w:themeColor="text1"/>
          <w:lang w:val="id-ID" w:eastAsia="zh-CN"/>
        </w:rPr>
        <w:fldChar w:fldCharType="begin" w:fldLock="1"/>
      </w:r>
      <w:r>
        <w:rPr>
          <w:rFonts w:eastAsiaTheme="minorEastAsia"/>
          <w:color w:val="000000" w:themeColor="text1"/>
          <w:lang w:val="id-ID" w:eastAsia="zh-CN"/>
        </w:rPr>
        <w:instrText>ADDIN CSL_CITATION {"citationItems":[{"id":"ITEM-1","itemData":{"DOI":"10.18632/oncotarget.18864","ISSN":"19492553","PMID":"28969013","abstract":"Object: In this study, we aimed to investigate the beneficial effects of dexmedetomidine on somato-visceral sensory block characteristcs, postoperative analgesia and stress response of intrathecal bupivacaine administration in women undergoing cesarean section, and to find out which dose is better. Methods: Sixty parturients with the American Society of Anesthesiologists (ASA) physical status I or II were anesthetized with intrathecal bupivacaine(10mg) alone or in combination with dexmedetomidine (3 μg and 5 μg) to undergo cesarean section. The anesthetic parameters, postoperative analgesia and stress responses were monitored. Results: Co-administration of dexmedetomidine(3 μg and 5 μg) prolonged the duration of motor and sensory block compared with bupivacaine(10mg) alone. Less supplemental dose of lidocaine and fentanyl were required in dexmedetomidine(3 μg and 5 μg) co-administration groups. Visceral traction response and abdominal muscle relaxation in operation were better in dexmedetomidine(3 μg and 5 μg) co-administration groups. No difference in haemodynamics was detected among groups. There was no significant difference in Apgar scores, neonatal umbilical pH, oxygen pressure, carbon dioxide pressure and lactate level among groups. Postoperative plasma IL-6 and cortisol levels were lower in dexmedetomidine(3 μg and 5 μg) co-administration groups. At 6 hour after operation the visual analogue scale (VAS) was smaller in dexmedetomidine(3 μg and 5 μg) co-administration groups. The uterine contraction pain at 6 and 12 hour after operation and supplemental analgesics had no difference across three groups. No difference of side effects(shivering, nausea and vomiting, itching), the first anal aerofluxus time and intraoperation tramadol dose were detected among the three groups. Conclusion: The use of dexmedetomidine especially at the dose of 3μg as an adjuvant to bupivacaine in cesarean surgery provides better intraoperative somatovisceral sensory block characteristcs and postoperative analgesia, which produced no influence on Apgar scores, side effects and stress response.","author":[{"dropping-particle":"","family":"Bi","given":"Yong Hong","non-dropping-particle":"","parse-names":false,"suffix":""},{"dropping-particle":"","family":"Cui","given":"Xiao Guang","non-dropping-particle":"","parse-names":false,"suffix":""},{"dropping-particle":"","family":"Zhang","given":"Rui Qin","non-dropping-particle":"","parse-names":false,"suffix":""},{"dropping-particle":"","family":"Song","given":"Chun Yu","non-dropping-particle":"","parse-names":false,"suffix":""},{"dropping-particle":"","family":"Zhang","given":"Yan Zhuo","non-dropping-particle":"","parse-names":false,"suffix":""}],"container-title":"Oncotarget","id":"ITEM-1","issue":"38","issued":{"date-parts":[["2017"]]},"page":"63587-63595","title":"Low dose of dexmedetomidine as an adjuvant to bupivacaine in cesarean surgery provides better intraoperative somato-visceral sensory block characteristcs and postoperative analgesia","type":"article-journal","volume":"8"},"uris":["http://www.mendeley.com/documents/?uuid=1b10f601-e088-4192-8fdc-ceaf017b8a7a"]}],"mendeley":{"formattedCitation":"&lt;sup&gt;20&lt;/sup&gt;","plainTextFormattedCitation":"20","previouslyFormattedCitation":"&lt;sup&gt;20&lt;/sup&gt;"},"properties":{"noteIndex":0},"schema":"https://github.com/citation-style-language/schema/raw/master/csl-citation.json"}</w:instrText>
      </w:r>
      <w:r>
        <w:rPr>
          <w:rFonts w:eastAsiaTheme="minorEastAsia"/>
          <w:color w:val="000000" w:themeColor="text1"/>
          <w:lang w:val="id-ID" w:eastAsia="zh-CN"/>
        </w:rPr>
        <w:fldChar w:fldCharType="separate"/>
      </w:r>
      <w:r>
        <w:rPr>
          <w:rFonts w:eastAsiaTheme="minorEastAsia"/>
          <w:noProof/>
          <w:color w:val="000000" w:themeColor="text1"/>
          <w:vertAlign w:val="superscript"/>
          <w:lang w:val="id-ID" w:eastAsia="zh-CN"/>
        </w:rPr>
        <w:t>20</w:t>
      </w:r>
      <w:r>
        <w:rPr>
          <w:rFonts w:eastAsiaTheme="minorEastAsia"/>
          <w:color w:val="000000" w:themeColor="text1"/>
          <w:lang w:val="id-ID" w:eastAsia="zh-CN"/>
        </w:rPr>
        <w:fldChar w:fldCharType="end"/>
      </w:r>
      <w:r>
        <w:rPr>
          <w:rFonts w:eastAsiaTheme="minorEastAsia"/>
          <w:color w:val="000000" w:themeColor="text1"/>
          <w:lang w:val="id-ID" w:eastAsia="zh-CN"/>
        </w:rPr>
        <w:t xml:space="preserve"> Meskipun demikian, penggunaan </w:t>
      </w:r>
      <w:r>
        <w:rPr>
          <w:rStyle w:val="rynqvb"/>
          <w:color w:val="000000" w:themeColor="text1"/>
          <w:lang w:val="id-ID"/>
        </w:rPr>
        <w:t>dexmedetomidine dan levo</w:t>
      </w:r>
      <w:r>
        <w:rPr>
          <w:rFonts w:eastAsiaTheme="minorEastAsia"/>
          <w:color w:val="000000" w:themeColor="text1"/>
          <w:lang w:val="id-ID"/>
        </w:rPr>
        <w:t xml:space="preserve">bupivacaine terhadap tingkat nyeri pada </w:t>
      </w:r>
      <w:r>
        <w:t>bedah tonsilektomi</w:t>
      </w:r>
      <w:r>
        <w:rPr>
          <w:lang w:val="id-ID"/>
        </w:rPr>
        <w:t xml:space="preserve"> masih terbatas dan</w:t>
      </w:r>
      <w:r>
        <w:rPr>
          <w:rFonts w:eastAsiaTheme="minorEastAsia"/>
          <w:color w:val="000000" w:themeColor="text1"/>
          <w:lang w:val="id-ID" w:eastAsia="zh-CN"/>
        </w:rPr>
        <w:t xml:space="preserve"> penelitian mengenai penggunaan </w:t>
      </w:r>
      <w:r>
        <w:rPr>
          <w:rStyle w:val="rynqvb"/>
          <w:color w:val="000000" w:themeColor="text1"/>
          <w:lang w:val="id-ID"/>
        </w:rPr>
        <w:t>dexmedetomidine dan levo</w:t>
      </w:r>
      <w:r>
        <w:rPr>
          <w:rFonts w:eastAsiaTheme="minorEastAsia"/>
          <w:color w:val="000000" w:themeColor="text1"/>
          <w:lang w:val="id-ID"/>
        </w:rPr>
        <w:t xml:space="preserve">bupivacaine terhadap kadar IL-6 belum pernah dilakukan sebelumnya. </w:t>
      </w:r>
      <w:r>
        <w:rPr>
          <w:rStyle w:val="q4iawc"/>
          <w:color w:val="000000" w:themeColor="text1"/>
          <w:lang w:val="id-ID"/>
        </w:rPr>
        <w:t xml:space="preserve">Oleh karena itu, penelitian ini tertarik untuk mengkaji </w:t>
      </w:r>
      <w:r>
        <w:t>pengaruh blok peritonsil</w:t>
      </w:r>
      <w:r w:rsidRPr="00F426C1">
        <w:rPr>
          <w:lang w:val="id-ID"/>
        </w:rPr>
        <w:t>e</w:t>
      </w:r>
      <w:r>
        <w:t xml:space="preserve">r </w:t>
      </w:r>
      <w:r>
        <w:rPr>
          <w:lang w:val="id-ID"/>
        </w:rPr>
        <w:t>levo</w:t>
      </w:r>
      <w:r>
        <w:t>bupiva</w:t>
      </w:r>
      <w:r>
        <w:rPr>
          <w:lang w:val="id-ID"/>
        </w:rPr>
        <w:t>ca</w:t>
      </w:r>
      <w:r>
        <w:t xml:space="preserve">ine isobarik terhadap intensitas nyeri dan kadar interleukin 6 </w:t>
      </w:r>
      <w:r>
        <w:rPr>
          <w:lang w:val="id-ID"/>
        </w:rPr>
        <w:t>p</w:t>
      </w:r>
      <w:r>
        <w:t xml:space="preserve">ada </w:t>
      </w:r>
      <w:r>
        <w:rPr>
          <w:lang w:val="id-ID"/>
        </w:rPr>
        <w:t>pascabedah</w:t>
      </w:r>
      <w:r>
        <w:t xml:space="preserve"> tonsilektomi</w:t>
      </w:r>
      <w:r>
        <w:rPr>
          <w:lang w:val="id-ID"/>
        </w:rPr>
        <w:t>.</w:t>
      </w:r>
    </w:p>
    <w:p w14:paraId="08B42002" w14:textId="77777777" w:rsidR="003B79BC" w:rsidRDefault="003B79BC">
      <w:pPr>
        <w:tabs>
          <w:tab w:val="left" w:pos="0"/>
          <w:tab w:val="left" w:pos="720"/>
        </w:tabs>
        <w:autoSpaceDE w:val="0"/>
        <w:autoSpaceDN w:val="0"/>
        <w:adjustRightInd w:val="0"/>
        <w:spacing w:line="360" w:lineRule="auto"/>
        <w:jc w:val="both"/>
        <w:rPr>
          <w:rStyle w:val="hps"/>
          <w:rFonts w:eastAsiaTheme="minorEastAsia"/>
          <w:lang w:eastAsia="zh-CN"/>
        </w:rPr>
      </w:pPr>
    </w:p>
    <w:p w14:paraId="013C8FA6" w14:textId="77777777" w:rsidR="003B79BC" w:rsidRDefault="00000000">
      <w:pPr>
        <w:pStyle w:val="Heading2"/>
        <w:numPr>
          <w:ilvl w:val="0"/>
          <w:numId w:val="1"/>
        </w:numPr>
        <w:spacing w:after="0"/>
        <w:ind w:left="567" w:hanging="567"/>
        <w:rPr>
          <w:b w:val="0"/>
          <w:bCs/>
          <w:color w:val="auto"/>
        </w:rPr>
      </w:pPr>
      <w:bookmarkStart w:id="7" w:name="_Toc158290223"/>
      <w:r>
        <w:rPr>
          <w:color w:val="auto"/>
        </w:rPr>
        <w:t>Rumusan</w:t>
      </w:r>
      <w:r>
        <w:rPr>
          <w:bCs/>
          <w:color w:val="auto"/>
        </w:rPr>
        <w:t xml:space="preserve"> Masalah</w:t>
      </w:r>
      <w:bookmarkEnd w:id="7"/>
    </w:p>
    <w:p w14:paraId="0B5F7926" w14:textId="77777777" w:rsidR="003B79BC" w:rsidRDefault="00000000">
      <w:pPr>
        <w:spacing w:line="360" w:lineRule="auto"/>
        <w:ind w:firstLine="567"/>
        <w:jc w:val="both"/>
        <w:rPr>
          <w:rFonts w:eastAsiaTheme="minorEastAsia"/>
          <w:lang w:val="id-ID" w:eastAsia="zh-CN"/>
        </w:rPr>
      </w:pPr>
      <w:r>
        <w:rPr>
          <w:lang w:eastAsia="zh-CN"/>
        </w:rPr>
        <w:t>Berdasarkan latar belakang yang telah diuraikan di atas maka dapat dirumuskan masalah penelitian, yaitu bagaimana pengaruh blok peritonsil</w:t>
      </w:r>
      <w:r>
        <w:rPr>
          <w:lang w:val="en-US" w:eastAsia="zh-CN"/>
        </w:rPr>
        <w:t>e</w:t>
      </w:r>
      <w:r>
        <w:rPr>
          <w:lang w:eastAsia="zh-CN"/>
        </w:rPr>
        <w:t xml:space="preserve">r </w:t>
      </w:r>
      <w:r>
        <w:rPr>
          <w:lang w:val="id-ID" w:eastAsia="zh-CN"/>
        </w:rPr>
        <w:t>levo</w:t>
      </w:r>
      <w:r>
        <w:rPr>
          <w:lang w:eastAsia="zh-CN"/>
        </w:rPr>
        <w:t>bupiva</w:t>
      </w:r>
      <w:r>
        <w:rPr>
          <w:lang w:val="id-ID" w:eastAsia="zh-CN"/>
        </w:rPr>
        <w:t>ca</w:t>
      </w:r>
      <w:r>
        <w:rPr>
          <w:lang w:eastAsia="zh-CN"/>
        </w:rPr>
        <w:t xml:space="preserve">ine isobarik 0,125% terhadap intensitas nyeri dan kadar interleukin 6 </w:t>
      </w:r>
      <w:r>
        <w:rPr>
          <w:lang w:val="id-ID" w:eastAsia="zh-CN"/>
        </w:rPr>
        <w:t>p</w:t>
      </w:r>
      <w:r>
        <w:rPr>
          <w:lang w:eastAsia="zh-CN"/>
        </w:rPr>
        <w:t xml:space="preserve">ada </w:t>
      </w:r>
      <w:r>
        <w:rPr>
          <w:lang w:val="id-ID" w:eastAsia="zh-CN"/>
        </w:rPr>
        <w:t>pascabedah</w:t>
      </w:r>
      <w:r>
        <w:rPr>
          <w:lang w:eastAsia="zh-CN"/>
        </w:rPr>
        <w:t xml:space="preserve"> tonsilektomi</w:t>
      </w:r>
      <w:r>
        <w:rPr>
          <w:lang w:val="id-ID" w:eastAsia="zh-CN"/>
        </w:rPr>
        <w:t>?</w:t>
      </w:r>
    </w:p>
    <w:p w14:paraId="68B74FDD" w14:textId="77777777" w:rsidR="003B79BC" w:rsidRDefault="003B79BC">
      <w:pPr>
        <w:spacing w:line="360" w:lineRule="auto"/>
        <w:jc w:val="both"/>
        <w:rPr>
          <w:lang w:eastAsia="zh-CN"/>
        </w:rPr>
      </w:pPr>
    </w:p>
    <w:p w14:paraId="5B7FCB4E" w14:textId="77777777" w:rsidR="003B79BC" w:rsidRDefault="00000000">
      <w:pPr>
        <w:pStyle w:val="Heading2"/>
        <w:numPr>
          <w:ilvl w:val="0"/>
          <w:numId w:val="1"/>
        </w:numPr>
        <w:spacing w:after="0"/>
        <w:ind w:left="567" w:hanging="567"/>
        <w:rPr>
          <w:b w:val="0"/>
          <w:bCs/>
        </w:rPr>
      </w:pPr>
      <w:bookmarkStart w:id="8" w:name="_Toc158290224"/>
      <w:r>
        <w:rPr>
          <w:bCs/>
        </w:rPr>
        <w:t xml:space="preserve">Tujuan </w:t>
      </w:r>
      <w:r>
        <w:t>Penelitian</w:t>
      </w:r>
      <w:bookmarkEnd w:id="8"/>
    </w:p>
    <w:p w14:paraId="50A754CA" w14:textId="77777777" w:rsidR="003B79BC" w:rsidRDefault="00000000">
      <w:pPr>
        <w:pStyle w:val="Heading3"/>
        <w:numPr>
          <w:ilvl w:val="2"/>
          <w:numId w:val="2"/>
        </w:numPr>
        <w:spacing w:before="0" w:after="0" w:line="360" w:lineRule="auto"/>
        <w:ind w:left="709"/>
      </w:pPr>
      <w:bookmarkStart w:id="9" w:name="_Toc158290225"/>
      <w:r>
        <w:t>Tujuan Umum</w:t>
      </w:r>
      <w:bookmarkEnd w:id="9"/>
    </w:p>
    <w:p w14:paraId="3E6CA0F9" w14:textId="77777777" w:rsidR="003B79BC" w:rsidRDefault="00000000">
      <w:pPr>
        <w:spacing w:line="360" w:lineRule="auto"/>
        <w:ind w:firstLine="709"/>
        <w:jc w:val="both"/>
        <w:rPr>
          <w:rFonts w:eastAsiaTheme="minorEastAsia"/>
          <w:lang w:val="id-ID" w:eastAsia="zh-CN"/>
        </w:rPr>
      </w:pPr>
      <w:r>
        <w:rPr>
          <w:lang w:val="id-ID" w:eastAsia="zh-CN"/>
        </w:rPr>
        <w:t>Penelitian ini bertujuan u</w:t>
      </w:r>
      <w:proofErr w:type="spellStart"/>
      <w:r>
        <w:rPr>
          <w:lang w:val="en-US" w:eastAsia="zh-CN"/>
        </w:rPr>
        <w:t>ntuk</w:t>
      </w:r>
      <w:proofErr w:type="spellEnd"/>
      <w:r>
        <w:rPr>
          <w:lang w:val="en-US" w:eastAsia="zh-CN"/>
        </w:rPr>
        <w:t xml:space="preserve"> </w:t>
      </w:r>
      <w:r>
        <w:rPr>
          <w:lang w:eastAsia="zh-CN"/>
        </w:rPr>
        <w:t>mengetahui pengaruh blok peritonsil</w:t>
      </w:r>
      <w:r>
        <w:rPr>
          <w:lang w:val="en-US" w:eastAsia="zh-CN"/>
        </w:rPr>
        <w:t>e</w:t>
      </w:r>
      <w:r>
        <w:rPr>
          <w:lang w:eastAsia="zh-CN"/>
        </w:rPr>
        <w:t xml:space="preserve">r </w:t>
      </w:r>
      <w:r>
        <w:rPr>
          <w:lang w:val="id-ID" w:eastAsia="zh-CN"/>
        </w:rPr>
        <w:t>levo</w:t>
      </w:r>
      <w:r>
        <w:rPr>
          <w:lang w:eastAsia="zh-CN"/>
        </w:rPr>
        <w:t>bupiva</w:t>
      </w:r>
      <w:r>
        <w:rPr>
          <w:lang w:val="id-ID" w:eastAsia="zh-CN"/>
        </w:rPr>
        <w:t>ca</w:t>
      </w:r>
      <w:r>
        <w:rPr>
          <w:lang w:eastAsia="zh-CN"/>
        </w:rPr>
        <w:t xml:space="preserve">ine isobarik 0,125% terhadap intensitas nyeri dan kadar interleukin 6 </w:t>
      </w:r>
      <w:r>
        <w:rPr>
          <w:lang w:val="id-ID" w:eastAsia="zh-CN"/>
        </w:rPr>
        <w:t>p</w:t>
      </w:r>
      <w:r>
        <w:rPr>
          <w:lang w:eastAsia="zh-CN"/>
        </w:rPr>
        <w:t xml:space="preserve">ada </w:t>
      </w:r>
      <w:r>
        <w:rPr>
          <w:lang w:val="id-ID" w:eastAsia="zh-CN"/>
        </w:rPr>
        <w:t>pascabedah</w:t>
      </w:r>
      <w:r>
        <w:rPr>
          <w:lang w:eastAsia="zh-CN"/>
        </w:rPr>
        <w:t xml:space="preserve"> tonsilektomi</w:t>
      </w:r>
      <w:r>
        <w:rPr>
          <w:lang w:val="id-ID" w:eastAsia="zh-CN"/>
        </w:rPr>
        <w:t>.</w:t>
      </w:r>
    </w:p>
    <w:p w14:paraId="68685742" w14:textId="77777777" w:rsidR="003B79BC" w:rsidRDefault="003B79BC">
      <w:pPr>
        <w:spacing w:line="360" w:lineRule="auto"/>
        <w:ind w:firstLine="709"/>
        <w:jc w:val="both"/>
        <w:rPr>
          <w:rFonts w:eastAsiaTheme="minorEastAsia"/>
          <w:lang w:val="id-ID" w:eastAsia="zh-CN"/>
        </w:rPr>
      </w:pPr>
    </w:p>
    <w:p w14:paraId="05E860E9" w14:textId="77777777" w:rsidR="003B79BC" w:rsidRDefault="00000000">
      <w:pPr>
        <w:pStyle w:val="Heading3"/>
        <w:numPr>
          <w:ilvl w:val="2"/>
          <w:numId w:val="2"/>
        </w:numPr>
        <w:spacing w:before="0" w:after="0" w:line="360" w:lineRule="auto"/>
        <w:ind w:left="709"/>
        <w:rPr>
          <w:b w:val="0"/>
          <w:bCs/>
        </w:rPr>
      </w:pPr>
      <w:bookmarkStart w:id="10" w:name="_Toc158290226"/>
      <w:r>
        <w:rPr>
          <w:bCs/>
        </w:rPr>
        <w:t xml:space="preserve">Tujuan </w:t>
      </w:r>
      <w:r>
        <w:t>Khusus</w:t>
      </w:r>
      <w:bookmarkStart w:id="11" w:name="_Hlk138232895"/>
      <w:bookmarkEnd w:id="10"/>
    </w:p>
    <w:p w14:paraId="3EDA8DA1" w14:textId="77777777" w:rsidR="003B79BC" w:rsidRDefault="00000000">
      <w:pPr>
        <w:pStyle w:val="ListParagraph"/>
        <w:numPr>
          <w:ilvl w:val="0"/>
          <w:numId w:val="3"/>
        </w:numPr>
        <w:spacing w:after="160" w:line="360" w:lineRule="auto"/>
        <w:ind w:left="709"/>
        <w:jc w:val="both"/>
        <w:rPr>
          <w:lang w:eastAsia="zh-CN"/>
        </w:rPr>
      </w:pPr>
      <w:r>
        <w:rPr>
          <w:color w:val="000000" w:themeColor="text1"/>
          <w:lang w:val="en-US" w:eastAsia="zh-CN"/>
        </w:rPr>
        <w:t>Untuk m</w:t>
      </w:r>
      <w:r>
        <w:rPr>
          <w:color w:val="000000" w:themeColor="text1"/>
          <w:lang w:eastAsia="zh-CN"/>
        </w:rPr>
        <w:t>e</w:t>
      </w:r>
      <w:proofErr w:type="spellStart"/>
      <w:r>
        <w:rPr>
          <w:color w:val="000000" w:themeColor="text1"/>
          <w:lang w:val="en-US" w:eastAsia="zh-CN"/>
        </w:rPr>
        <w:t>nilai</w:t>
      </w:r>
      <w:proofErr w:type="spellEnd"/>
      <w:r>
        <w:rPr>
          <w:color w:val="000000" w:themeColor="text1"/>
          <w:lang w:val="en-US" w:eastAsia="zh-CN"/>
        </w:rPr>
        <w:t xml:space="preserve"> dan </w:t>
      </w:r>
      <w:proofErr w:type="spellStart"/>
      <w:r>
        <w:rPr>
          <w:color w:val="000000" w:themeColor="text1"/>
          <w:lang w:val="en-US" w:eastAsia="zh-CN"/>
        </w:rPr>
        <w:t>membandingkan</w:t>
      </w:r>
      <w:proofErr w:type="spellEnd"/>
      <w:r>
        <w:rPr>
          <w:color w:val="000000" w:themeColor="text1"/>
          <w:lang w:eastAsia="zh-CN"/>
        </w:rPr>
        <w:t xml:space="preserve"> intensitas nyeri</w:t>
      </w:r>
      <w:r>
        <w:rPr>
          <w:color w:val="000000" w:themeColor="text1"/>
          <w:lang w:val="en-US" w:eastAsia="zh-CN"/>
        </w:rPr>
        <w:t xml:space="preserve"> </w:t>
      </w:r>
      <w:proofErr w:type="spellStart"/>
      <w:r>
        <w:rPr>
          <w:color w:val="000000" w:themeColor="text1"/>
          <w:lang w:val="en-US" w:eastAsia="zh-CN"/>
        </w:rPr>
        <w:t>melalui</w:t>
      </w:r>
      <w:proofErr w:type="spellEnd"/>
      <w:r>
        <w:rPr>
          <w:color w:val="000000" w:themeColor="text1"/>
          <w:lang w:val="en-US" w:eastAsia="zh-CN"/>
        </w:rPr>
        <w:t xml:space="preserve"> skor VAS</w:t>
      </w:r>
      <w:r>
        <w:rPr>
          <w:color w:val="000000" w:themeColor="text1"/>
          <w:lang w:eastAsia="zh-CN"/>
        </w:rPr>
        <w:t xml:space="preserve"> </w:t>
      </w:r>
      <w:r>
        <w:rPr>
          <w:color w:val="000000" w:themeColor="text1"/>
          <w:lang w:val="id-ID" w:eastAsia="zh-CN"/>
        </w:rPr>
        <w:t>antara</w:t>
      </w:r>
      <w:r>
        <w:rPr>
          <w:color w:val="000000" w:themeColor="text1"/>
          <w:lang w:eastAsia="zh-CN"/>
        </w:rPr>
        <w:t xml:space="preserve"> </w:t>
      </w:r>
      <w:proofErr w:type="spellStart"/>
      <w:r>
        <w:rPr>
          <w:color w:val="000000" w:themeColor="text1"/>
          <w:lang w:val="en-US" w:eastAsia="zh-CN"/>
        </w:rPr>
        <w:t>kelompok</w:t>
      </w:r>
      <w:proofErr w:type="spellEnd"/>
      <w:r>
        <w:rPr>
          <w:color w:val="000000" w:themeColor="text1"/>
          <w:lang w:eastAsia="zh-CN"/>
        </w:rPr>
        <w:t xml:space="preserve"> </w:t>
      </w:r>
      <w:r>
        <w:rPr>
          <w:color w:val="000000" w:themeColor="text1"/>
          <w:lang w:val="en-US" w:eastAsia="zh-CN"/>
        </w:rPr>
        <w:t xml:space="preserve">yang </w:t>
      </w:r>
      <w:proofErr w:type="spellStart"/>
      <w:r>
        <w:rPr>
          <w:color w:val="000000" w:themeColor="text1"/>
          <w:lang w:val="en-US" w:eastAsia="zh-CN"/>
        </w:rPr>
        <w:t>diberikan</w:t>
      </w:r>
      <w:proofErr w:type="spellEnd"/>
      <w:r>
        <w:rPr>
          <w:color w:val="000000" w:themeColor="text1"/>
          <w:lang w:val="en-US" w:eastAsia="zh-CN"/>
        </w:rPr>
        <w:t xml:space="preserve"> </w:t>
      </w:r>
      <w:r>
        <w:rPr>
          <w:lang w:eastAsia="zh-CN"/>
        </w:rPr>
        <w:t>blok peritonsil</w:t>
      </w:r>
      <w:r>
        <w:rPr>
          <w:lang w:val="en-US" w:eastAsia="zh-CN"/>
        </w:rPr>
        <w:t>e</w:t>
      </w:r>
      <w:r>
        <w:rPr>
          <w:lang w:eastAsia="zh-CN"/>
        </w:rPr>
        <w:t xml:space="preserve">r </w:t>
      </w:r>
      <w:r>
        <w:rPr>
          <w:lang w:val="id-ID" w:eastAsia="zh-CN"/>
        </w:rPr>
        <w:t>levo</w:t>
      </w:r>
      <w:r>
        <w:rPr>
          <w:lang w:eastAsia="zh-CN"/>
        </w:rPr>
        <w:t>bupiva</w:t>
      </w:r>
      <w:r>
        <w:rPr>
          <w:lang w:val="id-ID" w:eastAsia="zh-CN"/>
        </w:rPr>
        <w:t>ca</w:t>
      </w:r>
      <w:r>
        <w:rPr>
          <w:lang w:eastAsia="zh-CN"/>
        </w:rPr>
        <w:t>ine isobarik 0,125</w:t>
      </w:r>
      <w:proofErr w:type="gramStart"/>
      <w:r>
        <w:rPr>
          <w:lang w:eastAsia="zh-CN"/>
        </w:rPr>
        <w:t xml:space="preserve">% </w:t>
      </w:r>
      <w:r>
        <w:rPr>
          <w:lang w:val="id-ID" w:eastAsia="zh-CN"/>
        </w:rPr>
        <w:t xml:space="preserve"> </w:t>
      </w:r>
      <w:r>
        <w:rPr>
          <w:lang w:val="en-US" w:eastAsia="zh-CN"/>
        </w:rPr>
        <w:t>dengan</w:t>
      </w:r>
      <w:proofErr w:type="gramEnd"/>
      <w:r>
        <w:rPr>
          <w:lang w:val="en-US" w:eastAsia="zh-CN"/>
        </w:rPr>
        <w:t xml:space="preserve"> </w:t>
      </w:r>
      <w:proofErr w:type="spellStart"/>
      <w:r>
        <w:rPr>
          <w:lang w:val="en-US" w:eastAsia="zh-CN"/>
        </w:rPr>
        <w:t>kelompok</w:t>
      </w:r>
      <w:proofErr w:type="spellEnd"/>
      <w:r>
        <w:rPr>
          <w:lang w:val="id-ID" w:eastAsia="zh-CN"/>
        </w:rPr>
        <w:t xml:space="preserve"> tanpa </w:t>
      </w:r>
      <w:r>
        <w:rPr>
          <w:lang w:eastAsia="zh-CN"/>
        </w:rPr>
        <w:t>blok peritonsil</w:t>
      </w:r>
      <w:r>
        <w:rPr>
          <w:lang w:val="en-US" w:eastAsia="zh-CN"/>
        </w:rPr>
        <w:t>e</w:t>
      </w:r>
      <w:r>
        <w:rPr>
          <w:lang w:eastAsia="zh-CN"/>
        </w:rPr>
        <w:t xml:space="preserve">r </w:t>
      </w:r>
      <w:r>
        <w:rPr>
          <w:lang w:val="id-ID" w:eastAsia="zh-CN"/>
        </w:rPr>
        <w:t>levo</w:t>
      </w:r>
      <w:r>
        <w:rPr>
          <w:lang w:eastAsia="zh-CN"/>
        </w:rPr>
        <w:t>bupiva</w:t>
      </w:r>
      <w:r>
        <w:rPr>
          <w:lang w:val="id-ID" w:eastAsia="zh-CN"/>
        </w:rPr>
        <w:t>ca</w:t>
      </w:r>
      <w:r>
        <w:rPr>
          <w:lang w:eastAsia="zh-CN"/>
        </w:rPr>
        <w:t>ine isobarik 0,125%</w:t>
      </w:r>
      <w:r>
        <w:rPr>
          <w:lang w:val="id-ID" w:eastAsia="zh-CN"/>
        </w:rPr>
        <w:t xml:space="preserve"> p</w:t>
      </w:r>
      <w:r>
        <w:rPr>
          <w:lang w:eastAsia="zh-CN"/>
        </w:rPr>
        <w:t>ada tonsilektomi</w:t>
      </w:r>
      <w:r>
        <w:rPr>
          <w:color w:val="000000" w:themeColor="text1"/>
          <w:lang w:val="en-US" w:eastAsia="zh-CN"/>
        </w:rPr>
        <w:t>.</w:t>
      </w:r>
    </w:p>
    <w:p w14:paraId="61784229" w14:textId="77777777" w:rsidR="003B79BC" w:rsidRDefault="00000000">
      <w:pPr>
        <w:pStyle w:val="ListParagraph"/>
        <w:numPr>
          <w:ilvl w:val="0"/>
          <w:numId w:val="3"/>
        </w:numPr>
        <w:spacing w:after="160" w:line="360" w:lineRule="auto"/>
        <w:ind w:left="709"/>
        <w:jc w:val="both"/>
        <w:rPr>
          <w:lang w:eastAsia="zh-CN"/>
        </w:rPr>
      </w:pPr>
      <w:r>
        <w:rPr>
          <w:color w:val="000000" w:themeColor="text1"/>
          <w:lang w:val="en-US" w:eastAsia="zh-CN"/>
        </w:rPr>
        <w:t>Untuk m</w:t>
      </w:r>
      <w:r>
        <w:rPr>
          <w:color w:val="000000" w:themeColor="text1"/>
          <w:lang w:eastAsia="zh-CN"/>
        </w:rPr>
        <w:t>e</w:t>
      </w:r>
      <w:proofErr w:type="spellStart"/>
      <w:r>
        <w:rPr>
          <w:color w:val="000000" w:themeColor="text1"/>
          <w:lang w:val="en-US" w:eastAsia="zh-CN"/>
        </w:rPr>
        <w:t>nilai</w:t>
      </w:r>
      <w:proofErr w:type="spellEnd"/>
      <w:r>
        <w:rPr>
          <w:color w:val="000000" w:themeColor="text1"/>
          <w:lang w:val="en-US" w:eastAsia="zh-CN"/>
        </w:rPr>
        <w:t xml:space="preserve"> dan </w:t>
      </w:r>
      <w:proofErr w:type="spellStart"/>
      <w:r>
        <w:rPr>
          <w:color w:val="000000" w:themeColor="text1"/>
          <w:lang w:val="en-US" w:eastAsia="zh-CN"/>
        </w:rPr>
        <w:t>membandingkan</w:t>
      </w:r>
      <w:proofErr w:type="spellEnd"/>
      <w:r>
        <w:rPr>
          <w:color w:val="000000" w:themeColor="text1"/>
          <w:lang w:val="id-ID" w:eastAsia="zh-CN"/>
        </w:rPr>
        <w:t xml:space="preserve"> pemberian</w:t>
      </w:r>
      <w:r>
        <w:rPr>
          <w:color w:val="000000" w:themeColor="text1"/>
          <w:lang w:eastAsia="zh-CN"/>
        </w:rPr>
        <w:t xml:space="preserve"> </w:t>
      </w:r>
      <w:r>
        <w:rPr>
          <w:i/>
          <w:iCs/>
          <w:color w:val="000000" w:themeColor="text1"/>
          <w:lang w:val="en-US" w:eastAsia="zh-CN"/>
        </w:rPr>
        <w:t>rescue opioid</w:t>
      </w:r>
      <w:r>
        <w:rPr>
          <w:color w:val="000000" w:themeColor="text1"/>
          <w:lang w:eastAsia="zh-CN"/>
        </w:rPr>
        <w:t xml:space="preserve"> </w:t>
      </w:r>
      <w:r>
        <w:rPr>
          <w:color w:val="000000" w:themeColor="text1"/>
          <w:lang w:val="id-ID" w:eastAsia="zh-CN"/>
        </w:rPr>
        <w:t>antara</w:t>
      </w:r>
      <w:r>
        <w:rPr>
          <w:color w:val="000000" w:themeColor="text1"/>
          <w:lang w:eastAsia="zh-CN"/>
        </w:rPr>
        <w:t xml:space="preserve"> </w:t>
      </w:r>
      <w:proofErr w:type="spellStart"/>
      <w:r>
        <w:rPr>
          <w:color w:val="000000" w:themeColor="text1"/>
          <w:lang w:val="en-US" w:eastAsia="zh-CN"/>
        </w:rPr>
        <w:t>kelompok</w:t>
      </w:r>
      <w:proofErr w:type="spellEnd"/>
      <w:r>
        <w:rPr>
          <w:color w:val="000000" w:themeColor="text1"/>
          <w:lang w:val="en-US" w:eastAsia="zh-CN"/>
        </w:rPr>
        <w:t xml:space="preserve"> yang </w:t>
      </w:r>
      <w:proofErr w:type="spellStart"/>
      <w:r>
        <w:rPr>
          <w:color w:val="000000" w:themeColor="text1"/>
          <w:lang w:val="en-US" w:eastAsia="zh-CN"/>
        </w:rPr>
        <w:t>diberikan</w:t>
      </w:r>
      <w:proofErr w:type="spellEnd"/>
      <w:r>
        <w:rPr>
          <w:color w:val="000000" w:themeColor="text1"/>
          <w:lang w:val="en-US" w:eastAsia="zh-CN"/>
        </w:rPr>
        <w:t xml:space="preserve"> </w:t>
      </w:r>
      <w:r>
        <w:rPr>
          <w:lang w:eastAsia="zh-CN"/>
        </w:rPr>
        <w:t>blok peritonsil</w:t>
      </w:r>
      <w:r>
        <w:rPr>
          <w:lang w:val="en-US" w:eastAsia="zh-CN"/>
        </w:rPr>
        <w:t>e</w:t>
      </w:r>
      <w:r>
        <w:rPr>
          <w:lang w:eastAsia="zh-CN"/>
        </w:rPr>
        <w:t xml:space="preserve">r </w:t>
      </w:r>
      <w:r>
        <w:rPr>
          <w:lang w:val="id-ID" w:eastAsia="zh-CN"/>
        </w:rPr>
        <w:t>levo</w:t>
      </w:r>
      <w:r>
        <w:rPr>
          <w:lang w:eastAsia="zh-CN"/>
        </w:rPr>
        <w:t>bupiva</w:t>
      </w:r>
      <w:r>
        <w:rPr>
          <w:lang w:val="id-ID" w:eastAsia="zh-CN"/>
        </w:rPr>
        <w:t>ca</w:t>
      </w:r>
      <w:r>
        <w:rPr>
          <w:lang w:eastAsia="zh-CN"/>
        </w:rPr>
        <w:t>ine isobarik 0,125%</w:t>
      </w:r>
      <w:r>
        <w:rPr>
          <w:lang w:val="id-ID" w:eastAsia="zh-CN"/>
        </w:rPr>
        <w:t xml:space="preserve"> </w:t>
      </w:r>
      <w:r>
        <w:rPr>
          <w:lang w:val="en-US" w:eastAsia="zh-CN"/>
        </w:rPr>
        <w:lastRenderedPageBreak/>
        <w:t xml:space="preserve">dengan </w:t>
      </w:r>
      <w:proofErr w:type="spellStart"/>
      <w:r>
        <w:rPr>
          <w:lang w:val="en-US" w:eastAsia="zh-CN"/>
        </w:rPr>
        <w:t>kelompok</w:t>
      </w:r>
      <w:proofErr w:type="spellEnd"/>
      <w:r>
        <w:rPr>
          <w:lang w:val="id-ID" w:eastAsia="zh-CN"/>
        </w:rPr>
        <w:t xml:space="preserve"> tanpa</w:t>
      </w:r>
      <w:r>
        <w:rPr>
          <w:color w:val="000000" w:themeColor="text1"/>
          <w:lang w:val="en-US" w:eastAsia="zh-CN"/>
        </w:rPr>
        <w:t xml:space="preserve"> </w:t>
      </w:r>
      <w:r>
        <w:rPr>
          <w:lang w:eastAsia="zh-CN"/>
        </w:rPr>
        <w:t>blok peritonsil</w:t>
      </w:r>
      <w:r>
        <w:rPr>
          <w:lang w:val="en-US" w:eastAsia="zh-CN"/>
        </w:rPr>
        <w:t>e</w:t>
      </w:r>
      <w:r>
        <w:rPr>
          <w:lang w:eastAsia="zh-CN"/>
        </w:rPr>
        <w:t xml:space="preserve">r </w:t>
      </w:r>
      <w:r>
        <w:rPr>
          <w:lang w:val="id-ID" w:eastAsia="zh-CN"/>
        </w:rPr>
        <w:t>levo</w:t>
      </w:r>
      <w:r>
        <w:rPr>
          <w:lang w:eastAsia="zh-CN"/>
        </w:rPr>
        <w:t>bupiva</w:t>
      </w:r>
      <w:r>
        <w:rPr>
          <w:lang w:val="id-ID" w:eastAsia="zh-CN"/>
        </w:rPr>
        <w:t>ca</w:t>
      </w:r>
      <w:r>
        <w:rPr>
          <w:lang w:eastAsia="zh-CN"/>
        </w:rPr>
        <w:t xml:space="preserve">ine isobarik 0,125% </w:t>
      </w:r>
      <w:r>
        <w:rPr>
          <w:lang w:val="id-ID" w:eastAsia="zh-CN"/>
        </w:rPr>
        <w:t>p</w:t>
      </w:r>
      <w:r>
        <w:rPr>
          <w:lang w:eastAsia="zh-CN"/>
        </w:rPr>
        <w:t>ada tonsilektomi</w:t>
      </w:r>
      <w:r>
        <w:rPr>
          <w:color w:val="000000" w:themeColor="text1"/>
          <w:lang w:val="en-US" w:eastAsia="zh-CN"/>
        </w:rPr>
        <w:t>.</w:t>
      </w:r>
    </w:p>
    <w:p w14:paraId="5D8F1594" w14:textId="77777777" w:rsidR="003B79BC" w:rsidRDefault="00000000">
      <w:pPr>
        <w:pStyle w:val="ListParagraph"/>
        <w:numPr>
          <w:ilvl w:val="0"/>
          <w:numId w:val="3"/>
        </w:numPr>
        <w:spacing w:after="160" w:line="360" w:lineRule="auto"/>
        <w:ind w:left="709"/>
        <w:jc w:val="both"/>
        <w:rPr>
          <w:lang w:eastAsia="zh-CN"/>
        </w:rPr>
      </w:pPr>
      <w:r>
        <w:rPr>
          <w:color w:val="000000" w:themeColor="text1"/>
          <w:lang w:val="en-US" w:eastAsia="zh-CN"/>
        </w:rPr>
        <w:t>Untuk m</w:t>
      </w:r>
      <w:r>
        <w:rPr>
          <w:color w:val="000000" w:themeColor="text1"/>
          <w:lang w:eastAsia="zh-CN"/>
        </w:rPr>
        <w:t>e</w:t>
      </w:r>
      <w:proofErr w:type="spellStart"/>
      <w:r>
        <w:rPr>
          <w:color w:val="000000" w:themeColor="text1"/>
          <w:lang w:val="en-US" w:eastAsia="zh-CN"/>
        </w:rPr>
        <w:t>nilai</w:t>
      </w:r>
      <w:proofErr w:type="spellEnd"/>
      <w:r>
        <w:rPr>
          <w:color w:val="000000" w:themeColor="text1"/>
          <w:lang w:val="en-US" w:eastAsia="zh-CN"/>
        </w:rPr>
        <w:t xml:space="preserve"> dan </w:t>
      </w:r>
      <w:proofErr w:type="spellStart"/>
      <w:r>
        <w:rPr>
          <w:color w:val="000000" w:themeColor="text1"/>
          <w:lang w:val="en-US" w:eastAsia="zh-CN"/>
        </w:rPr>
        <w:t>membandingkan</w:t>
      </w:r>
      <w:proofErr w:type="spellEnd"/>
      <w:r>
        <w:rPr>
          <w:color w:val="000000" w:themeColor="text1"/>
          <w:lang w:val="id-ID" w:eastAsia="zh-CN"/>
        </w:rPr>
        <w:t xml:space="preserve"> efek samping antara</w:t>
      </w:r>
      <w:r>
        <w:rPr>
          <w:color w:val="000000" w:themeColor="text1"/>
          <w:lang w:eastAsia="zh-CN"/>
        </w:rPr>
        <w:t xml:space="preserve"> </w:t>
      </w:r>
      <w:proofErr w:type="spellStart"/>
      <w:r>
        <w:rPr>
          <w:color w:val="000000" w:themeColor="text1"/>
          <w:lang w:val="en-US" w:eastAsia="zh-CN"/>
        </w:rPr>
        <w:t>kelompok</w:t>
      </w:r>
      <w:proofErr w:type="spellEnd"/>
      <w:r>
        <w:rPr>
          <w:color w:val="000000" w:themeColor="text1"/>
          <w:lang w:eastAsia="zh-CN"/>
        </w:rPr>
        <w:t xml:space="preserve"> </w:t>
      </w:r>
      <w:r>
        <w:rPr>
          <w:color w:val="000000" w:themeColor="text1"/>
          <w:lang w:val="en-US" w:eastAsia="zh-CN"/>
        </w:rPr>
        <w:t xml:space="preserve">yang </w:t>
      </w:r>
      <w:proofErr w:type="spellStart"/>
      <w:r>
        <w:rPr>
          <w:color w:val="000000" w:themeColor="text1"/>
          <w:lang w:val="en-US" w:eastAsia="zh-CN"/>
        </w:rPr>
        <w:t>diberikan</w:t>
      </w:r>
      <w:proofErr w:type="spellEnd"/>
      <w:r>
        <w:rPr>
          <w:color w:val="000000" w:themeColor="text1"/>
          <w:lang w:val="en-US" w:eastAsia="zh-CN"/>
        </w:rPr>
        <w:t xml:space="preserve"> </w:t>
      </w:r>
      <w:r>
        <w:rPr>
          <w:lang w:eastAsia="zh-CN"/>
        </w:rPr>
        <w:t>blok peritonsil</w:t>
      </w:r>
      <w:r>
        <w:rPr>
          <w:lang w:val="en-US" w:eastAsia="zh-CN"/>
        </w:rPr>
        <w:t>e</w:t>
      </w:r>
      <w:r>
        <w:rPr>
          <w:lang w:eastAsia="zh-CN"/>
        </w:rPr>
        <w:t xml:space="preserve">r </w:t>
      </w:r>
      <w:r>
        <w:rPr>
          <w:lang w:val="id-ID" w:eastAsia="zh-CN"/>
        </w:rPr>
        <w:t>levo</w:t>
      </w:r>
      <w:r>
        <w:rPr>
          <w:lang w:eastAsia="zh-CN"/>
        </w:rPr>
        <w:t>bupiva</w:t>
      </w:r>
      <w:r>
        <w:rPr>
          <w:lang w:val="id-ID" w:eastAsia="zh-CN"/>
        </w:rPr>
        <w:t>ca</w:t>
      </w:r>
      <w:r>
        <w:rPr>
          <w:lang w:eastAsia="zh-CN"/>
        </w:rPr>
        <w:t xml:space="preserve">ine isobarik 0,125% </w:t>
      </w:r>
      <w:r>
        <w:rPr>
          <w:lang w:val="en-US" w:eastAsia="zh-CN"/>
        </w:rPr>
        <w:t xml:space="preserve">dengan </w:t>
      </w:r>
      <w:proofErr w:type="spellStart"/>
      <w:r>
        <w:rPr>
          <w:lang w:val="en-US" w:eastAsia="zh-CN"/>
        </w:rPr>
        <w:t>kelompok</w:t>
      </w:r>
      <w:proofErr w:type="spellEnd"/>
      <w:r>
        <w:rPr>
          <w:lang w:val="id-ID" w:eastAsia="zh-CN"/>
        </w:rPr>
        <w:t xml:space="preserve"> tanpa </w:t>
      </w:r>
      <w:r>
        <w:rPr>
          <w:lang w:eastAsia="zh-CN"/>
        </w:rPr>
        <w:t>blok peritonsil</w:t>
      </w:r>
      <w:r>
        <w:rPr>
          <w:lang w:val="en-US" w:eastAsia="zh-CN"/>
        </w:rPr>
        <w:t>e</w:t>
      </w:r>
      <w:r>
        <w:rPr>
          <w:lang w:eastAsia="zh-CN"/>
        </w:rPr>
        <w:t xml:space="preserve">r </w:t>
      </w:r>
      <w:r>
        <w:rPr>
          <w:lang w:val="id-ID" w:eastAsia="zh-CN"/>
        </w:rPr>
        <w:t>levo</w:t>
      </w:r>
      <w:r>
        <w:rPr>
          <w:lang w:eastAsia="zh-CN"/>
        </w:rPr>
        <w:t>bupiva</w:t>
      </w:r>
      <w:r>
        <w:rPr>
          <w:lang w:val="id-ID" w:eastAsia="zh-CN"/>
        </w:rPr>
        <w:t>ca</w:t>
      </w:r>
      <w:r>
        <w:rPr>
          <w:lang w:eastAsia="zh-CN"/>
        </w:rPr>
        <w:t>ine isobarik 0,125%</w:t>
      </w:r>
      <w:r>
        <w:rPr>
          <w:lang w:val="id-ID" w:eastAsia="zh-CN"/>
        </w:rPr>
        <w:t xml:space="preserve"> p</w:t>
      </w:r>
      <w:r>
        <w:rPr>
          <w:lang w:eastAsia="zh-CN"/>
        </w:rPr>
        <w:t>ada tonsilektomi</w:t>
      </w:r>
      <w:r>
        <w:rPr>
          <w:color w:val="000000" w:themeColor="text1"/>
          <w:lang w:val="en-US" w:eastAsia="zh-CN"/>
        </w:rPr>
        <w:t>.</w:t>
      </w:r>
    </w:p>
    <w:p w14:paraId="553BC42D" w14:textId="77777777" w:rsidR="003B79BC" w:rsidRDefault="00000000">
      <w:pPr>
        <w:pStyle w:val="ListParagraph"/>
        <w:numPr>
          <w:ilvl w:val="0"/>
          <w:numId w:val="3"/>
        </w:numPr>
        <w:spacing w:after="160" w:line="360" w:lineRule="auto"/>
        <w:ind w:left="709"/>
        <w:jc w:val="both"/>
        <w:rPr>
          <w:lang w:eastAsia="zh-CN"/>
        </w:rPr>
      </w:pPr>
      <w:r>
        <w:rPr>
          <w:color w:val="000000" w:themeColor="text1"/>
          <w:lang w:val="en-US" w:eastAsia="zh-CN"/>
        </w:rPr>
        <w:t>Untuk m</w:t>
      </w:r>
      <w:r>
        <w:rPr>
          <w:color w:val="000000" w:themeColor="text1"/>
          <w:lang w:eastAsia="zh-CN"/>
        </w:rPr>
        <w:t>e</w:t>
      </w:r>
      <w:proofErr w:type="spellStart"/>
      <w:r>
        <w:rPr>
          <w:color w:val="000000" w:themeColor="text1"/>
          <w:lang w:val="en-US" w:eastAsia="zh-CN"/>
        </w:rPr>
        <w:t>nilai</w:t>
      </w:r>
      <w:proofErr w:type="spellEnd"/>
      <w:r>
        <w:rPr>
          <w:color w:val="000000" w:themeColor="text1"/>
          <w:lang w:val="en-US" w:eastAsia="zh-CN"/>
        </w:rPr>
        <w:t xml:space="preserve"> dan </w:t>
      </w:r>
      <w:proofErr w:type="spellStart"/>
      <w:r>
        <w:rPr>
          <w:color w:val="000000" w:themeColor="text1"/>
          <w:lang w:val="en-US" w:eastAsia="zh-CN"/>
        </w:rPr>
        <w:t>membandingkan</w:t>
      </w:r>
      <w:proofErr w:type="spellEnd"/>
      <w:r>
        <w:rPr>
          <w:color w:val="000000" w:themeColor="text1"/>
          <w:lang w:val="id-ID" w:eastAsia="zh-CN"/>
        </w:rPr>
        <w:t xml:space="preserve"> kadar IL-6 antara</w:t>
      </w:r>
      <w:r>
        <w:rPr>
          <w:color w:val="000000" w:themeColor="text1"/>
          <w:lang w:eastAsia="zh-CN"/>
        </w:rPr>
        <w:t xml:space="preserve"> </w:t>
      </w:r>
      <w:proofErr w:type="spellStart"/>
      <w:r>
        <w:rPr>
          <w:color w:val="000000" w:themeColor="text1"/>
          <w:lang w:val="en-US" w:eastAsia="zh-CN"/>
        </w:rPr>
        <w:t>kelompok</w:t>
      </w:r>
      <w:proofErr w:type="spellEnd"/>
      <w:r>
        <w:rPr>
          <w:color w:val="000000" w:themeColor="text1"/>
          <w:lang w:eastAsia="zh-CN"/>
        </w:rPr>
        <w:t xml:space="preserve"> </w:t>
      </w:r>
      <w:r>
        <w:rPr>
          <w:color w:val="000000" w:themeColor="text1"/>
          <w:lang w:val="en-US" w:eastAsia="zh-CN"/>
        </w:rPr>
        <w:t xml:space="preserve">yang </w:t>
      </w:r>
      <w:proofErr w:type="spellStart"/>
      <w:r>
        <w:rPr>
          <w:color w:val="000000" w:themeColor="text1"/>
          <w:lang w:val="en-US" w:eastAsia="zh-CN"/>
        </w:rPr>
        <w:t>diberikan</w:t>
      </w:r>
      <w:proofErr w:type="spellEnd"/>
      <w:r>
        <w:rPr>
          <w:color w:val="000000" w:themeColor="text1"/>
          <w:lang w:val="en-US" w:eastAsia="zh-CN"/>
        </w:rPr>
        <w:t xml:space="preserve"> </w:t>
      </w:r>
      <w:r>
        <w:rPr>
          <w:lang w:eastAsia="zh-CN"/>
        </w:rPr>
        <w:t>blok peritonsil</w:t>
      </w:r>
      <w:r>
        <w:rPr>
          <w:lang w:val="en-US" w:eastAsia="zh-CN"/>
        </w:rPr>
        <w:t>e</w:t>
      </w:r>
      <w:r>
        <w:rPr>
          <w:lang w:eastAsia="zh-CN"/>
        </w:rPr>
        <w:t xml:space="preserve">r </w:t>
      </w:r>
      <w:r>
        <w:rPr>
          <w:lang w:val="id-ID" w:eastAsia="zh-CN"/>
        </w:rPr>
        <w:t>levo</w:t>
      </w:r>
      <w:r>
        <w:rPr>
          <w:lang w:eastAsia="zh-CN"/>
        </w:rPr>
        <w:t>bupiva</w:t>
      </w:r>
      <w:r>
        <w:rPr>
          <w:lang w:val="id-ID" w:eastAsia="zh-CN"/>
        </w:rPr>
        <w:t>ca</w:t>
      </w:r>
      <w:r>
        <w:rPr>
          <w:lang w:eastAsia="zh-CN"/>
        </w:rPr>
        <w:t xml:space="preserve">ine isobarik 0,125% </w:t>
      </w:r>
      <w:r>
        <w:rPr>
          <w:lang w:val="en-US" w:eastAsia="zh-CN"/>
        </w:rPr>
        <w:t xml:space="preserve">dengan </w:t>
      </w:r>
      <w:proofErr w:type="spellStart"/>
      <w:r>
        <w:rPr>
          <w:lang w:val="en-US" w:eastAsia="zh-CN"/>
        </w:rPr>
        <w:t>kelompok</w:t>
      </w:r>
      <w:proofErr w:type="spellEnd"/>
      <w:r>
        <w:rPr>
          <w:lang w:val="id-ID" w:eastAsia="zh-CN"/>
        </w:rPr>
        <w:t xml:space="preserve"> tanpa </w:t>
      </w:r>
      <w:r>
        <w:rPr>
          <w:lang w:eastAsia="zh-CN"/>
        </w:rPr>
        <w:t>blok peritonsil</w:t>
      </w:r>
      <w:r>
        <w:rPr>
          <w:lang w:val="en-US" w:eastAsia="zh-CN"/>
        </w:rPr>
        <w:t>e</w:t>
      </w:r>
      <w:r>
        <w:rPr>
          <w:lang w:eastAsia="zh-CN"/>
        </w:rPr>
        <w:t xml:space="preserve">r </w:t>
      </w:r>
      <w:r>
        <w:rPr>
          <w:lang w:val="id-ID" w:eastAsia="zh-CN"/>
        </w:rPr>
        <w:t>levo</w:t>
      </w:r>
      <w:r>
        <w:rPr>
          <w:lang w:eastAsia="zh-CN"/>
        </w:rPr>
        <w:t>bupiva</w:t>
      </w:r>
      <w:r>
        <w:rPr>
          <w:lang w:val="id-ID" w:eastAsia="zh-CN"/>
        </w:rPr>
        <w:t>ca</w:t>
      </w:r>
      <w:r>
        <w:rPr>
          <w:lang w:eastAsia="zh-CN"/>
        </w:rPr>
        <w:t xml:space="preserve">ine isobarik 0,125% </w:t>
      </w:r>
      <w:r>
        <w:rPr>
          <w:lang w:val="id-ID" w:eastAsia="zh-CN"/>
        </w:rPr>
        <w:t>p</w:t>
      </w:r>
      <w:r>
        <w:rPr>
          <w:lang w:eastAsia="zh-CN"/>
        </w:rPr>
        <w:t>ada tonsilektomi</w:t>
      </w:r>
      <w:r>
        <w:rPr>
          <w:color w:val="000000" w:themeColor="text1"/>
          <w:lang w:val="en-US" w:eastAsia="zh-CN"/>
        </w:rPr>
        <w:t>.</w:t>
      </w:r>
    </w:p>
    <w:bookmarkEnd w:id="11"/>
    <w:p w14:paraId="70E1E463" w14:textId="77777777" w:rsidR="003B79BC" w:rsidRDefault="003B79BC">
      <w:pPr>
        <w:spacing w:line="360" w:lineRule="auto"/>
        <w:jc w:val="both"/>
        <w:rPr>
          <w:rFonts w:eastAsiaTheme="minorEastAsia"/>
          <w:lang w:eastAsia="zh-CN"/>
        </w:rPr>
      </w:pPr>
    </w:p>
    <w:p w14:paraId="25039557" w14:textId="77777777" w:rsidR="003B79BC" w:rsidRDefault="00000000">
      <w:pPr>
        <w:pStyle w:val="Heading2"/>
        <w:numPr>
          <w:ilvl w:val="0"/>
          <w:numId w:val="1"/>
        </w:numPr>
        <w:spacing w:after="0"/>
        <w:ind w:left="567" w:hanging="567"/>
      </w:pPr>
      <w:bookmarkStart w:id="12" w:name="_Toc158290227"/>
      <w:r>
        <w:t>Hipotesis</w:t>
      </w:r>
      <w:bookmarkEnd w:id="12"/>
    </w:p>
    <w:p w14:paraId="1584E953" w14:textId="77777777" w:rsidR="003B79BC" w:rsidRDefault="00000000">
      <w:pPr>
        <w:spacing w:line="360" w:lineRule="auto"/>
        <w:ind w:firstLine="567"/>
        <w:jc w:val="both"/>
        <w:rPr>
          <w:color w:val="000000" w:themeColor="text1"/>
          <w:lang w:val="id-ID" w:eastAsia="zh-CN"/>
        </w:rPr>
      </w:pPr>
      <w:r>
        <w:rPr>
          <w:color w:val="000000" w:themeColor="text1"/>
          <w:lang w:val="id-ID" w:eastAsia="zh-CN"/>
        </w:rPr>
        <w:t xml:space="preserve">Hipotesis penelitian ini yaitu pemberian </w:t>
      </w:r>
      <w:r>
        <w:rPr>
          <w:lang w:eastAsia="zh-CN"/>
        </w:rPr>
        <w:t>blok peritonsil</w:t>
      </w:r>
      <w:r>
        <w:rPr>
          <w:lang w:val="en-US" w:eastAsia="zh-CN"/>
        </w:rPr>
        <w:t>e</w:t>
      </w:r>
      <w:r>
        <w:rPr>
          <w:lang w:eastAsia="zh-CN"/>
        </w:rPr>
        <w:t xml:space="preserve">r </w:t>
      </w:r>
      <w:r>
        <w:rPr>
          <w:lang w:val="id-ID" w:eastAsia="zh-CN"/>
        </w:rPr>
        <w:t>levo</w:t>
      </w:r>
      <w:r>
        <w:rPr>
          <w:lang w:eastAsia="zh-CN"/>
        </w:rPr>
        <w:t>bupiva</w:t>
      </w:r>
      <w:r>
        <w:rPr>
          <w:lang w:val="id-ID" w:eastAsia="zh-CN"/>
        </w:rPr>
        <w:t>ca</w:t>
      </w:r>
      <w:r>
        <w:rPr>
          <w:lang w:eastAsia="zh-CN"/>
        </w:rPr>
        <w:t xml:space="preserve">ine isobarik 0,125% pascabedah </w:t>
      </w:r>
      <w:r>
        <w:rPr>
          <w:lang w:val="id-ID" w:eastAsia="zh-CN"/>
        </w:rPr>
        <w:t>menurunkan</w:t>
      </w:r>
      <w:r>
        <w:rPr>
          <w:lang w:eastAsia="zh-CN"/>
        </w:rPr>
        <w:t xml:space="preserve"> intensitas nyeri dan kadar interleukin 6 </w:t>
      </w:r>
      <w:r>
        <w:rPr>
          <w:lang w:val="id-ID" w:eastAsia="zh-CN"/>
        </w:rPr>
        <w:t>p</w:t>
      </w:r>
      <w:r>
        <w:rPr>
          <w:lang w:eastAsia="zh-CN"/>
        </w:rPr>
        <w:t xml:space="preserve">ada </w:t>
      </w:r>
      <w:r>
        <w:rPr>
          <w:lang w:val="id-ID" w:eastAsia="zh-CN"/>
        </w:rPr>
        <w:t>pascabedah</w:t>
      </w:r>
      <w:r>
        <w:rPr>
          <w:lang w:eastAsia="zh-CN"/>
        </w:rPr>
        <w:t xml:space="preserve"> tonsilektomi</w:t>
      </w:r>
      <w:r>
        <w:rPr>
          <w:lang w:val="id-ID" w:eastAsia="zh-CN"/>
        </w:rPr>
        <w:t>.</w:t>
      </w:r>
    </w:p>
    <w:p w14:paraId="26F7C9E7" w14:textId="77777777" w:rsidR="003B79BC" w:rsidRDefault="003B79BC">
      <w:pPr>
        <w:pStyle w:val="Default"/>
        <w:tabs>
          <w:tab w:val="left" w:pos="426"/>
          <w:tab w:val="left" w:pos="851"/>
        </w:tabs>
        <w:spacing w:line="360" w:lineRule="auto"/>
        <w:jc w:val="center"/>
        <w:rPr>
          <w:lang w:val="en-US"/>
        </w:rPr>
      </w:pPr>
    </w:p>
    <w:p w14:paraId="0B0977F7" w14:textId="77777777" w:rsidR="003B79BC" w:rsidRDefault="00000000">
      <w:pPr>
        <w:pStyle w:val="Heading2"/>
        <w:numPr>
          <w:ilvl w:val="0"/>
          <w:numId w:val="1"/>
        </w:numPr>
        <w:spacing w:after="0"/>
        <w:ind w:left="567" w:hanging="567"/>
        <w:rPr>
          <w:b w:val="0"/>
          <w:bCs/>
          <w:color w:val="auto"/>
          <w:lang w:val="id-ID"/>
        </w:rPr>
      </w:pPr>
      <w:bookmarkStart w:id="13" w:name="_Toc158290228"/>
      <w:r>
        <w:rPr>
          <w:bCs/>
          <w:color w:val="auto"/>
        </w:rPr>
        <w:t xml:space="preserve">Manfaat </w:t>
      </w:r>
      <w:r>
        <w:rPr>
          <w:color w:val="auto"/>
        </w:rPr>
        <w:t>Penelitian</w:t>
      </w:r>
      <w:bookmarkEnd w:id="13"/>
    </w:p>
    <w:p w14:paraId="054BF86E" w14:textId="77777777" w:rsidR="003B79BC" w:rsidRDefault="00000000">
      <w:pPr>
        <w:pStyle w:val="Heading3"/>
        <w:ind w:left="709" w:hanging="709"/>
      </w:pPr>
      <w:bookmarkStart w:id="14" w:name="_Toc158290229"/>
      <w:r>
        <w:rPr>
          <w:lang w:val="id-ID"/>
        </w:rPr>
        <w:t>1.5.1</w:t>
      </w:r>
      <w:r>
        <w:rPr>
          <w:lang w:val="id-ID"/>
        </w:rPr>
        <w:tab/>
      </w:r>
      <w:r>
        <w:t xml:space="preserve">Manfaat </w:t>
      </w:r>
      <w:proofErr w:type="spellStart"/>
      <w:r>
        <w:rPr>
          <w:lang w:val="en-US"/>
        </w:rPr>
        <w:t>Ilmiah</w:t>
      </w:r>
      <w:bookmarkEnd w:id="14"/>
      <w:proofErr w:type="spellEnd"/>
    </w:p>
    <w:p w14:paraId="4E864231" w14:textId="77777777" w:rsidR="003B79BC" w:rsidRDefault="00000000">
      <w:pPr>
        <w:pStyle w:val="ListParagraph"/>
        <w:numPr>
          <w:ilvl w:val="3"/>
          <w:numId w:val="4"/>
        </w:numPr>
        <w:spacing w:line="360" w:lineRule="auto"/>
        <w:ind w:left="709"/>
        <w:jc w:val="both"/>
        <w:rPr>
          <w:lang w:val="en-US" w:eastAsia="zh-CN"/>
        </w:rPr>
      </w:pPr>
      <w:r>
        <w:rPr>
          <w:lang w:eastAsia="zh-CN"/>
        </w:rPr>
        <w:t>Penelitian ini diharapkan dapat memberikan informasi ilmiah yang bermanfaat mengenai blok peritonsil</w:t>
      </w:r>
      <w:r>
        <w:rPr>
          <w:lang w:val="en-US" w:eastAsia="zh-CN"/>
        </w:rPr>
        <w:t>e</w:t>
      </w:r>
      <w:r>
        <w:rPr>
          <w:lang w:eastAsia="zh-CN"/>
        </w:rPr>
        <w:t xml:space="preserve">r </w:t>
      </w:r>
      <w:r>
        <w:rPr>
          <w:lang w:val="id-ID" w:eastAsia="zh-CN"/>
        </w:rPr>
        <w:t>levo</w:t>
      </w:r>
      <w:r>
        <w:rPr>
          <w:lang w:eastAsia="zh-CN"/>
        </w:rPr>
        <w:t>bupiva</w:t>
      </w:r>
      <w:r>
        <w:rPr>
          <w:lang w:val="id-ID" w:eastAsia="zh-CN"/>
        </w:rPr>
        <w:t>ca</w:t>
      </w:r>
      <w:r>
        <w:rPr>
          <w:lang w:eastAsia="zh-CN"/>
        </w:rPr>
        <w:t xml:space="preserve">ine isobarik 0,125% pascabedah </w:t>
      </w:r>
      <w:r>
        <w:rPr>
          <w:lang w:val="en-US" w:eastAsia="zh-CN"/>
        </w:rPr>
        <w:t>terhadap</w:t>
      </w:r>
      <w:r>
        <w:rPr>
          <w:lang w:eastAsia="zh-CN"/>
        </w:rPr>
        <w:t xml:space="preserve"> intensitas nyeri dan kadar interleukin 6 </w:t>
      </w:r>
      <w:r>
        <w:rPr>
          <w:lang w:val="id-ID" w:eastAsia="zh-CN"/>
        </w:rPr>
        <w:t>p</w:t>
      </w:r>
      <w:r>
        <w:rPr>
          <w:lang w:eastAsia="zh-CN"/>
        </w:rPr>
        <w:t xml:space="preserve">ada </w:t>
      </w:r>
      <w:r>
        <w:rPr>
          <w:lang w:val="id-ID" w:eastAsia="zh-CN"/>
        </w:rPr>
        <w:t>pascabedah</w:t>
      </w:r>
      <w:r>
        <w:rPr>
          <w:lang w:eastAsia="zh-CN"/>
        </w:rPr>
        <w:t xml:space="preserve"> tonsilektomi</w:t>
      </w:r>
      <w:r>
        <w:rPr>
          <w:lang w:val="en-US" w:eastAsia="zh-CN"/>
        </w:rPr>
        <w:t>.</w:t>
      </w:r>
    </w:p>
    <w:p w14:paraId="0FA62E6A" w14:textId="77777777" w:rsidR="003B79BC" w:rsidRDefault="00000000">
      <w:pPr>
        <w:pStyle w:val="ListParagraph"/>
        <w:numPr>
          <w:ilvl w:val="3"/>
          <w:numId w:val="4"/>
        </w:numPr>
        <w:spacing w:line="360" w:lineRule="auto"/>
        <w:ind w:left="709"/>
        <w:jc w:val="both"/>
        <w:rPr>
          <w:lang w:val="en-US"/>
        </w:rPr>
      </w:pPr>
      <w:r>
        <w:t>Hasil penelitian ini juga diharapkan dapat digunakan sebagai landasan atau sumber pemikiran untuk penelitian dan penentuan kebijakan selanjutnya.</w:t>
      </w:r>
    </w:p>
    <w:p w14:paraId="754F5F76" w14:textId="77777777" w:rsidR="003B79BC" w:rsidRDefault="00000000">
      <w:pPr>
        <w:pStyle w:val="Heading3"/>
        <w:ind w:left="709" w:hanging="709"/>
      </w:pPr>
      <w:bookmarkStart w:id="15" w:name="_Toc158290230"/>
      <w:r>
        <w:rPr>
          <w:lang w:val="id-ID"/>
        </w:rPr>
        <w:t>1.5.2</w:t>
      </w:r>
      <w:r>
        <w:rPr>
          <w:lang w:val="id-ID"/>
        </w:rPr>
        <w:tab/>
      </w:r>
      <w:r>
        <w:t>Manfaat Praktis</w:t>
      </w:r>
      <w:bookmarkEnd w:id="15"/>
    </w:p>
    <w:p w14:paraId="010E3299" w14:textId="77777777" w:rsidR="003B79BC" w:rsidRDefault="00000000">
      <w:pPr>
        <w:spacing w:line="360" w:lineRule="auto"/>
        <w:ind w:firstLine="709"/>
        <w:jc w:val="both"/>
      </w:pPr>
      <w:r>
        <w:rPr>
          <w:lang w:val="en-US"/>
        </w:rPr>
        <w:t>B</w:t>
      </w:r>
      <w:r>
        <w:t>lok peritonsil</w:t>
      </w:r>
      <w:r>
        <w:rPr>
          <w:lang w:val="en-US"/>
        </w:rPr>
        <w:t>e</w:t>
      </w:r>
      <w:r>
        <w:t xml:space="preserve">r </w:t>
      </w:r>
      <w:r>
        <w:rPr>
          <w:lang w:val="id-ID"/>
        </w:rPr>
        <w:t>levo</w:t>
      </w:r>
      <w:r>
        <w:t>bupiva</w:t>
      </w:r>
      <w:r>
        <w:rPr>
          <w:lang w:val="id-ID"/>
        </w:rPr>
        <w:t>ca</w:t>
      </w:r>
      <w:r>
        <w:t>ine isobarik 0,125%</w:t>
      </w:r>
      <w:r>
        <w:rPr>
          <w:lang w:val="id-ID"/>
        </w:rPr>
        <w:t xml:space="preserve"> dapat digunakan sebagai manajemen nyeri </w:t>
      </w:r>
      <w:proofErr w:type="spellStart"/>
      <w:r>
        <w:rPr>
          <w:lang w:val="en-US"/>
        </w:rPr>
        <w:t>pasca</w:t>
      </w:r>
      <w:proofErr w:type="spellEnd"/>
      <w:r>
        <w:t>bedah tonsilektomi</w:t>
      </w:r>
      <w:r>
        <w:rPr>
          <w:lang w:val="id-ID"/>
        </w:rPr>
        <w:t xml:space="preserve"> untuk</w:t>
      </w:r>
      <w:r>
        <w:t xml:space="preserve"> kemajuan pelayanan anestesi di masa yang akan </w:t>
      </w:r>
      <w:proofErr w:type="spellStart"/>
      <w:r>
        <w:rPr>
          <w:lang w:val="en-US"/>
        </w:rPr>
        <w:t>datang</w:t>
      </w:r>
      <w:proofErr w:type="spellEnd"/>
      <w:r>
        <w:t>.</w:t>
      </w:r>
    </w:p>
    <w:p w14:paraId="18B7CD75" w14:textId="77777777" w:rsidR="003B79BC" w:rsidRDefault="003B79BC">
      <w:pPr>
        <w:pStyle w:val="ListParagraph"/>
        <w:spacing w:line="360" w:lineRule="auto"/>
        <w:ind w:left="851"/>
        <w:jc w:val="both"/>
        <w:rPr>
          <w:rFonts w:eastAsiaTheme="minorEastAsia"/>
          <w:lang w:eastAsia="zh-CN"/>
        </w:rPr>
      </w:pPr>
    </w:p>
    <w:p w14:paraId="5E51CBFB" w14:textId="77777777" w:rsidR="003B79BC" w:rsidRDefault="003B79BC">
      <w:pPr>
        <w:rPr>
          <w:color w:val="FF0000"/>
        </w:rPr>
      </w:pPr>
    </w:p>
    <w:p w14:paraId="030B56A8" w14:textId="77777777" w:rsidR="003B79BC" w:rsidRDefault="003B79BC">
      <w:pPr>
        <w:pStyle w:val="Heading1"/>
        <w:rPr>
          <w:rFonts w:cs="Times New Roman"/>
          <w:szCs w:val="24"/>
        </w:rPr>
        <w:sectPr w:rsidR="003B79BC" w:rsidSect="00275E84">
          <w:footerReference w:type="default" r:id="rId13"/>
          <w:pgSz w:w="11907" w:h="16840"/>
          <w:pgMar w:top="2268" w:right="1701" w:bottom="1701" w:left="2268" w:header="720" w:footer="720" w:gutter="0"/>
          <w:pgNumType w:start="1"/>
          <w:cols w:space="720"/>
          <w:docGrid w:linePitch="360"/>
        </w:sectPr>
      </w:pPr>
    </w:p>
    <w:p w14:paraId="65082D91" w14:textId="77777777" w:rsidR="003B79BC" w:rsidRDefault="00000000">
      <w:pPr>
        <w:pStyle w:val="Heading1"/>
        <w:spacing w:after="0"/>
        <w:ind w:left="2880"/>
        <w:jc w:val="left"/>
        <w:rPr>
          <w:rFonts w:cs="Times New Roman"/>
          <w:sz w:val="24"/>
          <w:szCs w:val="24"/>
        </w:rPr>
      </w:pPr>
      <w:r>
        <w:rPr>
          <w:rFonts w:cs="Times New Roman"/>
          <w:sz w:val="24"/>
          <w:szCs w:val="24"/>
        </w:rPr>
        <w:lastRenderedPageBreak/>
        <w:t xml:space="preserve">       </w:t>
      </w:r>
      <w:bookmarkStart w:id="16" w:name="_Toc158290231"/>
      <w:r>
        <w:rPr>
          <w:rFonts w:cs="Times New Roman"/>
          <w:sz w:val="24"/>
          <w:szCs w:val="24"/>
        </w:rPr>
        <w:t>BAB II</w:t>
      </w:r>
      <w:bookmarkEnd w:id="16"/>
    </w:p>
    <w:p w14:paraId="05C8F8E9" w14:textId="77777777" w:rsidR="003B79BC" w:rsidRDefault="00000000">
      <w:pPr>
        <w:pStyle w:val="Heading1"/>
        <w:spacing w:after="0"/>
        <w:rPr>
          <w:rFonts w:cs="Times New Roman"/>
          <w:sz w:val="24"/>
          <w:szCs w:val="24"/>
        </w:rPr>
      </w:pPr>
      <w:bookmarkStart w:id="17" w:name="_Toc158290232"/>
      <w:r>
        <w:rPr>
          <w:rFonts w:cs="Times New Roman"/>
          <w:sz w:val="24"/>
          <w:szCs w:val="24"/>
        </w:rPr>
        <w:t>TINJAUAN PUSTAKA</w:t>
      </w:r>
      <w:bookmarkEnd w:id="17"/>
    </w:p>
    <w:p w14:paraId="0A01B5F9" w14:textId="77777777" w:rsidR="003B79BC" w:rsidRDefault="003B79BC">
      <w:pPr>
        <w:spacing w:line="360" w:lineRule="auto"/>
        <w:jc w:val="center"/>
        <w:rPr>
          <w:b/>
          <w:color w:val="000000" w:themeColor="text1"/>
        </w:rPr>
      </w:pPr>
    </w:p>
    <w:p w14:paraId="7EAED530" w14:textId="77777777" w:rsidR="003B79BC" w:rsidRDefault="00000000">
      <w:pPr>
        <w:pStyle w:val="Heading2"/>
        <w:numPr>
          <w:ilvl w:val="0"/>
          <w:numId w:val="5"/>
        </w:numPr>
        <w:spacing w:after="0"/>
        <w:ind w:left="709" w:hanging="709"/>
        <w:rPr>
          <w:rFonts w:cs="Times New Roman"/>
          <w:szCs w:val="24"/>
          <w:lang w:eastAsia="zh-CN"/>
        </w:rPr>
      </w:pPr>
      <w:bookmarkStart w:id="18" w:name="_Toc158290233"/>
      <w:r>
        <w:rPr>
          <w:rFonts w:cs="Times New Roman"/>
          <w:szCs w:val="24"/>
          <w:lang w:val="id-ID"/>
        </w:rPr>
        <w:t>Tonsil</w:t>
      </w:r>
      <w:bookmarkEnd w:id="18"/>
    </w:p>
    <w:p w14:paraId="14359A6F" w14:textId="77777777" w:rsidR="003B79BC" w:rsidRDefault="00000000">
      <w:pPr>
        <w:spacing w:line="360" w:lineRule="auto"/>
        <w:ind w:firstLine="709"/>
        <w:jc w:val="both"/>
        <w:rPr>
          <w:vertAlign w:val="superscript"/>
          <w:lang w:eastAsia="zh-CN"/>
        </w:rPr>
      </w:pPr>
      <w:r>
        <w:t>Tonsil adalah gabungan jaringan limfoid yang terletak di dekat pintu masuk saluran pencernaan dan pernapasan dan memainkan peran kunci dalam sistem kekebalan tubuh kita. Jaringan limfatik yang terletak di orofaring terdiri dari cincin tonsil melingkar, yang dikenal sebagai cincin Waldeyer yang terdiri dari tonsil palatine (tonsil faucial), adenoid (tonsil nasofaring), tonsil lingual, dan tonsil tuba.</w:t>
      </w:r>
      <w:r>
        <w:fldChar w:fldCharType="begin" w:fldLock="1"/>
      </w:r>
      <w:r>
        <w:instrText>ADDIN CSL_CITATION {"citationItems":[{"id":"ITEM-1","itemData":{"DOI":"10.2147/IJGM.S312866","ISSN":"11787074","abstract":"After medical stabilization, several techniques are considered for anesthesia in the surgical intervention of post-tonsillectomy bleeding in children. Hypoxia during induction of general anesthesia occurs more frequently than aspiration for this population. While classical (apneic) rapid sequence induction and intubation with cricoid pressure still has a role, controlled rapid sequence induction and intubation that incorporates mask ventilation at low pressure (&lt;12 cm H2O) before direct laryngoscopy under a deep plane of anesthesia is a viable alternative for cases of slow venous bleeding. Supplemental oxygen delivery during laryngoscopy to permit apneic oxygenation is a future trend in management. While the routine administration of tranexamic acid during tonsillectomy has not been shown to be of benefit, it may have a role in post-tonsillectomy hemorrhage with further study.","author":[{"dropping-particle":"","family":"Masters","given":"Kenneth G.","non-dropping-particle":"","parse-names":false,"suffix":""},{"dropping-particle":"","family":"Zezoff","given":"David","non-dropping-particle":"","parse-names":false,"suffix":""},{"dropping-particle":"","family":"Lasrado","given":"Savita","non-dropping-particle":"","parse-names":false,"suffix":""}],"container-title":"StatPearls Publishing LLC","id":"ITEM-1","issued":{"date-parts":[["2022"]]},"title":"Anatomy, Head and Neck, Tonsils","type":"article-journal"},"uris":["http://www.mendeley.com/documents/?uuid=4904a788-6bd1-470b-838a-22cbe38ae4b7"]},{"id":"ITEM-2","itemData":{"DOI":"10.1016/j.wjorl.2021.04.003","ISSN":"25891081","abstract":"Objective: This review aims to discuss the basic anatomy and physiology of the palatine and pharyngeal tonsils, with reference to how this foundational understanding may affect patient management and surgical procedures in these regions of the upper airway. Methods: A literature search was performed using PubMed and Google Scholar using the MeSH terms tonsils, adenoids, anatomy, physiology, and adenotonsillectomy. Primary sources were excluded if they were abstracts only, non-English language, or non-human studies. Thirty-five sources were included in this review. Results and conclusions: The pharyngeal and palatine tonsils are compact yet physiologically complex mucosa-associated lymphoid tissues that make up a portion of Waldeyer's ring. As part of the mucosal immune system, these structures function in exogenous antigen sampling and stimulation of immune responses. Aberrant immune activation and/or regulation can lead to a myriad of pathologies, with adenotonsillar hypertrophy, chronic tonsillitis/adenoiditis, and recurrent otitis media among the most commonly encountered conditions by otolaryngologists. While the pathophysiology of these conditions is</w:instrText>
      </w:r>
      <w:r>
        <w:rPr>
          <w:lang w:eastAsia="zh-CN"/>
        </w:rPr>
        <w:instrText xml:space="preserve"> still incompletely understood, current evidence and future investigations may reveal patterns amenable to targeted medical management. When medical management fails, tonsillectomy and/or adenoidectomy may be indicated for patient care. Though routine procedures, the execution of tonsil and/or adenoid removal requires a thorough understanding of the anatomy of these lymphoepithelial organs so as to minimize the risk for rare serious complications that can occur.","author":[{"dropping-particle":"","family":"Arambula","given":"Alexandra","non-dropping-particle":"","parse-names":false,"suffix":""},{"dropping-particle":"","family":"Brown","given":"Jason R.","non-dropping-particle":"","parse-names":false,"suffix":""},{"dropping-particle":"","family":"Neff","given":"Laura","non-dropping-particle":"","parse-names":false,"suffix":""}],"container-title":"World Journal of Otorhinolaryngology - Head and Neck Surgery","id":"ITEM-2","issue":"3","issued":{"date-parts":[["2021"]]},"page":"155-160","publisher":"Elsevier Ltd","title":"Anatomy and physiology of the palatine tonsils, adenoids, and lingual tonsils","type":"article-journal","volume":"7"},"uris":["http://www.mendeley.com/documents/?uuid=9398fa5b-4ef3-4afa-b158-a85356349f0e"]}],"mendeley":{"formattedCitation":"&lt;sup&gt;21,22&lt;/sup&gt;","plainTextFormattedCitation":"21,22","previouslyFormattedCitation":"&lt;sup&gt;21,22&lt;/sup&gt;"},"properties":{"noteIndex":0},"schema":"https://github.com/citation-style-language/schema/raw/master/csl-citation.json"}</w:instrText>
      </w:r>
      <w:r>
        <w:fldChar w:fldCharType="separate"/>
      </w:r>
      <w:r>
        <w:rPr>
          <w:noProof/>
          <w:vertAlign w:val="superscript"/>
          <w:lang w:eastAsia="zh-CN"/>
        </w:rPr>
        <w:t>21,22</w:t>
      </w:r>
      <w:r>
        <w:fldChar w:fldCharType="end"/>
      </w:r>
      <w:r>
        <w:rPr>
          <w:vertAlign w:val="superscript"/>
          <w:lang w:eastAsia="zh-CN"/>
        </w:rPr>
        <w:t xml:space="preserve"> </w:t>
      </w:r>
    </w:p>
    <w:p w14:paraId="677261DF" w14:textId="77777777" w:rsidR="003B79BC" w:rsidRDefault="00000000">
      <w:pPr>
        <w:spacing w:line="360" w:lineRule="auto"/>
        <w:ind w:firstLine="709"/>
        <w:jc w:val="both"/>
      </w:pPr>
      <w:r>
        <w:rPr>
          <w:vertAlign w:val="superscript"/>
          <w:lang w:eastAsia="zh-CN"/>
        </w:rPr>
        <w:tab/>
      </w:r>
      <w:r>
        <w:rPr>
          <w:lang w:eastAsia="zh-CN"/>
        </w:rPr>
        <w:t>Secara embriologi, tonsil merupakan bagian dari</w:t>
      </w:r>
      <w:r>
        <w:rPr>
          <w:lang w:val="id-ID" w:eastAsia="zh-CN"/>
        </w:rPr>
        <w:t xml:space="preserve"> </w:t>
      </w:r>
      <w:r>
        <w:rPr>
          <w:rStyle w:val="Strong"/>
          <w:b w:val="0"/>
          <w:bCs w:val="0"/>
          <w:i/>
          <w:iCs/>
          <w:color w:val="000000" w:themeColor="text1"/>
          <w:spacing w:val="-2"/>
          <w:shd w:val="clear" w:color="auto" w:fill="FFFFFF"/>
          <w:lang w:eastAsia="zh-CN"/>
        </w:rPr>
        <w:t>mucosa associated lymphoid tissue</w:t>
      </w:r>
      <w:r>
        <w:rPr>
          <w:rStyle w:val="Strong"/>
          <w:b w:val="0"/>
          <w:bCs w:val="0"/>
          <w:i/>
          <w:iCs/>
          <w:color w:val="495354"/>
          <w:spacing w:val="-2"/>
          <w:shd w:val="clear" w:color="auto" w:fill="FFFFFF"/>
          <w:lang w:val="id-ID" w:eastAsia="zh-CN"/>
        </w:rPr>
        <w:t xml:space="preserve"> </w:t>
      </w:r>
      <w:r>
        <w:rPr>
          <w:rStyle w:val="Strong"/>
          <w:b w:val="0"/>
          <w:bCs w:val="0"/>
          <w:color w:val="495354"/>
          <w:spacing w:val="-2"/>
          <w:shd w:val="clear" w:color="auto" w:fill="FFFFFF"/>
          <w:lang w:val="id-ID" w:eastAsia="zh-CN"/>
        </w:rPr>
        <w:t>(</w:t>
      </w:r>
      <w:r>
        <w:rPr>
          <w:lang w:eastAsia="zh-CN"/>
        </w:rPr>
        <w:t>MALT). MALT juga dapat ditemukan di usus, di plak Peyeri. Secara umum MALT relatif belum berkembang saat lahir dengan selularitas rendah. Tonsil mulai berkembang sekitar 14-15 minggu kehidupan embrionik, sementara pusat germinal tidak ada pada tahap ini. Tonsil palatina dan fossa tonsil diyakini sebagai turunan dari kantong faring ke-2.</w:t>
      </w:r>
      <w:r>
        <w:fldChar w:fldCharType="begin" w:fldLock="1"/>
      </w:r>
      <w:r>
        <w:rPr>
          <w:lang w:eastAsia="zh-CN"/>
        </w:rPr>
        <w:instrText>ADDIN CSL_CITATION {"citationItems":[{"id":"ITEM-1","itemData":{"DOI":"10.1016/j.wjorl.2021.04.003","ISSN":"25891081","abstract":"Objective: This review aims to discuss the basic anatomy and physiology of the palatine and pharyngeal tonsils, with reference to how this foundational understanding may affect patient management and surgical procedures in these regions of the upper airway. Methods: A literature search was performed using PubMed and Google Scholar using the MeSH terms tonsils, adenoids, anatomy, physiology, and adenotonsillectomy. Primary sources were excluded if they were abstracts only, non-English language, or non-human studies. Thirty-five sources were included in this review. Results and conclusions: The pharyngeal and palatine tonsils are compact yet physiologically complex mucosa-associated lymphoid tissues that make up a portion of Waldeyer's ring. As part of the mucosal immune system, these structures function in exogenous antigen sampling and stimulation of immune responses. Aberrant immune activation and/or regulation can lead to a</w:instrText>
      </w:r>
      <w:r>
        <w:instrText xml:space="preserve"> myriad of pathologies, with adenotonsillar hypertrophy, chronic tonsillitis/adenoiditis, and recurrent otitis media among the most commonly encountered conditions by otolaryngologists. While the pathophysiology of these conditions is still incompletely understood, current evidence and future investigations may reveal patterns amenable to targeted medical management. When medical management fails, tonsillectomy and/or adenoidectomy may be indicated for patient care. Though routine procedures, the execution of tonsil and/or adenoid removal requires a thorough understanding of the anatomy of these lymphoepithelial organs so as to minimize the risk for rare serious complications that can occur.","author":[{"dropping-particle":"","family":"Arambula","given":"Alexandra","non-dropping-particle":"","parse-names":false,"suffix":""},{"dropping-particle":"","family":"Brown","given":"Jason R.","non-dropping-particle":"","parse-names":false,"suffix":""},{"dropping-particle":"","family":"Neff","given":"Laura","non-dropping-particle":"","parse-names":false,"suffix":""}],"container-title":"World Journal of Otorhinolaryngology - Head and Neck Surgery","id":"ITEM-1","issue":"3","issued":{"date-parts":[["2021"]]},"page":"155-160","publisher":"Elsevier Ltd","title":"Anatomy and physiology of the palatine tonsils, adenoids, and lingual tonsils","type":"article-journal","volume":"7"},"uris":["http://www.mendeley.com/documents/?uuid=9398fa5b-4ef3-4afa-b158-a85356349f0e"]},{"id":"ITEM-2","itemData":{"DOI":"10.16966/2470-0991.173","abstract":"Tonsillectomy and Adenoidectomy are common operative procedures in field of Ear, Nose and Throat (ENT) Surgery. Over 17000 tonsillectomy procedures were undertaken in England in the year 2014-2015 and the number for children is likely to be much higher [1]. Tonsillectomy may be performed for recurrent tonsillitis, histological diagnosis or for the management of snoring. Adenoidectomy is rarely performed in isolation but instead employed in combination with other interventions. Adenoidectomy and tonsillectomy (Adenotonsillectomy) is indicated for the paediatric population to manage obstructive sleep apnoea.","author":[{"dropping-particle":"","family":"Anmolsingh","given":"R","non-dropping-particle":"","parse-names":false,"suffix":""},{"dropping-particle":"","family":"Ali","given":"A","non-dropping-particle":"","parse-names":false,"suffix":""},{"dropping-particle":"","family":"Edmiston","given":"R","non-dropping-particle":"","parse-names":false,"suffix":""},{"dropping-particle":"","family":"Mirza","given":"O","non-dropping-particle":"","parse-names":false,"suffix":""},{"dropping-particle":"","family":"Rocke","given":"J","non-dropping-particle":"","parse-names":false,"suffix":""},{"dropping-particle":"","family":"Ranganathan","given":"B","non-dropping-particle":"","parse-names":false,"suffix":""},{"dropping-particle":"","family":"Kumar","given":"BN","non-dropping-particle":"","parse-names":false,"suffix":""}],"container-title":"Journal of Surgery: Open Access","id":"ITEM-2","issue":"4","issued":{"date-parts":[["2018"]]},"page":"1-7","title":"Tonsillectomy and Adenoidectomy: Indications, Complications and their Management","type":"article-journal","volume":"4"},"uris":["http://www.mendeley.com/documents/?uuid=acc9c5a2-29db-4912-85a7-09e3577a1585"]}],"mendeley":{"formattedCitation":"&lt;sup&gt;22,23&lt;/sup&gt;","plainTextFormattedCitation":"22,23","previouslyFormattedCitation":"&lt;sup&gt;22,23&lt;/sup&gt;"},"properties":{"noteIndex":0},"schema":"https://github.com/citation-style-language/schema/raw/master/csl-citation.json"}</w:instrText>
      </w:r>
      <w:r>
        <w:fldChar w:fldCharType="separate"/>
      </w:r>
      <w:r>
        <w:rPr>
          <w:noProof/>
          <w:vertAlign w:val="superscript"/>
        </w:rPr>
        <w:t>22,23</w:t>
      </w:r>
      <w:r>
        <w:fldChar w:fldCharType="end"/>
      </w:r>
      <w:r>
        <w:t xml:space="preserve"> Lapisan epitel berproliferasi dan membentuk tunas, yang membentuk primordium tonsil palatina. Saat setelah lahir, tonsil cenderung mencapai ukuran penuh antara tahun ke-6 dan ke-8 kehidupan. Tonsil dan jaringan adenoid ditemukan paling aktif secara imunologis antara tahun ke-4 dan ke-12 kehidupan dan mulai mengalami involusi/atrofi segera setelah dekade pertama.</w:t>
      </w:r>
      <w:r>
        <w:fldChar w:fldCharType="begin" w:fldLock="1"/>
      </w:r>
      <w:r>
        <w:instrText>ADDIN CSL_CITATION {"citationItems":[{"id":"ITEM-1","itemData":{"DOI":"10.1016/j.wjorl.2021.04.003","ISSN":"25891081","abstract":"Objective: This review aims to discuss the basic anatomy and physiology of the palatine and pharyngeal tonsils, with reference to how this foundational understanding may affect patient management and surgical procedures in these regions of the upper airway. Methods: A literature search was performed using PubMed and Google Scholar using the MeSH terms tonsils, adenoids, anatomy, physiology, and adenotonsillectomy. Primary sources were excluded if they were abstracts only, non-English language, or non-human studies. Thirty-five sources were included in this review. Results and conclusions: The pharyngeal and palatine tonsils are compact yet physiologically complex mucosa-associated lymphoid tissues that make up a portion of Waldeyer's ring. As part of the mucosal immune system, these structures function in exogenous antigen sampling and stimulation of immune responses. Aberrant immune activation and/or regulation can lead to a myriad of pathologies, with adenotonsillar hypertrophy, chronic tonsillitis/adenoiditis, and recurrent otitis media among the most commonly encountered conditions by otolaryngologists. While the pathophysiology of these conditions is still incompletely understood, current evidence and future investigations may reveal patterns amenable to targeted medical management. When medical management fails, tonsillectomy and/or adenoidectomy may be indicated for patient care. Though routine procedures, the execution of tonsil and/or adenoid removal requires a thorough understanding of the anatomy of these lymphoepithelial organs so as to minimize the risk for rare serious complications that can occur.","author":[{"dropping-particle":"","family":"Arambula","given":"Alexandra","non-dropping-particle":"","parse-names":false,"suffix":""},{"dropping-particle":"","family":"Brown","given":"Jason R.","non-dropping-particle":"","parse-names":false,"suffix":""},{"dropping-particle":"","family":"Neff","given":"Laura","non-dropping-particle":"","parse-names":false,"suffix":""}],"container-title":"World Journal of Otorhinolaryngology - Head and Neck Surgery","id":"ITEM-1","issue":"3","issued":{"date-parts":[["2021"]]},"page":"155-160","publisher":"Elsevier Ltd","title":"Anatomy and physiology of the palatine tonsils, adenoids, and lingual tonsils","type":"article-journal","volume":"7"},"uris":["http://www.mendeley.com/documents/?uuid=9398fa5b-4ef3-4afa-b158-a85356349f0e"]},{"id":"ITEM-2","itemData":{"DOI":"10.16966/2470-0991.173","abstract":"Tonsillectomy and Adenoidectomy are common operative procedures in field of Ear, Nose and Throat (ENT) Surgery. Over 17000 tonsillectomy procedures were undertaken in England in the year 2014-2015 and the number for children is likely to be much higher [1]. Tonsillectomy may be performed for recurrent tonsillitis, histological diagnosis or for the management of snoring. Adenoidectomy is rarely performed in isolation but instead employed in combination with other interventions. Adenoidectomy and tonsillectomy (Adenotonsillectomy) is indicated for the paediatric population to manage obstructive sleep apnoea.","author":[{"dropping-particle":"","family":"Anmolsingh","given":"R","non-dropping-particle":"","parse-names":false,"suffix":""},{"dropping-particle":"","family":"Ali","given":"A","non-dropping-particle":"","parse-names":false,"suffix":""},{"dropping-particle":"","family":"Edmiston","given":"R","non-dropping-particle":"","parse-names":false,"suffix":""},{"dropping-particle":"","family":"Mirza","given":"O","non-dropping-particle":"","parse-names":false,"suffix":""},{"dropping-particle":"","family":"Rocke","given":"J","non-dropping-particle":"","parse-names":false,"suffix":""},{"dropping-particle":"","family":"Ranganathan","given":"B","non-dropping-particle":"","parse-names":false,"suffix":""},{"dropping-particle":"","family":"Kumar","given":"BN","non-dropping-particle":"","parse-names":false,"suffix":""}],"container-title":"Journal of Surgery: Open Access","id":"ITEM-2","issue":"4","issued":{"date-parts":[["2018"]]},"page":"1-7","title":"Tonsillectomy and Adenoidectomy: Indications, Complications and their Management","type":"article-journal","volume":"4"},"uris":["http://www.mendeley.com/documents/?uuid=acc9c5a2-29db-4912-85a7-09e3577a1585"]},{"id":"ITEM-3","itemData":{"DOI":"10.2147/IJGM.S312866","ISSN":"11787074","abstract":"After medical stabilization, several techniques are considered for anesthesia in the surgical intervention of post-tonsillectomy bleeding in children. Hypoxia during induction of general anesthesia occurs more frequently than aspiration for this population. While classical (apneic) rapid sequence induction and intubation with cricoid pressure still has a role, controlled rapid sequence induction and intubation that incorporates mask ventilation at low pressure (&lt;12 cm H2O) before direct laryngoscopy under a deep plane of anesthesia is a viable alternative for cases of slow venous bleeding. Supplemental oxygen delivery during laryngoscopy to permit apneic oxygenation is a future trend in management. While the routine administration of tranexamic acid during tonsillectomy has not been shown to be of benefit, it may have a role in post-tonsillectomy hemorrhage with further study.","author":[{"dropping-particle":"","family":"Masters","given":"Kenneth G.","non-dropping-particle":"","parse-names":false,"suffix":""},{"dropping-particle":"","family":"Zezoff","given":"David","non-dropping-particle":"","parse-names":false,"suffix":""},{"dropping-particle":"","family":"Lasrado","given":"Savita","non-dropping-particle":"","parse-names":false,"suffix":""}],"container-title":"StatPearls Publishing LLC","id":"ITEM-3","issued":{"date-parts":[["2022"]]},"title":"Anatomy, Head and Neck, Tonsils","type":"article-journal"},"uris":["http://www.mendeley.com/documents/?uuid=4904a788-6bd1-470b-838a-22cbe38ae4b7"]}],"mendeley":{"formattedCitation":"&lt;sup&gt;21–23&lt;/sup&gt;","plainTextFormattedCitation":"21–23","previouslyFormattedCitation":"&lt;sup&gt;21–23&lt;/sup&gt;"},"properties":{"noteIndex":0},"schema":"https://github.com/citation-style-language/schema/raw/master/csl-citation.json"}</w:instrText>
      </w:r>
      <w:r>
        <w:fldChar w:fldCharType="separate"/>
      </w:r>
      <w:r>
        <w:rPr>
          <w:noProof/>
          <w:vertAlign w:val="superscript"/>
        </w:rPr>
        <w:t>21–23</w:t>
      </w:r>
      <w:r>
        <w:fldChar w:fldCharType="end"/>
      </w:r>
      <w:r>
        <w:t xml:space="preserve"> </w:t>
      </w:r>
    </w:p>
    <w:p w14:paraId="2A21A824" w14:textId="77777777" w:rsidR="003B79BC" w:rsidRDefault="00000000">
      <w:pPr>
        <w:spacing w:line="360" w:lineRule="auto"/>
        <w:ind w:firstLine="709"/>
        <w:jc w:val="both"/>
        <w:rPr>
          <w:rFonts w:eastAsiaTheme="minorEastAsia"/>
          <w:lang w:eastAsia="zh-CN"/>
        </w:rPr>
      </w:pPr>
      <w:r>
        <w:t>Seperti semua jaringan limfoid, tonsil berperan dalam kekebalan dan pertahanan tubuh terhadap infeksi dan patogen asing.</w:t>
      </w:r>
      <w:r>
        <w:fldChar w:fldCharType="begin" w:fldLock="1"/>
      </w:r>
      <w:r>
        <w:instrText>ADDIN CSL_CITATION {"citationItems":[{"id":"ITEM-1","itemData":{"DOI":"10.2147/IJGM.S312866","ISSN":"11787074","abstract":"After medical stabilization, several techniques are considered for anesthesia in the surgical intervention of post-tonsillectomy bleeding in children. Hypoxia during induction of general anesthesia occurs more frequently than aspiration for this population. While classical (apneic) rapid sequence induction and intubation with cricoid pressure still has a role, controlled rapid sequence induction and intubation that incorporates mask ventilation at low pressure (&lt;12 cm H2O) before direct laryngoscopy under a deep plane of anesthesia is a viable alternative for cases of slow venous bleeding. Supplemental oxygen delivery during laryngoscopy to permit apneic oxygenation is a future trend in management. While the routine administration of tranexamic acid during tonsillectomy has not been shown to be of benefit, it may have a role in post-tonsillectomy hemorrhage with further study.","author":[{"dropping-particle":"","family":"Masters","given":"Kenneth G.","non-dropping-particle":"","parse-names":false,"suffix":""},{"dropping-particle":"","family":"Zezoff","given":"David","non-dropping-particle":"","parse-names":false,"suffix":""},{"dropping-particle":"","family":"Lasrado","given":"Savita","non-dropping-particle":"","parse-names":false,"suffix":""}],"container-title":"StatPearls Publishing LLC","id":"ITEM-1","issued":{"date-parts":[["2022"]]},"title":"Anatomy, Head and Neck, Tonsils","type":"article-journal"},"uris":["http://www.mendeley.com/documents/?uuid=4904a788-6bd1-470b-838a-22cbe38ae4b7"]},{"id":"ITEM-2","itemData":{"DOI":"10.1016/j.wjorl.2021.04.003","ISSN":"25891081","abstract":"Objective: This review aims to discuss the basic anatomy and physiology of the palatine and pharyngeal tonsils, with reference to how this foundational understanding may affect patient management and surgical procedures in these regions of the upper airway. Methods: A literature search was performed using PubMed and Google Scholar using the MeSH terms tonsils, adenoids, anatomy, physiology, and adenotonsillectomy. Primary sources were excluded if they were abstracts only, non-English language, or non-human studies. Thirty-five sources were included in this review. Results and conclusions: The pharyngeal and palatine tonsils are compact yet physiologically complex mucosa-associated lymphoid tissues that make up a portion of Waldeyer's ring. As part of the mucosal immune system, these structures function in exogenous antigen sampling and stimulation of immune responses. Aberrant immune activation and/or regulation can lead to a myriad of pathologies, with adenotonsillar hypertrophy, chronic tonsillitis/adenoiditis, and recurrent otitis media among the most commonly encountered conditions by otolaryngologists. While the pathophysiology of these conditions is</w:instrText>
      </w:r>
      <w:r>
        <w:rPr>
          <w:lang w:eastAsia="zh-CN"/>
        </w:rPr>
        <w:instrText xml:space="preserve"> still incompletely understood, current evidence and future investigations may reveal patterns amenable to targeted medical management. When medical management fails, tonsillectomy and/or adenoidectomy may be indicated for patient care. Though routine procedures, the execution of tonsil and/or adenoid removal requires a thorough understanding of the anatomy of these lymphoepithelial organs so as to minimize the risk for rare serious complications that can occur.","author":[{"dropping-particle":"","family":"Arambula","given":"Alexandra","non-dropping-particle":"","parse-names":false,"suffix":""},{"dropping-particle":"","family":"Brown","given":"Jason R.","non-dropping-particle":"","parse-names":false,"suffix":""},{"dropping-particle":"","family":"Neff","given":"Laura","non-dropping-particle":"","parse-names":false,"suffix":""}],"container-title":"World Journal of Otorhinolaryngology - Head and Neck Surgery","id":"ITEM-2","issue":"3","issued":{"date-parts":[["2021"]]},"page":"155-160","publisher":"Elsevier Ltd","title":"Anatomy and physiology of the palatine tonsils, adenoids, and lingual tonsils","type":"article-journal","volume":"7"},"uris":["http://www.mendeley.com/documents/?uuid=9398fa5b-4ef3-4afa-b158-a85356349f0e"]}],"mendeley":{"formattedCitation":"&lt;sup&gt;21,22&lt;/sup&gt;","plainTextFormattedCitation":"21,22","previouslyFormattedCitation":"&lt;sup&gt;21,22&lt;/sup&gt;"},"properties":{"noteIndex":0},"schema":"https://github.com/citation-style-language/schema/raw/master/csl-citation.json"}</w:instrText>
      </w:r>
      <w:r>
        <w:fldChar w:fldCharType="separate"/>
      </w:r>
      <w:r>
        <w:rPr>
          <w:noProof/>
          <w:vertAlign w:val="superscript"/>
          <w:lang w:eastAsia="zh-CN"/>
        </w:rPr>
        <w:t>21,22</w:t>
      </w:r>
      <w:r>
        <w:fldChar w:fldCharType="end"/>
      </w:r>
      <w:r>
        <w:rPr>
          <w:lang w:val="id-ID" w:eastAsia="zh-CN"/>
        </w:rPr>
        <w:t xml:space="preserve"> </w:t>
      </w:r>
      <w:r>
        <w:rPr>
          <w:lang w:eastAsia="zh-CN"/>
        </w:rPr>
        <w:t xml:space="preserve">Ketika antigen terhirup atau tertelan, tonsil diposisikan secara tepat untuk pemaparan yang akan mengarah pada perkembangan limfokin dan imunoglobulin. </w:t>
      </w:r>
      <w:r>
        <w:t>Terdiri terutama dari jaringan limfoid sel-B, salah satu peran yang dilayani oleh tonsil adalah kekebalan sekretori mukosa. Di permukaan tonsil, seseorang dapat menemukan sel penangkap antigen khusus yang disebut sel M. Sel-sel ini memungkinkan penangkapan antigen yang dihasilkan oleh mikroorganisme. Sel M, setelah mengenali antigen, mengaktifkan sel T dan B di tonsil dan memicu respons imun.</w:t>
      </w:r>
      <w:r>
        <w:fldChar w:fldCharType="begin" w:fldLock="1"/>
      </w:r>
      <w:r>
        <w:instrText>ADDIN CSL_CITATION {"citationItems":[{"id":"ITEM-1","itemData":{"DOI":"10.3892/etm.2019.7172","ISSN":"1792-0981","abstract":"B-cell activating factor (BAFF) is a major cytokine that regulates B-cell survival, maturation and differentiation through its binding with its receptors: BAFF receptor (BAFF-R), transmembrane activator and cyclophilin ligand interactor (TACI) and B-cell maturation antigen (BCMA). These receptors have been demonstrated to be involved in tertiary lymphoid structure formation; however, their role in germinal centers (GCs) has remained elusive. The aim of the present study was to determine the expression profiles of BAFF and its receptors in secondary lymphoid tissues. Tonsils resected due to chronic tonsillitis were used as lymphoid tissues. To confirm the presence of GCs identified based on their typical structure, CD21 antibody staining was employed. The expression of BAFF, BAFF-R, TACI and BCMA was assessed by immunohistochemistry. BAFF was highly expressed in all regions of the follicle, but the highest BAFF expression was detected in the mantle zone (MZ). A high expression of BAFF-R was observed on lymphocytes in the MZ in comparison with the other regions (~80%; P&lt;0.05), which was co-localizated with BAFF (r=0.646; P&lt;0.001), in the MZ. TACI and BCMA exhibited similar expression among the different zones of the GCs, and co-localization with BAFF was observed inside the follicle, mainly in the dark zone. The present results indicate that BAFF is implicated in the maintenance of GCs. BAFF-R overexpression in the MZ, co-localizated with BAFF, suggests that these proteins constitute the principal pathway for the maintenance of the naïve B-cell population. Furthermore, TACI and BCMA have a role in the GC, where processes of B-cell selection, proliferation and differentiation into immunoglobulin-secreting plasma cells occur.","author":[{"dropping-particle":"","family":"Carrillo‑Ballesteros","given":"Francisco Josu</w:instrText>
      </w:r>
      <w:r>
        <w:rPr>
          <w:rFonts w:ascii="Tahoma" w:hAnsi="Tahoma" w:cs="Tahoma"/>
        </w:rPr>
        <w:instrText>�</w:instrText>
      </w:r>
      <w:r>
        <w:instrText>","non-dropping-particle":"","parse-names":false,"suffix":""},{"dropping-particle":"","family":"Oregon‑Romero","given":"Edith","non-dropping-particle":"","parse-names":false,"suffix":""},{"dropping-particle":"","family":"Franco‑Topete","given":"Ramon Antonio","non-dropping-particle":"","parse-names":false,"suffix":""},{"dropping-particle":"","family":"Govea‑Camacho","given":"Luis Humberto","non-dropping-particle":"","parse-names":false,"suffix":""},{"dropping-particle":"","family":"Cruz","given":"Alvaro","non-dropping-particle":"","parse-names":false,"suffix":""},{"dropping-particle":"","family":"Mu</w:instrText>
      </w:r>
      <w:r>
        <w:rPr>
          <w:rFonts w:ascii="Tahoma" w:hAnsi="Tahoma" w:cs="Tahoma"/>
        </w:rPr>
        <w:instrText>�</w:instrText>
      </w:r>
      <w:r>
        <w:instrText>oz‑Valle","given":"Jos</w:instrText>
      </w:r>
      <w:r>
        <w:rPr>
          <w:rFonts w:ascii="Tahoma" w:hAnsi="Tahoma" w:cs="Tahoma"/>
        </w:rPr>
        <w:instrText>�</w:instrText>
      </w:r>
      <w:r>
        <w:instrText xml:space="preserve"> Francisco","non-dropping-particle":"","parse-names":false,"suffix":""},{"dropping-particle":"","family":"Bustos‑Rodr</w:instrText>
      </w:r>
      <w:r>
        <w:rPr>
          <w:rFonts w:ascii="Tahoma" w:hAnsi="Tahoma" w:cs="Tahoma"/>
        </w:rPr>
        <w:instrText>�</w:instrText>
      </w:r>
      <w:r>
        <w:instrText>guez","given":"Felipe Jes</w:instrText>
      </w:r>
      <w:r>
        <w:rPr>
          <w:rFonts w:ascii="Tahoma" w:hAnsi="Tahoma" w:cs="Tahoma"/>
        </w:rPr>
        <w:instrText>�</w:instrText>
      </w:r>
      <w:r>
        <w:instrText>s","non-dropping-particle":"","parse-names":false,"suffix":""},{"dropping-particle":"","family":"Pereira‑Su</w:instrText>
      </w:r>
      <w:r>
        <w:rPr>
          <w:rFonts w:ascii="Tahoma" w:hAnsi="Tahoma" w:cs="Tahoma"/>
        </w:rPr>
        <w:instrText>�</w:instrText>
      </w:r>
      <w:r>
        <w:instrText>rez","given":"Ana Laura","non-dropping-particle":"","parse-names":false,"suffix":""},{"dropping-particle":"","family":"Palafox‑S</w:instrText>
      </w:r>
      <w:r>
        <w:rPr>
          <w:rFonts w:ascii="Tahoma" w:hAnsi="Tahoma" w:cs="Tahoma"/>
        </w:rPr>
        <w:instrText>�</w:instrText>
      </w:r>
      <w:r>
        <w:instrText>nchez","given":"Claudia Azucena","non-dropping-particle":"","parse-names":false,"suffix":""}],"container-title":"Experimental and Therapeutic Medicine","id":"ITEM-1","issued":{"date-parts":[["2019"]]},"page":"2053-2060","title":"B‑cell activating factor receptor expression is associated with germinal center B‑cell maintenance","type":"article-journal"},"uris":["http://www.mendeley.com/documents/?uuid=a3c2ca67-2520-4f66-895e-599b1104be3f"]},{"id":"ITEM-2","itemData":{"DOI":"10.2147/IJGM.S312866","ISSN":"11787074","abstract":"After medical stabilization, several techniques are considered for anesthesia in the surgical intervention of post-tonsillectomy bleeding in children. Hypoxia during induction of general anesthesia occurs more frequently than aspiration for this population. While classical (apneic) rapid sequence induction and intubation with cricoid pressure still has a role, controlled rapid sequence induction and intubation that incorporates mask ventilation at low pressure (&lt;12 cm H2O) before direct laryngoscopy under a deep plane of anesthesia is a viable alternative for cases of slow venous bleeding. Supplemental oxygen delivery during laryngoscopy to permit apneic oxygenation is a future trend in management. While the routine administration of tranexamic acid during tonsillectomy has not been shown to be of benefit, it may have a role in post-tonsillectomy hemorrhage with further study.","author":[{"dropping-particle":"","family":"Masters","given":"Kenneth G.","non-dropping-particle":"","parse-names":false,"suffix":""},{"dropping-particle":"","family":"Zezoff","given":"David","non-dropping-particle":"","parse-names":false,"suffix":""},{"dropping-particle":"","family":"Lasrado","given":"Savita","non-dropping-particle":"","parse-names":false,"suffix":""}],"container-title":"StatPearls Publishing LLC","id":"ITEM-2","issued":{"date-parts":[["2022"]]},"title":"Anatomy, Head and Neck, Tonsils","type":"article-journal"},"uris":["http://www.mendeley.com/documents/?uuid=4904a788-6bd1-470b-838a-22cbe38ae4b7"]},{"id":"ITEM-3","itemData":{"DOI":"10.1016/j.wjorl.2021.04.003","ISSN":"25891081","abstract":"Objective: This review aims to discuss the basic anatomy and physiology of the palatine and pharyngeal tonsils, with reference to how this foundational understanding may affect patient management and surgical procedures in these regions of the upper airway. Methods: A literature search was performed using PubMed and Google Scholar using the MeSH terms tonsils, adenoids, anatomy, physiology, and adenotonsillectomy. Primary sources were excluded if they were abstracts only, non-English language, or non-human studies. Thirty-five sources were included in this review. Results and conclusions: The pharyngeal and palatine tonsils are compact yet physiologically complex mucosa-associated lymphoid tissues that make up a portion of Waldeyer's ring. As part of the mucosal immune system, these structures function in exogenous antigen sampling and stimulation of immune responses. Aberrant immune activation and/or regulation can lead to a myriad of pathologies, with adenotonsillar hypertrophy, chronic tonsillitis/adenoiditis, and recurrent otitis media among the most commonly encountered conditions by otolaryngologists. While the pathophysiology of these conditions is still incompletely understood, current evidence and future investigations may reveal patterns amenable to targeted medical management. When medical management fails, tonsillectomy and/or adenoidectomy may be indicated for patient care. Though routine procedures, the execution of tonsil and/or adenoid removal requires a thorough understanding of the anatomy of these lymphoepithelial organs so as to minimize the risk for rare serious complications that can occur.","author":[{"dropping-particle":"","family":"Arambula","given":"Alexandra","non-dropping-particle":"","parse-names":false,"suffix":""},{"dropping-particle":"","family":"Brown","given":"Jason R.","non-dropping-particle":"","parse-names":false,"suffix":""},{"dropping-particle":"","family":"Neff","given":"Laura","non-dropping-particle":"","parse-names":false,"suffix":""}],"container-title":"World Journal of Otorhinolaryngology - Head and Neck Surgery","id":"ITEM-3","issue":"3","issued":{"date-parts":[["2021"]]},"page":"155-160","publisher":"Elsevier Ltd","title":"Anatomy and physiology of the palatine tonsils, adenoids, and lingual tonsils","type":"article-journal","volume":"7"},"uris":["http://www.mendeley.com/documents/?uuid=9398fa5b-4ef3-4afa-b158-a85356349f0e"]}],"mendeley":{"formattedCitation":"&lt;sup&gt;21,22,24&lt;/sup&gt;","plainTextFormattedCitation":"21,22,24","previouslyFormattedCitation":"&lt;sup&gt;21,22,24&lt;/sup&gt;"},"properties":{"noteIndex":0},"schema":"https://github.com/citation-style-language/schema/raw/master/csl-citation.json"}</w:instrText>
      </w:r>
      <w:r>
        <w:fldChar w:fldCharType="separate"/>
      </w:r>
      <w:r>
        <w:rPr>
          <w:noProof/>
          <w:vertAlign w:val="superscript"/>
        </w:rPr>
        <w:t>21,22,24</w:t>
      </w:r>
      <w:r>
        <w:fldChar w:fldCharType="end"/>
      </w:r>
      <w:r>
        <w:t xml:space="preserve"> Sel B, ketika dirangsang, berkembang biak di daerah germinal tonsil. Di pusat germinal, sel memori B </w:t>
      </w:r>
      <w:r>
        <w:lastRenderedPageBreak/>
        <w:t xml:space="preserve">menjadi matang dan disimpan untuk pemaparan berulang terhadap antigen yang sama. </w:t>
      </w:r>
      <w:r>
        <w:rPr>
          <w:lang w:eastAsia="zh-CN"/>
        </w:rPr>
        <w:t>Sel B juga berfungsi untuk mengeluarkan IgA, suatu antibodi yang berperan penting dalam fungsi kekebalan lendir</w:t>
      </w:r>
      <w:r>
        <w:rPr>
          <w:lang w:val="id-ID" w:eastAsia="zh-CN"/>
        </w:rPr>
        <w:t>.</w:t>
      </w:r>
      <w:r>
        <w:rPr>
          <w:lang w:eastAsia="zh-CN"/>
        </w:rPr>
        <w:t xml:space="preserve"> </w:t>
      </w:r>
      <w:r>
        <w:t>Studi yang lebih baru menunjukkan bahwa tonsil juga menghasilkan limfosit T, tetapi mekanisme produksinya berbeda dibandingkan dengan timus.</w:t>
      </w:r>
      <w:r>
        <w:fldChar w:fldCharType="begin" w:fldLock="1"/>
      </w:r>
      <w:r>
        <w:instrText>ADDIN CSL_CITATION {"citationItems":[{"id":"ITEM-1","itemData":{"DOI":"10.2147/IJGM.S312866","ISSN":"11787074","abstract":"After medical stabilization, several techniques are considered for anesthesia in the surgical intervention of post-tonsillectomy bleeding in children. Hypoxia during induction of general anesthesia occurs more frequently than aspiration for this population. While classical (apneic) rapid sequence induction and intubation with cricoid pressure still has a role, controlled rapid sequence induction and intubation that incorporates mask ventilation at low pressure (&lt;12 cm H2O) before direct laryngoscopy under a deep plane of anesthesia is a viable alternative for cases of slow venous bleeding. Supplemental oxygen delivery during laryngoscopy to permit apneic oxygenation is a future trend in management. While the routine administration of tranexamic acid during tonsillectomy has not been shown to be of benefit, it may have a role in post-tonsillectomy hemorrhage with further study.","author":[{"dropping-particle":"","family":"Masters","given":"Kenneth G.","non-dropping-particle":"","parse-names":false,"suffix":""},{"dropping-particle":"","family":"Zezoff","given":"David","non-dropping-particle":"","parse-names":false,"suffix":""},{"dropping-particle":"","family":"Lasrado","given":"Savita","non-dropping-particle":"","parse-names":false,"suffix":""}],"container-title":"StatPearls Publishing LLC","id":"ITEM-1","issued":{"date-parts":[["2022"]]},"title":"Anatomy, Head and Neck, Tonsils","type":"article-journal"},"uris":["http://www.mendeley.com/documents/?uuid=4904a788-6bd1-470b-838a-22cbe38ae4b7"]},{"id":"ITEM-2","itemData":{"DOI":"10.1016/j.wjorl.2021.04.003","ISSN":"25891081","abstract":"Objective: This review aims to discuss the basic anatomy and physiology of the palatine and pharyngeal tonsils, with reference to how this foundational understanding may affect patient management and surgical procedures in these regions of the upper airway. Methods: A literature search was performed using PubMed and Google Scholar using the MeSH terms tonsils, adenoids, anatomy, physiology, and adenotonsillectomy. Primary sources were excluded if they were abstracts only, non-English language, or non-human studies. Thirty-five sources were included in this review. Results and conclusions: The pharyngeal and palatine tonsils are compact yet physiologically complex mucosa-associated lymphoid tissues that make up a portion of Waldeyer's ring. As part of the mucosal immune system, these structures function in exogenous antigen sampling and stimulation of immune responses. Aberrant immune activation and/or regulation can lead to a myriad of pathologies, with adenotonsillar hypertrophy, chronic tonsillitis/adenoiditis, and recurrent otitis media among the most commonly encountered conditions by otolaryngologists. While the pathophysiology of these conditions is still incompletely understood, current evidence and future investigations may reveal patterns amenable to targeted medical management. When medical management fails, tonsillectomy and/or adenoidectomy may be indicated for patient care. Though routine procedures, the execution of tonsil and/or adenoid removal requires a thorough understanding of the anatomy of these lymphoepithelial organs so as to minimize the risk for rare serious complications that can occur.","author":[{"dropping-particle":"","family":"Arambula","given":"Alexandra","non-dropping-particle":"","parse-names":false,"suffix":""},{"dropping-particle":"","family":"Brown","given":"Jason R.","non-dropping-particle":"","parse-names":false,"suffix":""},{"dropping-particle":"","family":"Neff","given":"Laura","non-dropping-particle":"","parse-names":false,"suffix":""}],"container-title":"World Journal of Otorhinolaryngology - Head and Neck Surgery","id":"ITEM-2","issue":"3","issued":{"date-parts":[["2021"]]},"page":"155-160","publisher":"Elsevier Ltd","title":"Anatomy and physiology of the palatine tonsils, adenoids, and lingual tonsils","type":"article-journal","volume":"7"},"uris":["http://www.mendeley.com/documents/?uuid=9398fa5b-4ef3-4afa-b158-a85356349f0e"]},{"id":"ITEM-3","itemData":{"DOI":"10.3892/etm.2019.7172","ISSN":"1792-0981","abstract":"B-cell activating factor (BAFF) is a major cytokine that regulates B-cell survival, maturation and differentiation through its binding with its receptors: BAFF receptor (BAFF-R), transmembrane activator and cyclophilin ligand interactor (TACI) and B-cell maturation antigen (BCMA). These receptors have been demonstrated to be involved in tertiary lymphoid structure formation; however, their role in germinal centers (GCs) has remained elusive. The aim of the present study was to determine the expression profiles of BAFF and its receptors in secondary lymphoid tissues. Tonsils resected due to chronic tonsillitis were used as lymphoid tissues. To confirm the presence of GCs identified based on their typical structure, CD21 antibody staining was employed. The expression of BAFF, BAFF-R, TACI and BCMA was assessed by immunohistochemistry. BAFF was highly expressed in all regions of the follicle, but the highest BAFF expression was detected in the mantle zone (MZ). A high expression of BAFF-R was observed on lymphocytes in the MZ in comparison with the other regions (~80%; P&lt;0.05), which was co-localizated with BAFF (r=0.646; P&lt;0.001), in the MZ. TACI and BCMA exhibited similar expression among the different zones of the GCs, and co-localization with BAFF was observed inside the follicle, mainly in the dark zone. The present results indicate that BAFF is implicated in the maintenance of GCs. BAFF-R overexpression in the MZ, co-localizated with BAFF, suggests that these proteins constitute the principal pathway for the maintenance of the naïve B-cell population. Furthermore, TACI and BCMA have a role in the GC, where processes of B-cell selection, proliferation and differentiation into immunoglobulin-secreting plasma cells occur.","author":[{"dropping-particle":"","family":"Carrillo‑Ballesteros","given":"Francisco Josu</w:instrText>
      </w:r>
      <w:r>
        <w:rPr>
          <w:rFonts w:ascii="Tahoma" w:hAnsi="Tahoma" w:cs="Tahoma"/>
        </w:rPr>
        <w:instrText>�</w:instrText>
      </w:r>
      <w:r>
        <w:instrText>","non-dropping-particle":"","parse-names":false,"suffix":""},{"dropping-particle":"","family":"Oregon‑Romero","given":"Edith","non-dropping-particle":"","parse-names":false,"suffix":""},{"dropping-particle":"","family":"Franco‑Topete","given":"Ramon Antonio","non-dropping-particle":"","parse-names":false,"suffix":""},{"dropping-particle":"","family":"Govea‑Camacho","given":"Luis Humberto","non-dropping-particle":"","parse-names":false,"suffix":""},{"dropping-particle":"","family":"Cruz","given":"Alvaro","non-dropping-particle":"","parse-names":false,"suffix":""},{"dropping-particle":"","family":"Mu</w:instrText>
      </w:r>
      <w:r>
        <w:rPr>
          <w:rFonts w:ascii="Tahoma" w:hAnsi="Tahoma" w:cs="Tahoma"/>
        </w:rPr>
        <w:instrText>�</w:instrText>
      </w:r>
      <w:r>
        <w:instrText>oz‑Valle","given":"Jos</w:instrText>
      </w:r>
      <w:r>
        <w:rPr>
          <w:rFonts w:ascii="Tahoma" w:hAnsi="Tahoma" w:cs="Tahoma"/>
        </w:rPr>
        <w:instrText>�</w:instrText>
      </w:r>
      <w:r>
        <w:instrText xml:space="preserve"> Francisco","non-dropping-particle":"","parse-names":false,"suffix":""},{"dropping-particle":"","family":"Bustos‑Rodr</w:instrText>
      </w:r>
      <w:r>
        <w:rPr>
          <w:rFonts w:ascii="Tahoma" w:hAnsi="Tahoma" w:cs="Tahoma"/>
        </w:rPr>
        <w:instrText>�</w:instrText>
      </w:r>
      <w:r>
        <w:instrText>guez","given":"Felipe Jes</w:instrText>
      </w:r>
      <w:r>
        <w:rPr>
          <w:rFonts w:ascii="Tahoma" w:hAnsi="Tahoma" w:cs="Tahoma"/>
        </w:rPr>
        <w:instrText>�</w:instrText>
      </w:r>
      <w:r>
        <w:instrText>s","non-dropping-particle":"","parse-names":false,"suffix":""},{"dropping-particle":"","family":"Pereira‑Su</w:instrText>
      </w:r>
      <w:r>
        <w:rPr>
          <w:rFonts w:ascii="Tahoma" w:hAnsi="Tahoma" w:cs="Tahoma"/>
        </w:rPr>
        <w:instrText>�</w:instrText>
      </w:r>
      <w:r>
        <w:instrText>rez","given":"Ana Laura","non-dropping-particle":"","parse-names":false,"suffix":""},{"dropping-particle":"","family":"Palafox‑S</w:instrText>
      </w:r>
      <w:r>
        <w:rPr>
          <w:rFonts w:ascii="Tahoma" w:hAnsi="Tahoma" w:cs="Tahoma"/>
        </w:rPr>
        <w:instrText>�</w:instrText>
      </w:r>
      <w:r>
        <w:instrText>nchez","given":"Claudia Azucena","non-dropping-particle":"","parse-names":false,"suffix":""}],"container-title":"Experimental and Therapeutic Medicine","id":"ITEM-3","issued":{"date-parts":[["2019"]]},"page":"2053-2060","title":"B‑cell activating factor receptor expression is associated with germinal center B‑cell maintenance","type":"article-journal"},"uris":["http://www.mendeley.com/documents/?uuid=a3c2ca67-2520-4f66-895e-599b1104be3f"]},{"id":"ITEM-4","itemData":{"author":[{"dropping-particle":"","family":"Açar","given":"Gülay","non-dropping-particle":"","parse-names":false,"suffix":""}],"id":"ITEM-4","issued":{"date-parts":[["2020"]]},"publisher":"IntechOpen","title":"Surgical Anatomy of the Tonsils","type":"book"},"uris":["http://www.mendeley.com/documents/?uuid=d911409a-b913-4004-b53d-0ff6b5b12e42"]}],"mendeley":{"formattedCitation":"&lt;sup&gt;21,22,24,25&lt;/sup&gt;","plainTextFormattedCitation":"21,22,24,25","previouslyFormattedCitation":"&lt;sup&gt;21,22,24,25&lt;/sup&gt;"},"properties":{"noteIndex":0},"schema":"https://github.com/citation-style-language/schema/raw/master/csl-citation.json"}</w:instrText>
      </w:r>
      <w:r>
        <w:fldChar w:fldCharType="separate"/>
      </w:r>
      <w:r>
        <w:rPr>
          <w:noProof/>
          <w:vertAlign w:val="superscript"/>
        </w:rPr>
        <w:t>21,22,24,25</w:t>
      </w:r>
      <w:r>
        <w:fldChar w:fldCharType="end"/>
      </w:r>
    </w:p>
    <w:p w14:paraId="683C37C8" w14:textId="77777777" w:rsidR="003B79BC" w:rsidRDefault="00000000">
      <w:pPr>
        <w:spacing w:line="360" w:lineRule="auto"/>
        <w:ind w:firstLine="709"/>
        <w:jc w:val="both"/>
        <w:rPr>
          <w:rFonts w:eastAsiaTheme="minorEastAsia"/>
          <w:lang w:eastAsia="zh-CN"/>
        </w:rPr>
      </w:pPr>
      <w:r>
        <w:t>Tonsil terletak di sepanjang dinding lateral orofaring, di fossa yang terletak di antara pilar anterior dan posterior. Sekitar 5 arteri memberikan suplai darah ke tonsil. Arteri tersebut termasuk cabang tonsil dari arteri fasialis (suplai utama), arteri palatina asendens, arteri lingual dorsal, arteri faring asendens, dan arteri palatina minor. Drainase vena tonsil terjadi terutama melalui pleksus peritonsil</w:t>
      </w:r>
      <w:r w:rsidRPr="00F426C1">
        <w:rPr>
          <w:lang w:val="pt-BR"/>
        </w:rPr>
        <w:t>e</w:t>
      </w:r>
      <w:r>
        <w:t>r vena ke dalam vena faring dan lingual yang mengalir ke vena jugularis interna.</w:t>
      </w:r>
      <w:r>
        <w:fldChar w:fldCharType="begin" w:fldLock="1"/>
      </w:r>
      <w:r>
        <w:instrText>ADDIN CSL_CITATION {"citationItems":[{"id":"ITEM-1","itemData":{"DOI":"10.1016/j.wjorl.2021.04.003","ISSN":"25891081","abstract":"Objective: This review aims to discuss the basic anatomy and physiology of the palatine and pharyngeal tonsils, with reference to how this foundational understanding may affect patient management and surgical procedures in these regions of the upper airway. Methods: A literature search was performed using PubMed and Google Scholar using the MeSH terms tonsils, adenoids, anatomy, physiology, and adenotonsillectomy. Primary sources were excluded if they were abstracts only, non-English language, or non-human studies. Thirty-five sources were included in this review. Results and conclusions: The pharyngeal and palatine tonsils are compact yet physiologically complex mucosa-associated lymphoid tissues that make up a portion of Waldeyer's ring. As part of the mucosal immune system, these structures function in exogenous antigen sampling and stimulation of immune responses. Aberrant immune activation and/or regulation can lead to a myriad of pathologies, with adenotonsillar hypertrophy, chronic tonsillitis/adenoiditis, and recurrent otitis media among the most commonly encountered conditions by otolaryngologists. While the pathophysiology of these conditions is still incompletely understood, current evidence and future investigations may reveal patterns amenable to targeted medical management. When medical management fails, tonsillectomy and/or adenoidectomy may be indicated for patient care. Though routine procedures, the execution of tonsil and/or adenoid removal requires a thorough understanding of the anatomy of these lymphoepithelial organs so as to minimize the risk for rare serious complications that can occur.","author":[{"dropping-particle":"","family":"Arambula","given":"Alexandra","non-dropping-particle":"","parse-names":false,"suffix":""},{"dropping-particle":"","family":"Brown","given":"Jason R.","non-dropping-particle":"","parse-names":false,"suffix":""},{"dropping-particle":"","family":"Neff","given":"Laura","non-dropping-particle":"","parse-names":false,"suffix":""}],"container-title":"World Journal of Otorhinolaryngology - Head and Neck Surgery","id":"ITEM-1","issue":"3","issued":{"date-parts":[["2021"]]},"page":"155-160","publisher":"Elsevier Ltd","title":"Anatomy and physiology of the palatine tonsils, adenoids, and lingual tonsils","type":"article-journal","volume":"7"},"uris":["http://www.mendeley.com/documents/?uuid=9398fa5b-4ef3-4afa-b158-a85356349f0e"]},{"id":"ITEM-2","itemData":{"DOI":"10.16966/2470-0991.173","abstract":"Tonsillectomy and Adenoidectomy are common operative procedures in field of Ear, Nose and Throat (ENT) Surgery. Over 17000 tonsillectomy procedures were undertaken in England in the year 2014-2015 and the number for children is likely to be much higher [1]. Tonsillectomy may be performed for recurrent tonsillitis, histological diagnosis or for the management of snoring. Adenoidectomy is rarely performed in isolation but instead employed in combination with other interventions. Adenoidectomy and tonsillectomy (Adenotonsillectomy)</w:instrText>
      </w:r>
      <w:r>
        <w:rPr>
          <w:lang w:eastAsia="zh-CN"/>
        </w:rPr>
        <w:instrText xml:space="preserve"> is indicated for the paediatric population to manage obstructive sleep apnoea.","author":[{"dropping-particle":"","family":"Anmolsingh","given":"R","non-dropping-particle":"","parse-names":false,"suffix":""},{"dropping-particle":"","family":"Ali","given":"A","non-dropping-particle":"","parse-names":false,"suffix":""},{"dropping-particle":"","family":"Edmiston","given":"R","non-dropping-particle":"","parse-names":false,"suffix":""},{"dropping-particle":"","family":"Mirza","given":"O","non-dropping-particle":"","parse-names":false,"suffix":""},{"dropping-particle":"","family":"Rocke","given":"J","non-dropping-particle":"","parse-names":false,"suffix":""},{"dropping-particle":"","family":"Ranganathan","given":"B","non-dropping-particle":"","parse-names":false,"suffix":""},{"dropping-particle":"","family":"Kumar","given":"BN","non-dropping-particle":"","parse-names":false,"suffix":""}],"container-title":"Journal of Surgery: Open Access","id":"ITEM-2","issue":"4","issued":{"date-parts":[["2018"]]},"page":"1-7","title":"Tonsillectomy and Adenoidectomy: Indications, Complications and their Management","type":"article-journal","volume":"4"},"uris":["http://www.mendeley.com/documents/?uuid=acc9c5a2-29db-4912-85a7-09e3577a1585"]}],"mendeley":{"formattedCitation":"&lt;sup&gt;22,23&lt;/sup&gt;","plainTextFormattedCitation":"22,23","previouslyFormattedCitation":"&lt;sup&gt;22,23&lt;/sup&gt;"},"properties":{"noteIndex":0},"schema":"https://github.com/citation-style-language/schema/raw/master/csl-citation.json"}</w:instrText>
      </w:r>
      <w:r>
        <w:fldChar w:fldCharType="separate"/>
      </w:r>
      <w:r>
        <w:rPr>
          <w:noProof/>
          <w:vertAlign w:val="superscript"/>
          <w:lang w:eastAsia="zh-CN"/>
        </w:rPr>
        <w:t>22,23</w:t>
      </w:r>
      <w:r>
        <w:fldChar w:fldCharType="end"/>
      </w:r>
    </w:p>
    <w:p w14:paraId="6934D12A" w14:textId="77777777" w:rsidR="003B79BC" w:rsidRDefault="00000000">
      <w:pPr>
        <w:spacing w:line="360" w:lineRule="auto"/>
        <w:jc w:val="center"/>
        <w:rPr>
          <w:lang w:eastAsia="zh-CN"/>
        </w:rPr>
      </w:pPr>
      <w:r>
        <w:rPr>
          <w:noProof/>
        </w:rPr>
        <w:drawing>
          <wp:inline distT="0" distB="0" distL="0" distR="0" wp14:anchorId="7ECBB976" wp14:editId="6896CDE3">
            <wp:extent cx="5039995" cy="2980055"/>
            <wp:effectExtent l="0" t="0" r="0" b="0"/>
            <wp:docPr id="2113675518" name="Picture 3" descr="A picture containing org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675518" name="Picture 3" descr="A picture containing orga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039995" cy="2980055"/>
                    </a:xfrm>
                    <a:prstGeom prst="rect">
                      <a:avLst/>
                    </a:prstGeom>
                    <a:noFill/>
                    <a:ln>
                      <a:noFill/>
                    </a:ln>
                  </pic:spPr>
                </pic:pic>
              </a:graphicData>
            </a:graphic>
          </wp:inline>
        </w:drawing>
      </w:r>
    </w:p>
    <w:p w14:paraId="2A492C79" w14:textId="1F87D2F7" w:rsidR="003B79BC" w:rsidRDefault="00000000">
      <w:pPr>
        <w:pStyle w:val="Caption"/>
        <w:spacing w:after="0"/>
        <w:rPr>
          <w:i w:val="0"/>
          <w:iCs w:val="0"/>
          <w:sz w:val="24"/>
          <w:szCs w:val="24"/>
          <w:lang w:val="id-ID" w:eastAsia="zh-CN"/>
        </w:rPr>
      </w:pPr>
      <w:r>
        <w:rPr>
          <w:i w:val="0"/>
          <w:iCs w:val="0"/>
          <w:color w:val="000000" w:themeColor="text1"/>
          <w:sz w:val="24"/>
          <w:szCs w:val="24"/>
          <w:lang w:eastAsia="zh-CN"/>
        </w:rPr>
        <w:t xml:space="preserve">Gambar </w:t>
      </w:r>
      <w:r>
        <w:rPr>
          <w:i w:val="0"/>
          <w:iCs w:val="0"/>
          <w:color w:val="000000" w:themeColor="text1"/>
          <w:sz w:val="24"/>
          <w:szCs w:val="24"/>
        </w:rPr>
        <w:fldChar w:fldCharType="begin"/>
      </w:r>
      <w:r>
        <w:rPr>
          <w:i w:val="0"/>
          <w:iCs w:val="0"/>
          <w:color w:val="000000" w:themeColor="text1"/>
          <w:sz w:val="24"/>
          <w:szCs w:val="24"/>
          <w:lang w:eastAsia="zh-CN"/>
        </w:rPr>
        <w:instrText xml:space="preserve"> SEQ Gambar \* ARABIC </w:instrText>
      </w:r>
      <w:r>
        <w:rPr>
          <w:i w:val="0"/>
          <w:iCs w:val="0"/>
          <w:color w:val="000000" w:themeColor="text1"/>
          <w:sz w:val="24"/>
          <w:szCs w:val="24"/>
        </w:rPr>
        <w:fldChar w:fldCharType="separate"/>
      </w:r>
      <w:r w:rsidR="00D671E3">
        <w:rPr>
          <w:i w:val="0"/>
          <w:iCs w:val="0"/>
          <w:noProof/>
          <w:color w:val="000000" w:themeColor="text1"/>
          <w:sz w:val="24"/>
          <w:szCs w:val="24"/>
          <w:lang w:eastAsia="zh-CN"/>
        </w:rPr>
        <w:t>1</w:t>
      </w:r>
      <w:r>
        <w:rPr>
          <w:i w:val="0"/>
          <w:iCs w:val="0"/>
          <w:color w:val="000000" w:themeColor="text1"/>
          <w:sz w:val="24"/>
          <w:szCs w:val="24"/>
        </w:rPr>
        <w:fldChar w:fldCharType="end"/>
      </w:r>
      <w:r>
        <w:rPr>
          <w:i w:val="0"/>
          <w:iCs w:val="0"/>
          <w:color w:val="000000" w:themeColor="text1"/>
          <w:sz w:val="24"/>
          <w:szCs w:val="24"/>
          <w:lang w:val="id-ID" w:eastAsia="zh-CN"/>
        </w:rPr>
        <w:t>. Anatomi cincin Waldeyer: Tonsil Adenoid, palatina, lingual dan tuba</w:t>
      </w:r>
      <w:r>
        <w:rPr>
          <w:sz w:val="20"/>
          <w:szCs w:val="20"/>
          <w:lang w:val="id-ID"/>
        </w:rPr>
        <w:fldChar w:fldCharType="begin" w:fldLock="1"/>
      </w:r>
      <w:r>
        <w:rPr>
          <w:sz w:val="20"/>
          <w:szCs w:val="20"/>
          <w:lang w:val="id-ID" w:eastAsia="zh-CN"/>
        </w:rPr>
        <w:instrText>ADDIN CSL_CITATION {"citationItems":[{"id":"ITEM-1","itemData":{"DOI":"10.1136/bmjpo-2022-001710","ISBN":"2022001710","ISSN":"23999772","PMID":"37045541","abstract":"Adenoids (nasopharyngeal tonsils), being part of Waldeyer's ring, are masses of lymphoid tissues located at the junction of the roof and the posterior wall of the nasopharynx. Adenoids play an important role in the development of the immune system and serve as a defence against infections, being the first organs that come into contact with respiratory and digestive antigens. The causes of adenoid hypertrophy are not fully known. They are most likely associated with aberrant immune reactions, infections, environmental exposures and hormonal or genetic factors. The aim of this review is to summarise the current knowledge of adenoid hypertrophy in children and associated diseases. Adenoid hypertrophy has many clinical manifestations that are frequent in the paediatric population and is accompanied by various comorbidities.","author":[{"dropping-particle":"","family":"Niedzielski","given":"Artur","non-dropping-particle":"","parse-names":false,"suffix":""},{"dropping-particle":"","family":"Chmielik","given":"Lechosław Paweł","non-dropping-particle":"","parse-names":false,"suffix":""},{"dropping-particle":"","family":"Mielnik-Niedzielska","given":"Grazyna","non-dropping-particle":"","parse-names":false,"suffix":""},{"dropping-particle":"","family":"Kasprzyk","given":"Anna","non-dropping-particle":"","parse-names":false,"suffix":""},{"dropping-particle":"","family":"Bogusławska","given":"Joanna","non-dropping-particle":"","parse-names":false,"suffix":""}],"container-title":"BMJ Paediatrics Open","id":"ITEM-1","issue":"1","issued":{"date-parts":[["2023"]]},"title":"Adenoid hypertrophy in children: A narrative review of pathogenesis and clinical relevance","type":"article-journal","volume":"7"},"uris":["http://www.mendeley.com/documents/?uuid=4fc44303-1514-43ee-b786-8f9f89542217"]}],"mendeley":{"formattedCitation":"&lt;sup&gt;26&lt;/sup&gt;","plainTextFormattedCitation":"26","previouslyFormattedCitation":"&lt;sup&gt;26&lt;/sup&gt;"},"properties":{"noteIndex":0},"schema":"https://github.com/citation-style-language/schema/raw/master/csl-citation.json"}</w:instrText>
      </w:r>
      <w:r>
        <w:rPr>
          <w:sz w:val="20"/>
          <w:szCs w:val="20"/>
          <w:lang w:val="id-ID"/>
        </w:rPr>
        <w:fldChar w:fldCharType="separate"/>
      </w:r>
      <w:r>
        <w:rPr>
          <w:i w:val="0"/>
          <w:noProof/>
          <w:sz w:val="20"/>
          <w:szCs w:val="20"/>
          <w:vertAlign w:val="superscript"/>
          <w:lang w:val="id-ID" w:eastAsia="zh-CN"/>
        </w:rPr>
        <w:t>26</w:t>
      </w:r>
      <w:r>
        <w:rPr>
          <w:sz w:val="20"/>
          <w:szCs w:val="20"/>
          <w:lang w:val="id-ID"/>
        </w:rPr>
        <w:fldChar w:fldCharType="end"/>
      </w:r>
    </w:p>
    <w:p w14:paraId="543BED3B" w14:textId="77777777" w:rsidR="003B79BC" w:rsidRDefault="00000000">
      <w:pPr>
        <w:ind w:left="1134" w:hanging="1134"/>
        <w:jc w:val="both"/>
        <w:rPr>
          <w:sz w:val="20"/>
          <w:szCs w:val="20"/>
          <w:lang w:val="id-ID"/>
        </w:rPr>
      </w:pPr>
      <w:r>
        <w:rPr>
          <w:sz w:val="20"/>
          <w:szCs w:val="20"/>
          <w:lang w:val="id-ID" w:eastAsia="zh-CN"/>
        </w:rPr>
        <w:t xml:space="preserve">Dikutip dari: </w:t>
      </w:r>
      <w:r>
        <w:rPr>
          <w:sz w:val="20"/>
          <w:szCs w:val="20"/>
          <w:lang w:eastAsia="zh-CN"/>
        </w:rPr>
        <w:t xml:space="preserve">Niedzielski A, Chmielik LP, Mielnik-Niedzielska G, Kasprzyk A, Bogusławska J. Adenoid hypertrophy in children: a narrative review of pathogenesis and clinical relevance. bmjpo. </w:t>
      </w:r>
      <w:r>
        <w:rPr>
          <w:sz w:val="20"/>
          <w:szCs w:val="20"/>
        </w:rPr>
        <w:t>2023 Apr;7(1):e001710.</w:t>
      </w:r>
    </w:p>
    <w:p w14:paraId="1A08D105" w14:textId="77777777" w:rsidR="003B79BC" w:rsidRDefault="003B79BC">
      <w:pPr>
        <w:spacing w:line="360" w:lineRule="auto"/>
        <w:ind w:firstLine="709"/>
        <w:jc w:val="both"/>
      </w:pPr>
    </w:p>
    <w:p w14:paraId="5F476576" w14:textId="77777777" w:rsidR="003B79BC" w:rsidRDefault="00000000">
      <w:pPr>
        <w:spacing w:line="360" w:lineRule="auto"/>
        <w:ind w:firstLine="709"/>
        <w:jc w:val="both"/>
        <w:rPr>
          <w:rFonts w:eastAsiaTheme="minorEastAsia"/>
          <w:lang w:eastAsia="zh-CN"/>
        </w:rPr>
      </w:pPr>
      <w:r>
        <w:t>Inervasi tonsil berasal dari aferen pleksus tonsilaris, dengan kontribusi dari saraf trigeminal (N</w:t>
      </w:r>
      <w:r w:rsidRPr="00F426C1">
        <w:rPr>
          <w:lang w:val="pt-BR"/>
        </w:rPr>
        <w:t>.</w:t>
      </w:r>
      <w:r>
        <w:t xml:space="preserve"> V) melalui saraf palatine yang lebih rendah, serta saraf glossopharyngeal (N</w:t>
      </w:r>
      <w:r w:rsidRPr="00F426C1">
        <w:rPr>
          <w:lang w:val="pt-BR"/>
        </w:rPr>
        <w:t>.</w:t>
      </w:r>
      <w:r>
        <w:t xml:space="preserve"> IX). </w:t>
      </w:r>
      <w:r>
        <w:rPr>
          <w:lang w:eastAsia="zh-CN"/>
        </w:rPr>
        <w:t>N</w:t>
      </w:r>
      <w:r>
        <w:rPr>
          <w:lang w:val="en-US" w:eastAsia="zh-CN"/>
        </w:rPr>
        <w:t>.</w:t>
      </w:r>
      <w:r>
        <w:rPr>
          <w:lang w:eastAsia="zh-CN"/>
        </w:rPr>
        <w:t xml:space="preserve"> IX berlanjut ke distal tonsil yang memberikan persarafan sesorik dan sensasi pengecapan ke sepertiga posterior lidah. N</w:t>
      </w:r>
      <w:r>
        <w:rPr>
          <w:lang w:val="en-US" w:eastAsia="zh-CN"/>
        </w:rPr>
        <w:t>.</w:t>
      </w:r>
      <w:r>
        <w:rPr>
          <w:lang w:eastAsia="zh-CN"/>
        </w:rPr>
        <w:t xml:space="preserve"> IX adalah saraf yang paling mungkin rusak selama tonsilektomi.</w:t>
      </w:r>
      <w:r>
        <w:fldChar w:fldCharType="begin" w:fldLock="1"/>
      </w:r>
      <w:r>
        <w:rPr>
          <w:lang w:eastAsia="zh-CN"/>
        </w:rPr>
        <w:instrText>ADDIN CSL_CITATION {"citationItems":[{"id":"ITEM-1","itemData":{"author":[{"dropping-particle":"","family":"Açar","given":"Gülay","non-dropping-particle":"","parse-names":false,"suffix":""}],"id":"ITEM-1","issued":{"date-parts":[["2020"]]},"publisher":"IntechOpen","title":"Surgical Anatomy of the Tonsils","type":"book"},"uris":["http://www.mendeley.com/documents/?uuid=d911409a-b913-4004-b53d-0ff6b5b12e42"]},{"id":"ITEM-2","itemData":{"DOI":"10.2147/IJGM.S312866","ISSN":"11787074","abstract":"After medical stabilization, several techniques are considered for anesthesia in the surgical intervention of post-tonsillectomy bleeding in children. Hypoxia during induction of general anesthesia occurs more frequently than aspiration for this population. While classical (apneic) rapid sequence induction and intubation with cricoid pressure still has a role, controlled rapid sequence induction and intubation that incorporates mask ventilation at low pressure (&lt;12 cm H2O) before direct laryngoscopy under a deep plane of anesthesia is a viable alternative for cases of slow venous bleeding. Supplemental oxygen delivery during laryngoscopy to permit apneic oxygenation is a future trend in management. While the routine administration of tranexamic acid during tonsillectomy has not been shown to be of benefit, it may have a role in post-tonsillectomy hemorrhage with further study.","author":[{"dropping-particle":"","family":"Masters","given":"Kenneth G.","non-dropping-particle":"","parse-names":false,"suffix":""},{"dropping-particle":"","family":"Zezoff","given":"David","non-dropping-particle":"","parse-names":false,"suffix":""},{"dropping-particle":"","family":"Lasrado","given":"Savita","non-dropping-particle":"","parse-names":false,"suffix":""}],"container-title":"StatPearls Publishing LLC","id":"ITEM-2","issued":{"date-parts":[["2022"]]},"title":"Anatomy, Head and Neck, Tonsils","type":"article-journal"},"uris":["http://www.mendeley.com/documents/?uuid=4904a788-6bd1-470b-838a-22cbe38ae4b7"]},{"id":"ITEM-3","itemData":{"DOI":"10.1016/j.wjorl.2021.04.003","ISSN":"25891081","abstract":"Objective: This review aims to discuss the basic anatomy and physiology of the palatine and pharyngeal tonsils, with reference to how this foundational understanding may affect patient management and surgical procedures in these regions of the upper airway. Methods: A literature search was performed using PubMed and Google Scholar using the MeSH terms tonsils, adenoids, anatomy, physiology, and adenotonsillectomy. Primary sources were excluded if they were abstracts only, non-English language, or non-human studies. Thi</w:instrText>
      </w:r>
      <w:r>
        <w:instrText>rty-five sources were included in this review. Results and conclusions: The pharyngeal and palatine tonsils are compact yet physiologically complex mucosa-associated lymphoid tissues that make up a portion of Waldeyer's ring. As part of the mucosal immune system, these structures function in exogenous antigen sampling and stimulation of immune responses. Aberrant immune activation and/or regulation can lead to a myriad of pathologies, with adenotonsillar hypertrophy, chronic tonsillitis/adenoiditis, and recurrent otitis media among the most commonly encountered conditions by otolaryngologists. While the pathophysiology of these conditions is still in</w:instrText>
      </w:r>
      <w:r>
        <w:rPr>
          <w:lang w:eastAsia="zh-CN"/>
        </w:rPr>
        <w:instrText>completely understood, current evidence and future investigations may reveal patterns amenable to targeted medical management. When medical management fails, tonsillectomy and/or adenoidectomy may be indicated for patient care. Though routine procedures, the execution of tonsil and/or adenoid removal requires a thorough understanding of the anatomy of these lymphoepithelial organs so as to minimize the risk for rare serious complications that can occur.","author":[{"dropping-particle":"","family":"Arambula","given":"Alexandra","non-dropping-particle":"","parse-names":false,"suffix":""},{"dropping-particle":"","family":"Brown","given":"Jason R.","non-dropping-particle":"","parse-names":false,"suffix":""},{"dropping-particle":"","family":"Neff","given":"Laura","non-dropping-particle":"","parse-names":false,"suffix":""}],"container-title":"World Journal of Otorhinolaryngology - Head and Neck Surgery","id":"ITEM-3","issue":"3","issued":{"date-parts":[["2021"]]},"page":"155-160","publisher":"Elsevier Ltd","title":"Anatomy and physiology of the palatine tonsils, adenoids, and lingual tonsils","type":"article-journal","volume":"7"},"uris":["http://www.mendeley.com/documents/?uuid=9398fa5b-4ef3-4afa-b158-a85356349f0e"]}],"mendeley":{"formattedCitation":"&lt;sup&gt;21,22,25&lt;/sup&gt;","plainTextFormattedCitation":"21,22,25","previouslyFormattedCitation":"&lt;sup&gt;21,22,25&lt;/sup&gt;"},"properties":{"noteIndex":0},"schema":"https://github.com/citation-style-language/schema/raw/master/csl-citation.json"}</w:instrText>
      </w:r>
      <w:r>
        <w:fldChar w:fldCharType="separate"/>
      </w:r>
      <w:r>
        <w:rPr>
          <w:noProof/>
          <w:vertAlign w:val="superscript"/>
          <w:lang w:eastAsia="zh-CN"/>
        </w:rPr>
        <w:t>21,22,25</w:t>
      </w:r>
      <w:r>
        <w:fldChar w:fldCharType="end"/>
      </w:r>
    </w:p>
    <w:p w14:paraId="510C45FE" w14:textId="77777777" w:rsidR="003B79BC" w:rsidRDefault="003B79BC">
      <w:pPr>
        <w:spacing w:line="360" w:lineRule="auto"/>
        <w:jc w:val="both"/>
        <w:rPr>
          <w:color w:val="231F20"/>
          <w:lang w:val="id-ID" w:eastAsia="zh-CN"/>
        </w:rPr>
      </w:pPr>
    </w:p>
    <w:p w14:paraId="5EE61137" w14:textId="77777777" w:rsidR="003B79BC" w:rsidRDefault="00000000">
      <w:pPr>
        <w:pStyle w:val="Heading2"/>
        <w:numPr>
          <w:ilvl w:val="0"/>
          <w:numId w:val="5"/>
        </w:numPr>
        <w:spacing w:after="0"/>
        <w:ind w:left="709" w:hanging="709"/>
        <w:rPr>
          <w:szCs w:val="24"/>
          <w:lang w:val="id-ID" w:eastAsia="zh-CN"/>
        </w:rPr>
      </w:pPr>
      <w:bookmarkStart w:id="19" w:name="_Toc158290234"/>
      <w:r>
        <w:rPr>
          <w:szCs w:val="24"/>
          <w:lang w:val="id-ID" w:eastAsia="zh-CN"/>
        </w:rPr>
        <w:t>Tonsilektomi</w:t>
      </w:r>
      <w:bookmarkEnd w:id="19"/>
    </w:p>
    <w:p w14:paraId="3B2F530E" w14:textId="77777777" w:rsidR="003B79BC" w:rsidRDefault="00000000">
      <w:pPr>
        <w:pStyle w:val="Heading3"/>
        <w:rPr>
          <w:lang w:val="id-ID" w:eastAsia="zh-CN"/>
        </w:rPr>
      </w:pPr>
      <w:bookmarkStart w:id="20" w:name="_Toc158290235"/>
      <w:r>
        <w:rPr>
          <w:lang w:val="id-ID" w:eastAsia="zh-CN"/>
        </w:rPr>
        <w:t>2.2.1</w:t>
      </w:r>
      <w:r>
        <w:rPr>
          <w:lang w:val="id-ID" w:eastAsia="zh-CN"/>
        </w:rPr>
        <w:tab/>
        <w:t>Pengertian Tonsilektomi</w:t>
      </w:r>
      <w:bookmarkEnd w:id="20"/>
    </w:p>
    <w:p w14:paraId="21922564" w14:textId="77777777" w:rsidR="003B79BC" w:rsidRDefault="00000000">
      <w:pPr>
        <w:spacing w:line="360" w:lineRule="auto"/>
        <w:ind w:firstLine="709"/>
        <w:jc w:val="both"/>
        <w:rPr>
          <w:color w:val="000000"/>
          <w:lang w:val="en-US"/>
        </w:rPr>
      </w:pPr>
      <w:r>
        <w:rPr>
          <w:lang w:eastAsia="zh-CN"/>
        </w:rPr>
        <w:t>Tonsilektomi didefinisikan sebagai prosedur pembedahan yang dilakukan dengan atau tanpa adenoidektomi yang mengangkat seluruh tonsil, termasuk kapsulnya, dengan membedah ruang peritonsil antara kapsul tonsil dan dinding otot.</w:t>
      </w:r>
      <w:r>
        <w:fldChar w:fldCharType="begin" w:fldLock="1"/>
      </w:r>
      <w:r>
        <w:rPr>
          <w:lang w:eastAsia="zh-CN"/>
        </w:rPr>
        <w:instrText>ADDIN CSL_CITATION {"citationItems":[{"id":"ITEM-1","itemData":{"DOI":"10.1177/0194599818801757","ISSN":"10976817","PMID":"30798778","abstract":"Objective: This update of a 2011 guideline developed by the American Academy of Otolaryngology–Head and Neck Surgery Foundation provides evidence-based recommendations on the pre-, intra-, and postoperative care and management of children 1 to 18 years of age under consideration for tonsillectomy. Tonsillectomy is defined as a surgical procedure performed with or without adenoidectomy that completely removes the tonsil, including its capsule, by dissecting the peritonsillar space between the tonsil capsule and the muscular wall. Tonsillectomy is one of the most common surgical procedures in the United States, with 289,000 ambulatory procedures performed annually in children &lt;15 years of age based on the most recent published data. This guideline is intended for all clinicians in any setting who interact with children who may be candidates for tonsillectomy. Purpose: The purpose of this multidisciplinary guideline is to identify quality improvement opportunities in managing children under consideration for tonsillectomy and to create explicit and actionable re</w:instrText>
      </w:r>
      <w:r>
        <w:instrText>commendations to implement these opportunities in clinical practice. Specifically, the goals are to educate clinicians, patients, and/or caregivers regarding the indications for tonsillectomy and the natural history of recurrent throat infections. Additional goals include the following: optimizing the perioperative management of children undergoing tonsillectomy, emphasizing the need for evaluation and intervention in special populations, improving the counseling and education of families who are considering tonsillectomy for their children, highlighting the management options for patients with modifying factors, and reducing inappropriate or unnecessary variations in care. Children aged 1 to 18 years under consideration for tonsillectomy are the target patient for the guideline. For this guideline update, the American Academy of Otolaryngology–Head and Neck Surgery Foundation selected a panel representing the fields of nursing, anesthesiology, consumers, family medicine, infectious disease, otolaryngology–head and neck surgery, pediatrics, and sleep medicine. Key Action Statements: The guideline update group made strong recommendations for the following key action statements (KASs): (1) Clinicians should recommend watchful waiting for recurrent throat infection if there have been &lt;7 episodes in the past year, &lt;5 episodes per year in the past 2 years, or &lt;3 episodes per year in the past 3 years. (2)…","author":[{"dropping-particle":"","family":"Mitchell","given":"Ron B.","non-dropping-particle":"","parse-names":false,"suffix":""},{"dropping-particle":"","family":"Archer","given":"Sanford M.","non-dropping-particle":"","parse-names":false,"suffix":""},{"dropping-particle":"","family":"Ishman","given":"Stacey L.","non-dropping-particle":"","parse-names":false,"suffix":""},{"dropping-particle":"","family":"Rosenfeld","given":"Richard M.","non-dropping-particle":"","parse-names":false,"suffix":""},{"dropping-particle":"","family":"Coles","given":"Sarah","non-dropping-particle":"","parse-names":false,"suffix":""},{"dropping-particle":"","family":"Finestone","given":"Sandra A.","non-dropping-particle":"","parse-names":false,"suffix":""},{"dropping-particle":"","family":"Friedman","given":"Norman R.","non-dropping-particle":"","parse-names":false,"suffix":""},{"dropping-particle":"","family":"Giordano","given":"Terri","non-dropping-particle":"","parse-names":false,"suffix":""},{"dropping-particle":"","family":"Hildrew","given":"Douglas M.","non-dropping-particl</w:instrText>
      </w:r>
      <w:r>
        <w:rPr>
          <w:lang w:eastAsia="zh-CN"/>
        </w:rPr>
        <w:instrText>e":"","parse-names":false,"suffix":""},{"dropping-particle":"","family":"Kim","given":"Tae W.","non-dropping-particle":"","parse-names":false,"suffix":""},{"dropping-particle":"","family":"Lloyd","given":"Robin M.","non-dropping-particle":"","parse-names":false,"suffix":""},{"dropping-particle":"","family":"Parikh","given":"Sanjay R.","non-dropping-particle":"","parse-names":false,"suffix":""},{"dropping-particle":"","family":"Shulman","given":"Stanford T.","non-dropping-particle":"","parse-names":false,"suffix":""},{"dropping-particle":"","family":"Walner","given":"David L.","non-dropping-particle":"","parse-names":false,"suffix":""},{"dropping-particle":"","family":"Walsh","given":"Sandra A.","non-dropping-particle":"","parse-names":false,"suffix":""},{"dropping-particle":"","family":"Nnacheta","given":"Lorraine C.","non-dropping-particle":"","parse-names":false,"suffix":""}],"container-title":"Otolaryngology - Head and Neck Surgery (United States)","id":"ITEM-1","issue":"1_suppl","issued":{"date-parts":[["2019"]]},"page":"S1-S42","title":"Clinical Practice Guideline: Tonsillectomy in Children (Update)","type":"article-journal","volume":"160"},"uris":["http://www.mendeley.com/documents/?uuid=d1465aaa-de96-4e84-8a43-c9373fdfafcc"]}],"mendeley":{"formattedCitation":"&lt;sup&gt;1&lt;/sup&gt;","plainTextFormattedCitation":"1","previouslyFormattedCitation":"&lt;sup&gt;1&lt;/sup&gt;"},"properties":{"noteIndex":0},"schema":"https://github.com/citation-style-language/schema/raw/master/csl-citation.json"}</w:instrText>
      </w:r>
      <w:r>
        <w:fldChar w:fldCharType="separate"/>
      </w:r>
      <w:r>
        <w:rPr>
          <w:noProof/>
          <w:vertAlign w:val="superscript"/>
          <w:lang w:eastAsia="zh-CN"/>
        </w:rPr>
        <w:t>1</w:t>
      </w:r>
      <w:r>
        <w:fldChar w:fldCharType="end"/>
      </w:r>
      <w:r>
        <w:rPr>
          <w:lang w:eastAsia="zh-CN"/>
        </w:rPr>
        <w:t xml:space="preserve"> </w:t>
      </w:r>
      <w:proofErr w:type="spellStart"/>
      <w:r>
        <w:rPr>
          <w:color w:val="000000"/>
          <w:lang w:val="en-US" w:eastAsia="zh-CN"/>
        </w:rPr>
        <w:t>Tonsilektomi</w:t>
      </w:r>
      <w:proofErr w:type="spellEnd"/>
      <w:r>
        <w:rPr>
          <w:color w:val="000000"/>
          <w:lang w:val="en-US" w:eastAsia="zh-CN"/>
        </w:rPr>
        <w:t xml:space="preserve"> </w:t>
      </w:r>
      <w:r>
        <w:rPr>
          <w:color w:val="000000"/>
          <w:lang w:val="id-ID" w:eastAsia="zh-CN"/>
        </w:rPr>
        <w:t>menjadi</w:t>
      </w:r>
      <w:r>
        <w:rPr>
          <w:color w:val="000000"/>
          <w:lang w:val="en-US" w:eastAsia="zh-CN"/>
        </w:rPr>
        <w:t xml:space="preserve"> salah </w:t>
      </w:r>
      <w:proofErr w:type="spellStart"/>
      <w:r>
        <w:rPr>
          <w:color w:val="000000"/>
          <w:lang w:val="en-US" w:eastAsia="zh-CN"/>
        </w:rPr>
        <w:t>satu</w:t>
      </w:r>
      <w:proofErr w:type="spellEnd"/>
      <w:r>
        <w:rPr>
          <w:color w:val="000000"/>
          <w:lang w:val="en-US" w:eastAsia="zh-CN"/>
        </w:rPr>
        <w:t xml:space="preserve"> </w:t>
      </w:r>
      <w:proofErr w:type="spellStart"/>
      <w:r>
        <w:rPr>
          <w:color w:val="000000"/>
          <w:lang w:val="en-US" w:eastAsia="zh-CN"/>
        </w:rPr>
        <w:t>prosedur</w:t>
      </w:r>
      <w:proofErr w:type="spellEnd"/>
      <w:r>
        <w:rPr>
          <w:color w:val="000000"/>
          <w:lang w:val="en-US" w:eastAsia="zh-CN"/>
        </w:rPr>
        <w:t xml:space="preserve"> yang </w:t>
      </w:r>
      <w:proofErr w:type="spellStart"/>
      <w:r>
        <w:rPr>
          <w:color w:val="000000"/>
          <w:lang w:val="en-US" w:eastAsia="zh-CN"/>
        </w:rPr>
        <w:t>populer</w:t>
      </w:r>
      <w:proofErr w:type="spellEnd"/>
      <w:r>
        <w:rPr>
          <w:color w:val="000000"/>
          <w:lang w:val="en-US" w:eastAsia="zh-CN"/>
        </w:rPr>
        <w:t xml:space="preserve"> </w:t>
      </w:r>
      <w:proofErr w:type="spellStart"/>
      <w:r>
        <w:rPr>
          <w:color w:val="000000"/>
          <w:lang w:val="en-US" w:eastAsia="zh-CN"/>
        </w:rPr>
        <w:t>dilakukan</w:t>
      </w:r>
      <w:proofErr w:type="spellEnd"/>
      <w:r>
        <w:rPr>
          <w:color w:val="000000"/>
          <w:lang w:val="en-US" w:eastAsia="zh-CN"/>
        </w:rPr>
        <w:t xml:space="preserve"> pada </w:t>
      </w:r>
      <w:proofErr w:type="spellStart"/>
      <w:r>
        <w:rPr>
          <w:color w:val="000000"/>
          <w:lang w:val="en-US" w:eastAsia="zh-CN"/>
        </w:rPr>
        <w:t>kelompok</w:t>
      </w:r>
      <w:proofErr w:type="spellEnd"/>
      <w:r>
        <w:rPr>
          <w:color w:val="000000"/>
          <w:lang w:val="en-US" w:eastAsia="zh-CN"/>
        </w:rPr>
        <w:t xml:space="preserve"> </w:t>
      </w:r>
      <w:proofErr w:type="spellStart"/>
      <w:r>
        <w:rPr>
          <w:color w:val="000000"/>
          <w:lang w:val="en-US" w:eastAsia="zh-CN"/>
        </w:rPr>
        <w:t>usia</w:t>
      </w:r>
      <w:proofErr w:type="spellEnd"/>
      <w:r>
        <w:rPr>
          <w:color w:val="000000"/>
          <w:lang w:val="en-US" w:eastAsia="zh-CN"/>
        </w:rPr>
        <w:t xml:space="preserve"> </w:t>
      </w:r>
      <w:proofErr w:type="spellStart"/>
      <w:r>
        <w:rPr>
          <w:color w:val="000000"/>
          <w:lang w:val="en-US" w:eastAsia="zh-CN"/>
        </w:rPr>
        <w:t>pediatrik</w:t>
      </w:r>
      <w:proofErr w:type="spellEnd"/>
      <w:r>
        <w:rPr>
          <w:color w:val="000000"/>
          <w:lang w:val="en-US" w:eastAsia="zh-CN"/>
        </w:rPr>
        <w:t xml:space="preserve"> yang </w:t>
      </w:r>
      <w:proofErr w:type="spellStart"/>
      <w:r>
        <w:rPr>
          <w:color w:val="000000"/>
          <w:lang w:val="en-US" w:eastAsia="zh-CN"/>
        </w:rPr>
        <w:t>dipraktikkan</w:t>
      </w:r>
      <w:proofErr w:type="spellEnd"/>
      <w:r>
        <w:rPr>
          <w:color w:val="000000"/>
          <w:lang w:val="en-US" w:eastAsia="zh-CN"/>
        </w:rPr>
        <w:t xml:space="preserve"> </w:t>
      </w:r>
      <w:proofErr w:type="spellStart"/>
      <w:r>
        <w:rPr>
          <w:color w:val="000000"/>
          <w:lang w:val="en-US" w:eastAsia="zh-CN"/>
        </w:rPr>
        <w:t>sejak</w:t>
      </w:r>
      <w:proofErr w:type="spellEnd"/>
      <w:r>
        <w:rPr>
          <w:color w:val="000000"/>
          <w:lang w:val="en-US" w:eastAsia="zh-CN"/>
        </w:rPr>
        <w:t xml:space="preserve"> 2.000 </w:t>
      </w:r>
      <w:proofErr w:type="spellStart"/>
      <w:r>
        <w:rPr>
          <w:color w:val="000000"/>
          <w:lang w:val="en-US" w:eastAsia="zh-CN"/>
        </w:rPr>
        <w:t>tahun</w:t>
      </w:r>
      <w:proofErr w:type="spellEnd"/>
      <w:r>
        <w:rPr>
          <w:color w:val="000000"/>
          <w:lang w:val="en-US" w:eastAsia="zh-CN"/>
        </w:rPr>
        <w:t xml:space="preserve">, dengan </w:t>
      </w:r>
      <w:proofErr w:type="spellStart"/>
      <w:r>
        <w:rPr>
          <w:color w:val="000000"/>
          <w:lang w:val="en-US" w:eastAsia="zh-CN"/>
        </w:rPr>
        <w:t>popularitas</w:t>
      </w:r>
      <w:proofErr w:type="spellEnd"/>
      <w:r>
        <w:rPr>
          <w:color w:val="000000"/>
          <w:lang w:val="en-US" w:eastAsia="zh-CN"/>
        </w:rPr>
        <w:t xml:space="preserve"> yang </w:t>
      </w:r>
      <w:proofErr w:type="spellStart"/>
      <w:r>
        <w:rPr>
          <w:color w:val="000000"/>
          <w:lang w:val="en-US" w:eastAsia="zh-CN"/>
        </w:rPr>
        <w:t>bervariasi</w:t>
      </w:r>
      <w:proofErr w:type="spellEnd"/>
      <w:r>
        <w:rPr>
          <w:color w:val="000000"/>
          <w:lang w:val="en-US" w:eastAsia="zh-CN"/>
        </w:rPr>
        <w:t xml:space="preserve"> selama berabad-abad.</w:t>
      </w:r>
      <w:r>
        <w:rPr>
          <w:color w:val="000000"/>
          <w:lang w:val="en-US"/>
        </w:rPr>
        <w:fldChar w:fldCharType="begin" w:fldLock="1"/>
      </w:r>
      <w:r>
        <w:rPr>
          <w:color w:val="000000"/>
          <w:lang w:val="en-US" w:eastAsia="zh-CN"/>
        </w:rPr>
        <w:instrText>ADDIN CSL_CITATION {"citationItems":[{"id":"ITEM-1","itemData":{"DOI":"10.5005/jp-journals-10003-1409","ISSN":"0975-444X","author":[{"dropping-particle":"","family":"Thomas","given":"James","non-dropping-particle":"","parse-names":false,"suffix":""},{"dropping-particle":"","family":"Bhatnagar","given":"Aastha","non-dropping-particle":"","parse-names":false,"suffix":""},{"dropping-particle":"V","family":"Satav","given":"Anuja","non-dropping-particle":"","parse-names":false,"suffix":""},{"dropping-particle":"","family":"Kancherla","given":"Srinithya","non-dropping-particle":"","parse-names":false,"suffix":""},{"dropping-particle":"","family":"Prasad","given":"Shubhangi","non-dropping-particle":"","parse-names":false,"suffix":""},{"dropping-particle":"","family":"Pareek","given":"Rajesh","non-dropping-particle":"","parse-names":false,"suffix":""},{"dropping-particle":"","family":"Kakollu","given":"Lakshmisravya","non-dropping-particle":"","parse-names":false,"suffix":""},{"dropping-particle":"","family":"Pawar","given":"Rishikesh","non-dropping-particle":"","parse-names":false,"suffix":""}],"container-title":"An International Journal of Otorhinolaryngology Clinics","id":"ITEM-1","issue":"3","issued":{"date-parts":[["2023"]]},"page":"79-81","title":"To Study the Effect of Pre-incisional Infiltr</w:instrText>
      </w:r>
      <w:r>
        <w:rPr>
          <w:color w:val="000000"/>
          <w:lang w:val="en-US"/>
        </w:rPr>
        <w:instrText>ation of Ropivacaine for Post-tonsillectomy Pain Relief","type":"article-journal","volume":"14"},"uris":["http://www.mendeley.com/documents/?uuid=71dc88c3-6674-4588-a99b-167792b0d5cd"]}],"mendeley":{"formattedCitation":"&lt;sup&gt;6&lt;/sup&gt;","plainTextFormattedCitation":"6","previouslyFormattedCitation":"&lt;sup&gt;6&lt;/sup&gt;"},"properties":{"noteIndex":0},"schema":"https://github.com/citation-style-language/schema/raw/master/csl-citation.json"}</w:instrText>
      </w:r>
      <w:r>
        <w:rPr>
          <w:color w:val="000000"/>
          <w:lang w:val="en-US"/>
        </w:rPr>
        <w:fldChar w:fldCharType="separate"/>
      </w:r>
      <w:r>
        <w:rPr>
          <w:noProof/>
          <w:color w:val="000000"/>
          <w:vertAlign w:val="superscript"/>
          <w:lang w:val="en-US"/>
        </w:rPr>
        <w:t>6</w:t>
      </w:r>
      <w:r>
        <w:rPr>
          <w:color w:val="000000"/>
          <w:lang w:val="en-US"/>
        </w:rPr>
        <w:fldChar w:fldCharType="end"/>
      </w:r>
    </w:p>
    <w:p w14:paraId="7EB136FB" w14:textId="77777777" w:rsidR="003B79BC" w:rsidRDefault="003B79BC">
      <w:pPr>
        <w:spacing w:line="360" w:lineRule="auto"/>
        <w:ind w:firstLine="709"/>
        <w:jc w:val="both"/>
        <w:rPr>
          <w:rFonts w:eastAsiaTheme="minorEastAsia"/>
          <w:lang w:eastAsia="zh-CN"/>
        </w:rPr>
      </w:pPr>
    </w:p>
    <w:p w14:paraId="6F972A3A" w14:textId="77777777" w:rsidR="003B79BC" w:rsidRDefault="00000000">
      <w:pPr>
        <w:pStyle w:val="Heading3"/>
        <w:rPr>
          <w:lang w:val="id-ID" w:eastAsia="zh-CN"/>
        </w:rPr>
      </w:pPr>
      <w:bookmarkStart w:id="21" w:name="_Toc158290236"/>
      <w:r>
        <w:rPr>
          <w:lang w:val="id-ID" w:eastAsia="zh-CN"/>
        </w:rPr>
        <w:t>2.2.2</w:t>
      </w:r>
      <w:r>
        <w:rPr>
          <w:lang w:val="id-ID" w:eastAsia="zh-CN"/>
        </w:rPr>
        <w:tab/>
        <w:t>Indikasi Dan Kontraindikasi Tonsilektomi</w:t>
      </w:r>
      <w:bookmarkEnd w:id="21"/>
    </w:p>
    <w:p w14:paraId="153BD468" w14:textId="77777777" w:rsidR="003B79BC" w:rsidRDefault="00000000">
      <w:pPr>
        <w:spacing w:line="360" w:lineRule="auto"/>
        <w:ind w:firstLine="709"/>
        <w:jc w:val="both"/>
        <w:rPr>
          <w:rFonts w:eastAsiaTheme="minorEastAsia"/>
          <w:lang w:val="id-ID" w:eastAsia="zh-CN"/>
        </w:rPr>
      </w:pPr>
      <w:r>
        <w:rPr>
          <w:lang w:val="id-ID" w:eastAsia="zh-CN"/>
        </w:rPr>
        <w:t>D</w:t>
      </w:r>
      <w:r>
        <w:rPr>
          <w:lang w:eastAsia="zh-CN"/>
        </w:rPr>
        <w:t xml:space="preserve">ua indikasi paling umum </w:t>
      </w:r>
      <w:r>
        <w:rPr>
          <w:lang w:val="id-ID" w:eastAsia="zh-CN"/>
        </w:rPr>
        <w:t>dari</w:t>
      </w:r>
      <w:r>
        <w:rPr>
          <w:lang w:eastAsia="zh-CN"/>
        </w:rPr>
        <w:t xml:space="preserve"> tonsilektomi adalah gangguan pernapasan saat tidur dan tonsilitis berulang.</w:t>
      </w:r>
      <w:r>
        <w:fldChar w:fldCharType="begin" w:fldLock="1"/>
      </w:r>
      <w:r>
        <w:rPr>
          <w:lang w:eastAsia="zh-CN"/>
        </w:rPr>
        <w:instrText>ADDIN CSL_CITATION {"citationItems":[{"id":"ITEM-1","itemData":{"author":[{"dropping-particle":"","family":"Bohr","given":"Colin","non-dropping-particle":"","parse-names":false,"suffix":""},{"dropping-particle":"","family":"Shermetaro","given":"Carl","non-dropping-particle":"","parse-names":false,"suffix":""}],"container-title":"StatPearls Publishing LLC\\","id":"ITEM-1","issued":{"date-parts":[["2022"]]},"title":"Tonsillectomy and Adenoidectomy","type":"article-journal"},"uris":["http://www.mendeley.com/documents/?uuid=147ff617-0c9c-4462-add1-da2c89288ae5"]},{"id":"ITEM-2","itemData":{"DOI":"10.1016/j.otot.2005.09.005","ISSN":"10431810","abstract":"Tonsillectomy is one of the most common surgeries performed in the United States of America. There is currently no consensus on which of the several techniques available is optimal. This article describes the various extracapsular (total tonsillectomy) and intracapsular (subtotal tonsillectomy) techniques that are currently available. © 2005 Elsevier Inc. All rights reserved.","author":[{"dropping-particle":"","family":"Messner","given":"Anna H.","non-dropping-particle":"","parse-names":false,"suffix":""}],"container-title":"Operative Techniques in Otolaryngology - Head and Neck Surgery","id":"ITEM-2","issue":"4","issued":{"date-parts":[["2005"]]},"page":"224-228","title":"Tonsillectomy","type":"article-journal","volume":"16"},"uris":["http://www.mendeley.com/documents/?uuid=80a91334-4e84-4648-b585-0babd46faad0"]}],"mendeley":{"formattedCitation":"&lt;sup&gt;27,28&lt;/sup&gt;","plainTextFormattedCitation":"27,28","previouslyFormattedCitation":"&lt;sup&gt;27,28&lt;/sup&gt;"},"properties":{"noteIndex":0},"schema":"https://github.com/citation-style-language/schema/raw/master/csl-citation.json"}</w:instrText>
      </w:r>
      <w:r>
        <w:fldChar w:fldCharType="separate"/>
      </w:r>
      <w:r>
        <w:rPr>
          <w:noProof/>
          <w:vertAlign w:val="superscript"/>
          <w:lang w:eastAsia="zh-CN"/>
        </w:rPr>
        <w:t>27,28</w:t>
      </w:r>
      <w:r>
        <w:fldChar w:fldCharType="end"/>
      </w:r>
      <w:r>
        <w:rPr>
          <w:rFonts w:eastAsiaTheme="minorEastAsia"/>
          <w:lang w:val="id-ID" w:eastAsia="zh-CN"/>
        </w:rPr>
        <w:t xml:space="preserve"> </w:t>
      </w:r>
      <w:proofErr w:type="spellStart"/>
      <w:r>
        <w:rPr>
          <w:color w:val="000000"/>
          <w:lang w:val="en-US" w:eastAsia="zh-CN"/>
        </w:rPr>
        <w:t>Indikasi</w:t>
      </w:r>
      <w:proofErr w:type="spellEnd"/>
      <w:r>
        <w:rPr>
          <w:color w:val="000000"/>
          <w:lang w:val="en-US" w:eastAsia="zh-CN"/>
        </w:rPr>
        <w:t xml:space="preserve"> lain untuk </w:t>
      </w:r>
      <w:proofErr w:type="spellStart"/>
      <w:r>
        <w:rPr>
          <w:color w:val="000000"/>
          <w:lang w:val="en-US" w:eastAsia="zh-CN"/>
        </w:rPr>
        <w:t>tonsilektomi</w:t>
      </w:r>
      <w:proofErr w:type="spellEnd"/>
      <w:r>
        <w:rPr>
          <w:color w:val="000000"/>
          <w:lang w:val="en-US" w:eastAsia="zh-CN"/>
        </w:rPr>
        <w:t xml:space="preserve"> </w:t>
      </w:r>
      <w:proofErr w:type="spellStart"/>
      <w:r>
        <w:rPr>
          <w:color w:val="000000"/>
          <w:lang w:val="en-US" w:eastAsia="zh-CN"/>
        </w:rPr>
        <w:t>termasuk</w:t>
      </w:r>
      <w:proofErr w:type="spellEnd"/>
      <w:r>
        <w:rPr>
          <w:color w:val="000000"/>
          <w:lang w:val="en-US" w:eastAsia="zh-CN"/>
        </w:rPr>
        <w:t xml:space="preserve"> </w:t>
      </w:r>
      <w:proofErr w:type="spellStart"/>
      <w:r>
        <w:rPr>
          <w:color w:val="000000"/>
          <w:lang w:val="en-US" w:eastAsia="zh-CN"/>
        </w:rPr>
        <w:t>abses</w:t>
      </w:r>
      <w:proofErr w:type="spellEnd"/>
      <w:r>
        <w:rPr>
          <w:color w:val="000000"/>
          <w:lang w:val="en-US" w:eastAsia="zh-CN"/>
        </w:rPr>
        <w:t xml:space="preserve"> </w:t>
      </w:r>
      <w:proofErr w:type="spellStart"/>
      <w:r>
        <w:rPr>
          <w:color w:val="000000"/>
          <w:lang w:val="en-US" w:eastAsia="zh-CN"/>
        </w:rPr>
        <w:t>peritonsiler</w:t>
      </w:r>
      <w:proofErr w:type="spellEnd"/>
      <w:r>
        <w:rPr>
          <w:color w:val="000000"/>
          <w:lang w:val="en-US" w:eastAsia="zh-CN"/>
        </w:rPr>
        <w:t xml:space="preserve"> yang tidak </w:t>
      </w:r>
      <w:proofErr w:type="spellStart"/>
      <w:r>
        <w:rPr>
          <w:color w:val="000000"/>
          <w:lang w:val="en-US" w:eastAsia="zh-CN"/>
        </w:rPr>
        <w:t>responsif</w:t>
      </w:r>
      <w:proofErr w:type="spellEnd"/>
      <w:r>
        <w:rPr>
          <w:color w:val="000000"/>
          <w:lang w:val="en-US" w:eastAsia="zh-CN"/>
        </w:rPr>
        <w:t xml:space="preserve"> terhadap </w:t>
      </w:r>
      <w:proofErr w:type="spellStart"/>
      <w:r>
        <w:rPr>
          <w:color w:val="000000"/>
          <w:lang w:val="en-US" w:eastAsia="zh-CN"/>
        </w:rPr>
        <w:t>perawatan</w:t>
      </w:r>
      <w:proofErr w:type="spellEnd"/>
      <w:r>
        <w:rPr>
          <w:color w:val="000000"/>
          <w:lang w:val="en-US" w:eastAsia="zh-CN"/>
        </w:rPr>
        <w:t xml:space="preserve"> </w:t>
      </w:r>
      <w:proofErr w:type="spellStart"/>
      <w:r>
        <w:rPr>
          <w:color w:val="000000"/>
          <w:lang w:val="en-US" w:eastAsia="zh-CN"/>
        </w:rPr>
        <w:t>medis</w:t>
      </w:r>
      <w:proofErr w:type="spellEnd"/>
      <w:r>
        <w:rPr>
          <w:color w:val="000000"/>
          <w:lang w:val="en-US" w:eastAsia="zh-CN"/>
        </w:rPr>
        <w:t xml:space="preserve">, rasa </w:t>
      </w:r>
      <w:proofErr w:type="spellStart"/>
      <w:r>
        <w:rPr>
          <w:color w:val="000000"/>
          <w:lang w:val="en-US" w:eastAsia="zh-CN"/>
        </w:rPr>
        <w:t>busuk</w:t>
      </w:r>
      <w:proofErr w:type="spellEnd"/>
      <w:r>
        <w:rPr>
          <w:color w:val="000000"/>
          <w:lang w:val="en-US" w:eastAsia="zh-CN"/>
        </w:rPr>
        <w:t xml:space="preserve"> atau napas yang </w:t>
      </w:r>
      <w:proofErr w:type="spellStart"/>
      <w:r>
        <w:rPr>
          <w:color w:val="000000"/>
          <w:lang w:val="en-US" w:eastAsia="zh-CN"/>
        </w:rPr>
        <w:t>terus-menerus</w:t>
      </w:r>
      <w:proofErr w:type="spellEnd"/>
      <w:r>
        <w:rPr>
          <w:color w:val="000000"/>
          <w:lang w:val="en-US" w:eastAsia="zh-CN"/>
        </w:rPr>
        <w:t xml:space="preserve"> </w:t>
      </w:r>
      <w:proofErr w:type="spellStart"/>
      <w:r>
        <w:rPr>
          <w:color w:val="000000"/>
          <w:lang w:val="en-US" w:eastAsia="zh-CN"/>
        </w:rPr>
        <w:t>disebabkan</w:t>
      </w:r>
      <w:proofErr w:type="spellEnd"/>
      <w:r>
        <w:rPr>
          <w:color w:val="000000"/>
          <w:lang w:val="en-US" w:eastAsia="zh-CN"/>
        </w:rPr>
        <w:t xml:space="preserve"> oleh tonsilitis </w:t>
      </w:r>
      <w:proofErr w:type="spellStart"/>
      <w:r>
        <w:rPr>
          <w:color w:val="000000"/>
          <w:lang w:val="en-US" w:eastAsia="zh-CN"/>
        </w:rPr>
        <w:t>kronis</w:t>
      </w:r>
      <w:proofErr w:type="spellEnd"/>
      <w:r>
        <w:rPr>
          <w:color w:val="000000"/>
          <w:lang w:val="en-US" w:eastAsia="zh-CN"/>
        </w:rPr>
        <w:t xml:space="preserve"> yang tidak </w:t>
      </w:r>
      <w:proofErr w:type="spellStart"/>
      <w:r>
        <w:rPr>
          <w:color w:val="000000"/>
          <w:lang w:val="en-US" w:eastAsia="zh-CN"/>
        </w:rPr>
        <w:t>responsif</w:t>
      </w:r>
      <w:proofErr w:type="spellEnd"/>
      <w:r>
        <w:rPr>
          <w:color w:val="000000"/>
          <w:lang w:val="en-US" w:eastAsia="zh-CN"/>
        </w:rPr>
        <w:t xml:space="preserve"> terhadap </w:t>
      </w:r>
      <w:proofErr w:type="spellStart"/>
      <w:r>
        <w:rPr>
          <w:color w:val="000000"/>
          <w:lang w:val="en-US" w:eastAsia="zh-CN"/>
        </w:rPr>
        <w:t>terapi</w:t>
      </w:r>
      <w:proofErr w:type="spellEnd"/>
      <w:r>
        <w:rPr>
          <w:color w:val="000000"/>
          <w:lang w:val="en-US" w:eastAsia="zh-CN"/>
        </w:rPr>
        <w:t xml:space="preserve"> </w:t>
      </w:r>
      <w:proofErr w:type="spellStart"/>
      <w:r>
        <w:rPr>
          <w:color w:val="000000"/>
          <w:lang w:val="en-US" w:eastAsia="zh-CN"/>
        </w:rPr>
        <w:t>medis</w:t>
      </w:r>
      <w:proofErr w:type="spellEnd"/>
      <w:r>
        <w:rPr>
          <w:color w:val="000000"/>
          <w:lang w:val="en-US" w:eastAsia="zh-CN"/>
        </w:rPr>
        <w:t xml:space="preserve">, </w:t>
      </w:r>
      <w:proofErr w:type="spellStart"/>
      <w:r>
        <w:rPr>
          <w:color w:val="000000"/>
          <w:lang w:val="en-US" w:eastAsia="zh-CN"/>
        </w:rPr>
        <w:t>hipertrofi</w:t>
      </w:r>
      <w:proofErr w:type="spellEnd"/>
      <w:r>
        <w:rPr>
          <w:color w:val="000000"/>
          <w:lang w:val="en-US" w:eastAsia="zh-CN"/>
        </w:rPr>
        <w:t xml:space="preserve"> tonsil unilateral yang </w:t>
      </w:r>
      <w:proofErr w:type="spellStart"/>
      <w:r>
        <w:rPr>
          <w:color w:val="000000"/>
          <w:lang w:val="en-US" w:eastAsia="zh-CN"/>
        </w:rPr>
        <w:t>diduga</w:t>
      </w:r>
      <w:proofErr w:type="spellEnd"/>
      <w:r>
        <w:rPr>
          <w:color w:val="000000"/>
          <w:lang w:val="en-US" w:eastAsia="zh-CN"/>
        </w:rPr>
        <w:t xml:space="preserve"> </w:t>
      </w:r>
      <w:proofErr w:type="spellStart"/>
      <w:r>
        <w:rPr>
          <w:color w:val="000000"/>
          <w:lang w:val="en-US" w:eastAsia="zh-CN"/>
        </w:rPr>
        <w:t>neoplastik</w:t>
      </w:r>
      <w:proofErr w:type="spellEnd"/>
      <w:r>
        <w:rPr>
          <w:color w:val="000000"/>
          <w:lang w:val="en-US" w:eastAsia="zh-CN"/>
        </w:rPr>
        <w:t xml:space="preserve">, dan </w:t>
      </w:r>
      <w:proofErr w:type="spellStart"/>
      <w:r>
        <w:rPr>
          <w:color w:val="000000"/>
          <w:lang w:val="en-US" w:eastAsia="zh-CN"/>
        </w:rPr>
        <w:t>hipertrofi</w:t>
      </w:r>
      <w:proofErr w:type="spellEnd"/>
      <w:r>
        <w:rPr>
          <w:color w:val="000000"/>
          <w:lang w:val="en-US" w:eastAsia="zh-CN"/>
        </w:rPr>
        <w:t xml:space="preserve"> yang </w:t>
      </w:r>
      <w:proofErr w:type="spellStart"/>
      <w:r>
        <w:rPr>
          <w:color w:val="000000"/>
          <w:lang w:val="en-US" w:eastAsia="zh-CN"/>
        </w:rPr>
        <w:t>menyebabkan</w:t>
      </w:r>
      <w:proofErr w:type="spellEnd"/>
      <w:r>
        <w:rPr>
          <w:color w:val="000000"/>
          <w:lang w:val="en-US" w:eastAsia="zh-CN"/>
        </w:rPr>
        <w:t xml:space="preserve"> </w:t>
      </w:r>
      <w:proofErr w:type="spellStart"/>
      <w:r>
        <w:rPr>
          <w:color w:val="000000"/>
          <w:lang w:val="en-US" w:eastAsia="zh-CN"/>
        </w:rPr>
        <w:t>maloklusi</w:t>
      </w:r>
      <w:proofErr w:type="spellEnd"/>
      <w:r>
        <w:rPr>
          <w:color w:val="000000"/>
          <w:lang w:val="en-US" w:eastAsia="zh-CN"/>
        </w:rPr>
        <w:t xml:space="preserve"> </w:t>
      </w:r>
      <w:proofErr w:type="spellStart"/>
      <w:r>
        <w:rPr>
          <w:color w:val="000000"/>
          <w:lang w:val="en-US" w:eastAsia="zh-CN"/>
        </w:rPr>
        <w:t>gigi</w:t>
      </w:r>
      <w:proofErr w:type="spellEnd"/>
      <w:r>
        <w:rPr>
          <w:color w:val="000000"/>
          <w:lang w:val="en-US" w:eastAsia="zh-CN"/>
        </w:rPr>
        <w:t xml:space="preserve"> atau </w:t>
      </w:r>
      <w:proofErr w:type="spellStart"/>
      <w:r>
        <w:rPr>
          <w:color w:val="000000"/>
          <w:lang w:val="en-US" w:eastAsia="zh-CN"/>
        </w:rPr>
        <w:t>mempengaruhi</w:t>
      </w:r>
      <w:proofErr w:type="spellEnd"/>
      <w:r>
        <w:rPr>
          <w:color w:val="000000"/>
          <w:lang w:val="en-US" w:eastAsia="zh-CN"/>
        </w:rPr>
        <w:t xml:space="preserve"> </w:t>
      </w:r>
      <w:proofErr w:type="spellStart"/>
      <w:r>
        <w:rPr>
          <w:color w:val="000000"/>
          <w:lang w:val="en-US" w:eastAsia="zh-CN"/>
        </w:rPr>
        <w:t>pertumbuhan</w:t>
      </w:r>
      <w:proofErr w:type="spellEnd"/>
      <w:r>
        <w:rPr>
          <w:color w:val="000000"/>
          <w:lang w:val="en-US" w:eastAsia="zh-CN"/>
        </w:rPr>
        <w:t xml:space="preserve"> </w:t>
      </w:r>
      <w:proofErr w:type="spellStart"/>
      <w:r>
        <w:rPr>
          <w:color w:val="000000"/>
          <w:lang w:val="en-US" w:eastAsia="zh-CN"/>
        </w:rPr>
        <w:t>orofasial</w:t>
      </w:r>
      <w:proofErr w:type="spellEnd"/>
      <w:r>
        <w:rPr>
          <w:color w:val="000000"/>
          <w:lang w:val="en-US" w:eastAsia="zh-CN"/>
        </w:rPr>
        <w:t xml:space="preserve"> yang </w:t>
      </w:r>
      <w:proofErr w:type="spellStart"/>
      <w:r>
        <w:rPr>
          <w:color w:val="000000"/>
          <w:lang w:val="en-US" w:eastAsia="zh-CN"/>
        </w:rPr>
        <w:t>didokumentasikan</w:t>
      </w:r>
      <w:proofErr w:type="spellEnd"/>
      <w:r>
        <w:rPr>
          <w:color w:val="000000"/>
          <w:lang w:val="en-US" w:eastAsia="zh-CN"/>
        </w:rPr>
        <w:t xml:space="preserve"> oleh ortodontis.</w:t>
      </w:r>
      <w:r>
        <w:rPr>
          <w:color w:val="000000"/>
          <w:lang w:val="en-US"/>
        </w:rPr>
        <w:fldChar w:fldCharType="begin" w:fldLock="1"/>
      </w:r>
      <w:r>
        <w:rPr>
          <w:color w:val="000000"/>
          <w:lang w:val="en-US" w:eastAsia="zh-CN"/>
        </w:rPr>
        <w:instrText>ADDIN CSL_CITATION {"citationItems":[{"id":"ITEM-1","itemData":{"DOI":"10.1016/j.otot.2005.09.005","ISSN":"10431810","abstract":"Tonsillectomy is one of the most common surgeries performed in the United States of America. There is currently no consensus on which of the several techniques available is optimal. This article describes the various extracapsular (total tonsillectomy) and intracapsular (subtotal tonsillectomy) techniques that are currently available. © 2005 Elsevier Inc. All rights reserved.","author":[{"dropping-particle":"","family":"Messner","given":"Anna H.","non-dropping-particle":"","parse-names":false,"suffix":""}],"container-title":"Operative Techniques in Otolaryngology - Head and Neck Surgery","id":"ITEM-1","issue":"4","issued":{"date-parts":[["2005"]]},"page":"224-228","title":"Tonsillectomy","type":"article-journal","volume":"16"},"uris":["http://www.mendeley.com/documents/?uuid=80a91334-4e84-4648-b585-0babd46faad0"]}],"mendeley":{"formattedCitation":"&lt;sup&gt;28&lt;/sup&gt;","plainTextFormattedCitation":"28","previouslyFormattedCitation":"&lt;sup&gt;28&lt;/sup&gt;"},"p</w:instrText>
      </w:r>
      <w:r>
        <w:rPr>
          <w:color w:val="000000"/>
          <w:lang w:val="en-US"/>
        </w:rPr>
        <w:instrText>roperties":{"noteIndex":0},"schema":"https://github.com/citation-style-language/schema/raw/master/csl-citation.json"}</w:instrText>
      </w:r>
      <w:r>
        <w:rPr>
          <w:color w:val="000000"/>
          <w:lang w:val="en-US"/>
        </w:rPr>
        <w:fldChar w:fldCharType="separate"/>
      </w:r>
      <w:r>
        <w:rPr>
          <w:noProof/>
          <w:color w:val="000000"/>
          <w:vertAlign w:val="superscript"/>
          <w:lang w:val="en-US"/>
        </w:rPr>
        <w:t>28</w:t>
      </w:r>
      <w:r>
        <w:rPr>
          <w:color w:val="000000"/>
          <w:lang w:val="en-US"/>
        </w:rPr>
        <w:fldChar w:fldCharType="end"/>
      </w:r>
    </w:p>
    <w:p w14:paraId="33504B76" w14:textId="77777777" w:rsidR="003B79BC" w:rsidRDefault="00000000">
      <w:pPr>
        <w:spacing w:line="360" w:lineRule="auto"/>
        <w:ind w:firstLine="709"/>
        <w:jc w:val="both"/>
        <w:rPr>
          <w:rFonts w:eastAsiaTheme="minorEastAsia"/>
          <w:lang w:eastAsia="zh-CN"/>
        </w:rPr>
      </w:pPr>
      <w:r>
        <w:t>Bedah tonsilitis perlu dilakukan jika memenuhi syarat-syarat berikut:</w:t>
      </w:r>
      <w:r>
        <w:fldChar w:fldCharType="begin" w:fldLock="1"/>
      </w:r>
      <w:r>
        <w:instrText>ADDIN CSL_CITATION {"citationItems":[{"id":"ITEM-1","itemData":{"DOI":"10.1017/S0022215108002600","ISSN":"00222151","PMID":"18492313","abstract":"Objective: To assess clinical improvement and quality of life measures in patients who had undergone tonsillectomy for recurrent acute and chronic tonsillitis between March 2004 and March 2005.Method: A retrospective survey of all adults and children who had undergone tonsillectomy for recurrent acute and chronic tonsillitis. Patients were asked to compare their symptoms for the 12-month period before and after tonsillectomy.Results: A review of 100 patients revealed that, following tonsillectomy: their days off work (or school) due to sore throat reduced by 95.3 per cent (from a mean of 27.6 to 1.3 days; confidence intervals 89.7 and 99.6 per cent); their visits to their general practitioner due to sore throat reduced by 95.6 per cent (from a mean of 7.9 to 0.4 visits; confidence intervals 93.8 and 95.1 per cent); and more than 90 per cent reported improved feelings of well-being, general health and energy.Conclusion: We conclude that tonsillectomy is of benefit for patients with recurrent acute and chronic tonsillitis. Tonsillectomy significantly reduced general practitioner attendances and resulted in an improved feeling of health and well-being. © 2008 Copyright JLO (1984) Limited 2008.","author":[{"dropping-particle":"","family":"Akgun","given":"D.","non-dropping-particle":"","parse-names":false,"suffix":""},{"dropping-particle":"","family":"Seymour","given":"F. K.","non-dropping-particle":"","parse-names":false,"suffix":""},{"dropping-particle":"","family":"Qayyum","given":"A.","non-dropping-particle":"","parse-names":false,"suffix":""},{"dropping-particle":"","family":"Crystal","given":"R.","non-dropping-particle":"","parse-names":false,"suffix":""},{"dropping-particle":"","family":"Frosh","given":"A.","non-dropping-particle":"","parse-names":false,"suffix":""}],"container-title":"Journal of Laryngology and Otology","id":"ITEM-1","issue":"2","issued":{"date-parts":[["2009"]]},"page":"199-202","title":"Assessment of clinical improvement and quality of life before and after tonsillectomy","type":"article-journal","volume":"123"},"uris":["http://www.mendeley.com/documents/?uuid=74f0cb6c-18ed-4bd9-9643-d7511ec77b76"]}],"mendeley":{"formattedCitation":"&lt;sup&gt;29&lt;/sup&gt;","plainTextFormattedCitation":"29","previouslyFormattedCitation":"&lt;sup&gt;29&lt;/sup&gt;"},"properties":{"noteIndex":0},"schema":"https://github.com/citation-style-language/schema/raw/master/csl-citation.json"}</w:instrText>
      </w:r>
      <w:r>
        <w:fldChar w:fldCharType="separate"/>
      </w:r>
      <w:r>
        <w:rPr>
          <w:noProof/>
          <w:vertAlign w:val="superscript"/>
        </w:rPr>
        <w:t>29</w:t>
      </w:r>
      <w:r>
        <w:fldChar w:fldCharType="end"/>
      </w:r>
      <w:r>
        <w:t xml:space="preserve"> </w:t>
      </w:r>
    </w:p>
    <w:p w14:paraId="2A6BB1C1" w14:textId="77777777" w:rsidR="003B79BC" w:rsidRDefault="00000000">
      <w:pPr>
        <w:pStyle w:val="ListParagraph"/>
        <w:numPr>
          <w:ilvl w:val="3"/>
          <w:numId w:val="5"/>
        </w:numPr>
        <w:spacing w:line="360" w:lineRule="auto"/>
        <w:ind w:left="426"/>
        <w:jc w:val="both"/>
        <w:rPr>
          <w:rFonts w:eastAsiaTheme="minorEastAsia"/>
          <w:lang w:eastAsia="zh-CN"/>
        </w:rPr>
      </w:pPr>
      <w:r>
        <w:t xml:space="preserve">Indikasi absolut: </w:t>
      </w:r>
    </w:p>
    <w:p w14:paraId="008F0253" w14:textId="77777777" w:rsidR="003B79BC" w:rsidRDefault="00000000">
      <w:pPr>
        <w:pStyle w:val="ListParagraph"/>
        <w:numPr>
          <w:ilvl w:val="1"/>
          <w:numId w:val="6"/>
        </w:numPr>
        <w:spacing w:line="360" w:lineRule="auto"/>
        <w:ind w:left="851"/>
        <w:jc w:val="both"/>
        <w:rPr>
          <w:rFonts w:eastAsiaTheme="minorEastAsia"/>
          <w:lang w:eastAsia="zh-CN"/>
        </w:rPr>
      </w:pPr>
      <w:r>
        <w:t xml:space="preserve">Tonsil yang besar hingga mengakibatkan gangguan pernafasan, nyeri telan yang berat, gangguan tidur atau sudah terjadi komplikasi penyakit-penyakit kardiopulmonal. </w:t>
      </w:r>
    </w:p>
    <w:p w14:paraId="0958C907" w14:textId="77777777" w:rsidR="003B79BC" w:rsidRDefault="00000000">
      <w:pPr>
        <w:pStyle w:val="ListParagraph"/>
        <w:numPr>
          <w:ilvl w:val="1"/>
          <w:numId w:val="6"/>
        </w:numPr>
        <w:spacing w:line="360" w:lineRule="auto"/>
        <w:ind w:left="851"/>
        <w:jc w:val="both"/>
        <w:rPr>
          <w:rFonts w:eastAsiaTheme="minorEastAsia"/>
          <w:lang w:eastAsia="zh-CN"/>
        </w:rPr>
      </w:pPr>
      <w:r>
        <w:t xml:space="preserve">Abses peritonsiler yang tidak menunjukkan perbaikan dengan pengobatan. </w:t>
      </w:r>
    </w:p>
    <w:p w14:paraId="2E24BEBA" w14:textId="77777777" w:rsidR="003B79BC" w:rsidRDefault="00000000">
      <w:pPr>
        <w:pStyle w:val="ListParagraph"/>
        <w:numPr>
          <w:ilvl w:val="1"/>
          <w:numId w:val="6"/>
        </w:numPr>
        <w:spacing w:line="360" w:lineRule="auto"/>
        <w:ind w:left="851"/>
        <w:jc w:val="both"/>
        <w:rPr>
          <w:rFonts w:eastAsiaTheme="minorEastAsia"/>
          <w:lang w:eastAsia="zh-CN"/>
        </w:rPr>
      </w:pPr>
      <w:r>
        <w:t xml:space="preserve">Pembesaran tonsil yang mengakibatkan gangguan pertumbuhan wajah atau mulut yang terdokumentasi oleh dokter gigi bedah mulut. </w:t>
      </w:r>
    </w:p>
    <w:p w14:paraId="52B5B8DA" w14:textId="77777777" w:rsidR="003B79BC" w:rsidRDefault="00000000">
      <w:pPr>
        <w:pStyle w:val="ListParagraph"/>
        <w:numPr>
          <w:ilvl w:val="1"/>
          <w:numId w:val="6"/>
        </w:numPr>
        <w:spacing w:line="360" w:lineRule="auto"/>
        <w:ind w:left="851"/>
        <w:jc w:val="both"/>
        <w:rPr>
          <w:rFonts w:eastAsiaTheme="minorEastAsia"/>
          <w:lang w:eastAsia="zh-CN"/>
        </w:rPr>
      </w:pPr>
      <w:r>
        <w:t xml:space="preserve">Tonsilitis yang mengakibatkan kejang demam. </w:t>
      </w:r>
    </w:p>
    <w:p w14:paraId="20816C22" w14:textId="77777777" w:rsidR="003B79BC" w:rsidRDefault="00000000">
      <w:pPr>
        <w:pStyle w:val="ListParagraph"/>
        <w:numPr>
          <w:ilvl w:val="1"/>
          <w:numId w:val="6"/>
        </w:numPr>
        <w:spacing w:line="360" w:lineRule="auto"/>
        <w:ind w:left="851"/>
        <w:jc w:val="both"/>
        <w:rPr>
          <w:rFonts w:eastAsiaTheme="minorEastAsia"/>
          <w:lang w:eastAsia="zh-CN"/>
        </w:rPr>
      </w:pPr>
      <w:r>
        <w:t>Tonsil yang diperkirakan memerlukan biopsi jaringan untuk menentukan gambaran patologis jaringan</w:t>
      </w:r>
    </w:p>
    <w:p w14:paraId="201E29EC" w14:textId="77777777" w:rsidR="003B79BC" w:rsidRDefault="00000000">
      <w:pPr>
        <w:pStyle w:val="ListParagraph"/>
        <w:numPr>
          <w:ilvl w:val="3"/>
          <w:numId w:val="5"/>
        </w:numPr>
        <w:spacing w:line="360" w:lineRule="auto"/>
        <w:ind w:left="426"/>
        <w:jc w:val="both"/>
        <w:rPr>
          <w:rFonts w:eastAsiaTheme="minorEastAsia"/>
          <w:lang w:eastAsia="zh-CN"/>
        </w:rPr>
      </w:pPr>
      <w:r>
        <w:t xml:space="preserve">Indikasi relatif: </w:t>
      </w:r>
    </w:p>
    <w:p w14:paraId="403B06D8" w14:textId="77777777" w:rsidR="003B79BC" w:rsidRDefault="00000000">
      <w:pPr>
        <w:pStyle w:val="ListParagraph"/>
        <w:numPr>
          <w:ilvl w:val="3"/>
          <w:numId w:val="6"/>
        </w:numPr>
        <w:spacing w:line="360" w:lineRule="auto"/>
        <w:ind w:left="851"/>
        <w:jc w:val="both"/>
        <w:rPr>
          <w:rFonts w:eastAsiaTheme="minorEastAsia"/>
          <w:lang w:eastAsia="zh-CN"/>
        </w:rPr>
      </w:pPr>
      <w:r>
        <w:lastRenderedPageBreak/>
        <w:t xml:space="preserve">Jika mengalami tonsilitis 3 kali atau lebih dalam satu tahun dan tidak menunjukkan respon sesuai harapan dengan pengobatan medikamentosa yang memadai. </w:t>
      </w:r>
    </w:p>
    <w:p w14:paraId="33826A94" w14:textId="77777777" w:rsidR="003B79BC" w:rsidRDefault="00000000">
      <w:pPr>
        <w:pStyle w:val="ListParagraph"/>
        <w:numPr>
          <w:ilvl w:val="3"/>
          <w:numId w:val="6"/>
        </w:numPr>
        <w:spacing w:line="360" w:lineRule="auto"/>
        <w:ind w:left="851"/>
        <w:jc w:val="both"/>
        <w:rPr>
          <w:rFonts w:eastAsiaTheme="minorEastAsia"/>
          <w:lang w:eastAsia="zh-CN"/>
        </w:rPr>
      </w:pPr>
      <w:r>
        <w:t>Bau mulut atau bau nafas tak sedap yang menetap pada tonsilitis kronis yang tidak menunjukkan perbaikan dengan pengobatan.</w:t>
      </w:r>
    </w:p>
    <w:p w14:paraId="2D3F8F00" w14:textId="77777777" w:rsidR="003B79BC" w:rsidRDefault="00000000">
      <w:pPr>
        <w:pStyle w:val="ListParagraph"/>
        <w:numPr>
          <w:ilvl w:val="3"/>
          <w:numId w:val="6"/>
        </w:numPr>
        <w:spacing w:line="360" w:lineRule="auto"/>
        <w:ind w:left="851"/>
        <w:jc w:val="both"/>
        <w:rPr>
          <w:rFonts w:eastAsiaTheme="minorEastAsia"/>
          <w:lang w:eastAsia="zh-CN"/>
        </w:rPr>
      </w:pPr>
      <w:r>
        <w:t xml:space="preserve">Tonsilitis kronis atau tonsilitis berulang yang diduga sebagai carrier kuman Streptokokus yang tidak menunjukkan repon positif terhadap pengobatan dengan antibiotika. </w:t>
      </w:r>
    </w:p>
    <w:p w14:paraId="7A5DC7AA" w14:textId="77777777" w:rsidR="003B79BC" w:rsidRDefault="00000000">
      <w:pPr>
        <w:pStyle w:val="ListParagraph"/>
        <w:numPr>
          <w:ilvl w:val="3"/>
          <w:numId w:val="6"/>
        </w:numPr>
        <w:spacing w:line="360" w:lineRule="auto"/>
        <w:ind w:left="851"/>
        <w:jc w:val="both"/>
        <w:rPr>
          <w:rFonts w:eastAsiaTheme="minorEastAsia"/>
          <w:lang w:eastAsia="zh-CN"/>
        </w:rPr>
      </w:pPr>
      <w:r>
        <w:t>Pembesaran tonsil di salah satu sisi (unilateral) yang dicurigai berhubungan dengan neoplastik.</w:t>
      </w:r>
    </w:p>
    <w:p w14:paraId="7AC1CEB3" w14:textId="77777777" w:rsidR="003B79BC" w:rsidRDefault="00000000">
      <w:pPr>
        <w:spacing w:line="360" w:lineRule="auto"/>
        <w:ind w:firstLine="709"/>
        <w:jc w:val="both"/>
        <w:rPr>
          <w:rFonts w:eastAsiaTheme="minorEastAsia"/>
          <w:lang w:eastAsia="zh-CN"/>
        </w:rPr>
      </w:pPr>
      <w:r>
        <w:t>Tidak ada kontraindikasi absolut untuk tonsilektomi. Komplikasi utama yang terkait dengan tonsilektomi adalah perdarahan dan risiko anestesi. Oleh karena itu, pasien yang menjalani adenotonsilektomi harus memiliki faktor risiko untuk komplikasi ini (yaitu gangguan perdarahan, riwayat keluarga hipertermia maligna) yang diidentifikasi dan ditangani sebelum bedah dengan tindakan pencegahan yang diperlukan.</w:t>
      </w:r>
      <w:r>
        <w:fldChar w:fldCharType="begin" w:fldLock="1"/>
      </w:r>
      <w:r>
        <w:instrText>ADDIN CSL_CITATION {"citationItems":[{"id":"ITEM-1","itemData":{"author":[{"dropping-particle":"","family":"Bohr","given":"Colin","non-dropping-particle":"","parse-names":false,"suffix":""},{"dropping-particle":"","family":"Shermetaro","given":"Carl","non-dropping-particle":"","parse-names":false,"suffix":""}],"container-title":"StatPearls Publishing LLC\\","id":"ITEM-1","issued":{"date-parts":[["2022"]]},"title":"Tonsillectomy and Adenoidectomy","type":"article-journal"},"uris":["http://www.mendeley.com/documents/?uuid=147ff617-0c9c-4462-add1-da2c89288ae5"]}],"mendeley":{"formattedCitation":"&lt;sup&gt;27&lt;/sup&gt;","plainTextFormattedCitation":"27","previouslyFormattedCitation":"&lt;sup&gt;27&lt;/sup&gt;"},"properties":{"noteIndex":0},"schema":"https://github.com/citation-style-language/schema/raw/master/csl-citation.json"}</w:instrText>
      </w:r>
      <w:r>
        <w:fldChar w:fldCharType="separate"/>
      </w:r>
      <w:r>
        <w:rPr>
          <w:noProof/>
          <w:vertAlign w:val="superscript"/>
        </w:rPr>
        <w:t>27</w:t>
      </w:r>
      <w:r>
        <w:fldChar w:fldCharType="end"/>
      </w:r>
      <w:r>
        <w:rPr>
          <w:rFonts w:eastAsiaTheme="minorEastAsia" w:hint="eastAsia"/>
          <w:lang w:eastAsia="zh-CN"/>
        </w:rPr>
        <w:t xml:space="preserve"> </w:t>
      </w:r>
      <w:r>
        <w:t>Ada beberapa keadaan yang merupakan kontraindikasi melakukan pembedahan tonsil karena bila dikerjakan dapat terjadi komplikasi pada penderita, bahkan mengancam kematian. Keadaan tersebut adalah kelainan hematologi, kelainan alergi imunologi dan infeksi akut. Kontraindikasi pada kelainan hematologik adalah anemi</w:t>
      </w:r>
      <w:r w:rsidRPr="00F426C1">
        <w:rPr>
          <w:lang w:val="pt-BR"/>
        </w:rPr>
        <w:t>a</w:t>
      </w:r>
      <w:r>
        <w:t>, gangguan pada sistem hemostasis dan leukemia. Pada kelainan alergiimunologik seperti penyakit alergi pada saluran pernapasan, sebaiknya tidak dilakukan tonsilektomi bila pengobatan kurang dari 6 bulan kecuali bila terdapat gejala sumbatan karena pembesaran tonsil. Pembedahan tonsil sebagai pencetus serangan asthma pernah dilaporkan. Tonsilektomi juga tidak dikerjakan apabila terdapat infeksi akut lokal, kecuali bila disertai sumbatan jalan napas atas.</w:t>
      </w:r>
      <w:r>
        <w:rPr>
          <w:rFonts w:eastAsiaTheme="minorEastAsia" w:hint="eastAsia"/>
          <w:lang w:eastAsia="zh-CN"/>
        </w:rPr>
        <w:t xml:space="preserve"> </w:t>
      </w:r>
      <w:r>
        <w:t>Tonsilektomi sebaiknya baru dilakukan setelah minimal 23 minggu bebas dari infeksi akut. Di samping itu tonsilektomi juga tidak dilakukan pada penyakit-penyakit sistemik yang tidak terkontrol seperti diabetes atau penyakit jantung pulmonal.</w:t>
      </w:r>
      <w:r>
        <w:fldChar w:fldCharType="begin" w:fldLock="1"/>
      </w:r>
      <w:r>
        <w:instrText>ADDIN CSL_CITATION {"citationItems":[{"id":"ITEM-1","itemData":{"DOI":"10.3205/cto000110","ISSN":"1865-1011","PMID":"25587367","abstract":"Surgery of the tonsils is still one of the most frequent procedures during childhood. Due to a series of fatal outcomes after hemorrhage in children in Austria in 2006, the standards and indications for tonsillectomy have slowly changed in Germany. However, no national guidelines exist and the frequency of tonsil surgery varies across the country. In some districts eight times more children were tonsillectomized than in others. A tonsillectomy in children under six years should only be done if the child suffers from recurrent acute bacterially tonsillitis. In all other cases (i.e. hyperplasia of the tonsils) the low risk partial tonsillectomy should be the first line therapy. Postoperative pain and the risk of hemorrhage are much lower in partial tonsillectomy (=tonsillotomy). No matter whether the tonsillotomy is done by laser, radiofrequency, shaver, coblation, bipolar scissor or Colorado needle, as long as the crypts are kept open and some tonsil tissue is left behind. Total extracapsular tonsillectomy is still indicated in severely affected children with recurrent infections of the tonsils, allergy to antibiotics, PFAPA syndrome (periodic fever, aphthous stomatitis, pharyngitis, and cervical adenitis) and peritonsillar abscess. With regard to the frequency and seriousness of the recurrent tonsillitis the indication for tonsillectomy in children is justified if 7 or more well-documented, clinically important, adequately treated episodes of throat infection occur in the preceding year, or 5 or more of such episodes occur in each of the 2 preceding years (according to the paradise criteria). Diagnosis of acute tonsillitis is clinical, but sometimes it is hard to distinguish viral</w:instrText>
      </w:r>
      <w:r>
        <w:rPr>
          <w:lang w:eastAsia="zh-CN"/>
        </w:rPr>
        <w:instrText xml:space="preserve"> from bacterial infections. Rapid antigen testing has a very low sensitivity in the diagnosis of bacterial tonsillitis and swabs are highly sensitive but take a long time. In all microbiological tests the treating physician has to keep in mind, that most of the bacterials, viruses and fungi belong to the healthy flora and do no harm. Ten percent of healthy children even bear strepptococcus pyogenes all the time in the tonsils with no clinical signs. In these children decolonization is not necessary. Therefore, microbiological screening tests in children without symptoms are senseless and do not justify an antibiotic treatment (which is sometimes postulated by the kindergartens). The acute tonsillitis should be treated with steroids (e.g. dexamethasone), NSAIDs (e.g. ibuprofene)…","author":[{"dropping-particle":"","family":"Stelter","given":"Klaus","non-dropping-particle":"","parse-names":false,"suffix":""}],"container-title":"GMS current topics in otorhinolaryngology, head and neck surgery","id":"ITEM-1","issued":{"date-parts":[["2014"]]},"page":"Doc07","title":"Tonsillitis and sore throat in children.","type":"article-journal","volume":"13"},"uris":["http://www.mendeley.com/documents/?uuid=d43ea15f-9ad3-4cb0-b17c-1f7cdaf903eb"]}],"mendeley":{"formattedCitation":"&lt;sup&gt;30&lt;/sup&gt;","plainTextFormattedCitation":"30","previouslyFormattedCitation":"&lt;sup&gt;30&lt;/sup&gt;"},"properties":{"noteIndex":0},"schema":"https://github.com/citation-style-language/schema/raw/master/csl-citation.json"}</w:instrText>
      </w:r>
      <w:r>
        <w:fldChar w:fldCharType="separate"/>
      </w:r>
      <w:r>
        <w:rPr>
          <w:noProof/>
          <w:vertAlign w:val="superscript"/>
          <w:lang w:eastAsia="zh-CN"/>
        </w:rPr>
        <w:t>30</w:t>
      </w:r>
      <w:r>
        <w:fldChar w:fldCharType="end"/>
      </w:r>
    </w:p>
    <w:p w14:paraId="7823924C" w14:textId="77777777" w:rsidR="003B79BC" w:rsidRDefault="00000000">
      <w:pPr>
        <w:pStyle w:val="Heading3"/>
        <w:rPr>
          <w:lang w:val="id-ID" w:eastAsia="zh-CN"/>
        </w:rPr>
      </w:pPr>
      <w:bookmarkStart w:id="22" w:name="_Toc158290237"/>
      <w:r>
        <w:rPr>
          <w:lang w:val="id-ID" w:eastAsia="zh-CN"/>
        </w:rPr>
        <w:lastRenderedPageBreak/>
        <w:t>2.2.3</w:t>
      </w:r>
      <w:r>
        <w:rPr>
          <w:lang w:val="id-ID" w:eastAsia="zh-CN"/>
        </w:rPr>
        <w:tab/>
        <w:t>Prosedur Tonsilektomi</w:t>
      </w:r>
      <w:bookmarkEnd w:id="22"/>
    </w:p>
    <w:p w14:paraId="07B075C2" w14:textId="77777777" w:rsidR="003B79BC" w:rsidRDefault="00000000">
      <w:pPr>
        <w:spacing w:line="360" w:lineRule="auto"/>
        <w:ind w:firstLine="709"/>
        <w:jc w:val="both"/>
        <w:rPr>
          <w:color w:val="000000"/>
          <w:lang w:val="en-US"/>
        </w:rPr>
      </w:pPr>
      <w:r>
        <w:rPr>
          <w:lang w:val="en-US" w:eastAsia="zh-CN"/>
        </w:rPr>
        <w:t xml:space="preserve">Ada </w:t>
      </w:r>
      <w:proofErr w:type="spellStart"/>
      <w:r>
        <w:rPr>
          <w:lang w:val="en-US" w:eastAsia="zh-CN"/>
        </w:rPr>
        <w:t>beberapa</w:t>
      </w:r>
      <w:proofErr w:type="spellEnd"/>
      <w:r>
        <w:rPr>
          <w:lang w:val="en-US" w:eastAsia="zh-CN"/>
        </w:rPr>
        <w:t xml:space="preserve"> </w:t>
      </w:r>
      <w:proofErr w:type="spellStart"/>
      <w:r>
        <w:rPr>
          <w:lang w:val="en-US" w:eastAsia="zh-CN"/>
        </w:rPr>
        <w:t>teknik</w:t>
      </w:r>
      <w:proofErr w:type="spellEnd"/>
      <w:r>
        <w:rPr>
          <w:lang w:val="en-US" w:eastAsia="zh-CN"/>
        </w:rPr>
        <w:t xml:space="preserve"> </w:t>
      </w:r>
      <w:proofErr w:type="spellStart"/>
      <w:r>
        <w:rPr>
          <w:lang w:val="en-US" w:eastAsia="zh-CN"/>
        </w:rPr>
        <w:t>tonsilektomi</w:t>
      </w:r>
      <w:proofErr w:type="spellEnd"/>
      <w:r>
        <w:rPr>
          <w:lang w:val="en-US" w:eastAsia="zh-CN"/>
        </w:rPr>
        <w:t xml:space="preserve"> dan dapat </w:t>
      </w:r>
      <w:proofErr w:type="spellStart"/>
      <w:r>
        <w:rPr>
          <w:lang w:val="en-US" w:eastAsia="zh-CN"/>
        </w:rPr>
        <w:t>dikelompokkan</w:t>
      </w:r>
      <w:proofErr w:type="spellEnd"/>
      <w:r>
        <w:rPr>
          <w:lang w:val="en-US" w:eastAsia="zh-CN"/>
        </w:rPr>
        <w:t xml:space="preserve"> </w:t>
      </w:r>
      <w:proofErr w:type="spellStart"/>
      <w:r>
        <w:rPr>
          <w:lang w:val="en-US" w:eastAsia="zh-CN"/>
        </w:rPr>
        <w:t>menjadi</w:t>
      </w:r>
      <w:proofErr w:type="spellEnd"/>
      <w:r>
        <w:rPr>
          <w:lang w:val="en-US" w:eastAsia="zh-CN"/>
        </w:rPr>
        <w:t xml:space="preserve"> </w:t>
      </w:r>
      <w:proofErr w:type="spellStart"/>
      <w:r>
        <w:rPr>
          <w:lang w:val="en-US" w:eastAsia="zh-CN"/>
        </w:rPr>
        <w:t>dingin</w:t>
      </w:r>
      <w:proofErr w:type="spellEnd"/>
      <w:r>
        <w:rPr>
          <w:lang w:val="en-US" w:eastAsia="zh-CN"/>
        </w:rPr>
        <w:t xml:space="preserve"> dan </w:t>
      </w:r>
      <w:proofErr w:type="spellStart"/>
      <w:r>
        <w:rPr>
          <w:lang w:val="en-US" w:eastAsia="zh-CN"/>
        </w:rPr>
        <w:t>panas</w:t>
      </w:r>
      <w:proofErr w:type="spellEnd"/>
      <w:r>
        <w:rPr>
          <w:lang w:val="en-US" w:eastAsia="zh-CN"/>
        </w:rPr>
        <w:t xml:space="preserve">. </w:t>
      </w:r>
      <w:r>
        <w:rPr>
          <w:lang w:eastAsia="zh-CN"/>
        </w:rPr>
        <w:t>Metode</w:t>
      </w:r>
      <w:r>
        <w:rPr>
          <w:lang w:val="en-US" w:eastAsia="zh-CN"/>
        </w:rPr>
        <w:t xml:space="preserve"> </w:t>
      </w:r>
      <w:proofErr w:type="spellStart"/>
      <w:r>
        <w:rPr>
          <w:lang w:val="en-US" w:eastAsia="zh-CN"/>
        </w:rPr>
        <w:t>dingin</w:t>
      </w:r>
      <w:proofErr w:type="spellEnd"/>
      <w:r>
        <w:rPr>
          <w:lang w:val="en-US" w:eastAsia="zh-CN"/>
        </w:rPr>
        <w:t xml:space="preserve"> (</w:t>
      </w:r>
      <w:r>
        <w:rPr>
          <w:lang w:val="id-ID" w:eastAsia="zh-CN"/>
        </w:rPr>
        <w:t>t</w:t>
      </w:r>
      <w:proofErr w:type="spellStart"/>
      <w:r>
        <w:rPr>
          <w:lang w:val="en-US" w:eastAsia="zh-CN"/>
        </w:rPr>
        <w:t>idak</w:t>
      </w:r>
      <w:proofErr w:type="spellEnd"/>
      <w:r>
        <w:rPr>
          <w:lang w:val="en-US" w:eastAsia="zh-CN"/>
        </w:rPr>
        <w:t xml:space="preserve"> </w:t>
      </w:r>
      <w:proofErr w:type="spellStart"/>
      <w:r>
        <w:rPr>
          <w:lang w:val="en-US" w:eastAsia="zh-CN"/>
        </w:rPr>
        <w:t>menggunakan</w:t>
      </w:r>
      <w:proofErr w:type="spellEnd"/>
      <w:r>
        <w:rPr>
          <w:lang w:val="en-US" w:eastAsia="zh-CN"/>
        </w:rPr>
        <w:t xml:space="preserve"> </w:t>
      </w:r>
      <w:proofErr w:type="spellStart"/>
      <w:r>
        <w:rPr>
          <w:lang w:val="en-US" w:eastAsia="zh-CN"/>
        </w:rPr>
        <w:t>panas</w:t>
      </w:r>
      <w:proofErr w:type="spellEnd"/>
      <w:r>
        <w:rPr>
          <w:lang w:val="en-US" w:eastAsia="zh-CN"/>
        </w:rPr>
        <w:t xml:space="preserve">) </w:t>
      </w:r>
      <w:proofErr w:type="spellStart"/>
      <w:r>
        <w:rPr>
          <w:lang w:val="en-US" w:eastAsia="zh-CN"/>
        </w:rPr>
        <w:t>termasuk</w:t>
      </w:r>
      <w:proofErr w:type="spellEnd"/>
      <w:r>
        <w:rPr>
          <w:lang w:val="en-US" w:eastAsia="zh-CN"/>
        </w:rPr>
        <w:t xml:space="preserve"> </w:t>
      </w:r>
      <w:proofErr w:type="spellStart"/>
      <w:r>
        <w:rPr>
          <w:lang w:val="en-US" w:eastAsia="zh-CN"/>
        </w:rPr>
        <w:t>diseksi</w:t>
      </w:r>
      <w:proofErr w:type="spellEnd"/>
      <w:r>
        <w:rPr>
          <w:lang w:val="en-US" w:eastAsia="zh-CN"/>
        </w:rPr>
        <w:t xml:space="preserve">, guillotine, </w:t>
      </w:r>
      <w:proofErr w:type="spellStart"/>
      <w:r>
        <w:rPr>
          <w:lang w:val="en-US" w:eastAsia="zh-CN"/>
        </w:rPr>
        <w:t>tonsilektomi</w:t>
      </w:r>
      <w:proofErr w:type="spellEnd"/>
      <w:r>
        <w:rPr>
          <w:lang w:val="en-US" w:eastAsia="zh-CN"/>
        </w:rPr>
        <w:t xml:space="preserve"> </w:t>
      </w:r>
      <w:proofErr w:type="spellStart"/>
      <w:r>
        <w:rPr>
          <w:lang w:val="en-US" w:eastAsia="zh-CN"/>
        </w:rPr>
        <w:t>parsial</w:t>
      </w:r>
      <w:proofErr w:type="spellEnd"/>
      <w:r>
        <w:rPr>
          <w:lang w:val="en-US" w:eastAsia="zh-CN"/>
        </w:rPr>
        <w:t xml:space="preserve"> dengan </w:t>
      </w:r>
      <w:proofErr w:type="spellStart"/>
      <w:r>
        <w:rPr>
          <w:lang w:val="en-US" w:eastAsia="zh-CN"/>
        </w:rPr>
        <w:t>microdebrider</w:t>
      </w:r>
      <w:proofErr w:type="spellEnd"/>
      <w:r>
        <w:rPr>
          <w:lang w:val="en-US" w:eastAsia="zh-CN"/>
        </w:rPr>
        <w:t xml:space="preserve">, </w:t>
      </w:r>
      <w:proofErr w:type="spellStart"/>
      <w:r>
        <w:rPr>
          <w:lang w:val="en-US" w:eastAsia="zh-CN"/>
        </w:rPr>
        <w:t>pisau</w:t>
      </w:r>
      <w:proofErr w:type="spellEnd"/>
      <w:r>
        <w:rPr>
          <w:lang w:val="en-US" w:eastAsia="zh-CN"/>
        </w:rPr>
        <w:t xml:space="preserve"> </w:t>
      </w:r>
      <w:proofErr w:type="spellStart"/>
      <w:r>
        <w:rPr>
          <w:lang w:val="en-US" w:eastAsia="zh-CN"/>
        </w:rPr>
        <w:t>bedah</w:t>
      </w:r>
      <w:proofErr w:type="spellEnd"/>
      <w:r>
        <w:rPr>
          <w:lang w:val="en-US" w:eastAsia="zh-CN"/>
        </w:rPr>
        <w:t xml:space="preserve"> </w:t>
      </w:r>
      <w:proofErr w:type="spellStart"/>
      <w:r>
        <w:rPr>
          <w:lang w:val="en-US" w:eastAsia="zh-CN"/>
        </w:rPr>
        <w:t>harmonik</w:t>
      </w:r>
      <w:proofErr w:type="spellEnd"/>
      <w:r>
        <w:rPr>
          <w:lang w:val="en-US" w:eastAsia="zh-CN"/>
        </w:rPr>
        <w:t xml:space="preserve">, </w:t>
      </w:r>
      <w:proofErr w:type="spellStart"/>
      <w:r>
        <w:rPr>
          <w:lang w:val="en-US" w:eastAsia="zh-CN"/>
        </w:rPr>
        <w:t>ablasi</w:t>
      </w:r>
      <w:proofErr w:type="spellEnd"/>
      <w:r>
        <w:rPr>
          <w:lang w:val="en-US" w:eastAsia="zh-CN"/>
        </w:rPr>
        <w:t xml:space="preserve"> yang </w:t>
      </w:r>
      <w:proofErr w:type="spellStart"/>
      <w:r>
        <w:rPr>
          <w:lang w:val="en-US" w:eastAsia="zh-CN"/>
        </w:rPr>
        <w:t>dimediasi</w:t>
      </w:r>
      <w:proofErr w:type="spellEnd"/>
      <w:r>
        <w:rPr>
          <w:lang w:val="en-US" w:eastAsia="zh-CN"/>
        </w:rPr>
        <w:t xml:space="preserve"> plasma, dan cryosurgery. Metode </w:t>
      </w:r>
      <w:proofErr w:type="spellStart"/>
      <w:r>
        <w:rPr>
          <w:lang w:val="en-US" w:eastAsia="zh-CN"/>
        </w:rPr>
        <w:t>panas</w:t>
      </w:r>
      <w:proofErr w:type="spellEnd"/>
      <w:r>
        <w:rPr>
          <w:lang w:val="en-US" w:eastAsia="zh-CN"/>
        </w:rPr>
        <w:t xml:space="preserve"> </w:t>
      </w:r>
      <w:proofErr w:type="spellStart"/>
      <w:r>
        <w:rPr>
          <w:lang w:val="en-US" w:eastAsia="zh-CN"/>
        </w:rPr>
        <w:t>meliputi</w:t>
      </w:r>
      <w:proofErr w:type="spellEnd"/>
      <w:r>
        <w:rPr>
          <w:lang w:val="en-US" w:eastAsia="zh-CN"/>
        </w:rPr>
        <w:t xml:space="preserve"> </w:t>
      </w:r>
      <w:proofErr w:type="spellStart"/>
      <w:r>
        <w:rPr>
          <w:lang w:val="en-US" w:eastAsia="zh-CN"/>
        </w:rPr>
        <w:t>elektrokauter</w:t>
      </w:r>
      <w:proofErr w:type="spellEnd"/>
      <w:r>
        <w:rPr>
          <w:lang w:val="en-US" w:eastAsia="zh-CN"/>
        </w:rPr>
        <w:t xml:space="preserve">, laser, </w:t>
      </w:r>
      <w:proofErr w:type="spellStart"/>
      <w:r>
        <w:rPr>
          <w:lang w:val="en-US" w:eastAsia="zh-CN"/>
        </w:rPr>
        <w:t>koblasi</w:t>
      </w:r>
      <w:proofErr w:type="spellEnd"/>
      <w:r>
        <w:rPr>
          <w:lang w:val="en-US" w:eastAsia="zh-CN"/>
        </w:rPr>
        <w:t xml:space="preserve">, dan </w:t>
      </w:r>
      <w:proofErr w:type="spellStart"/>
      <w:r>
        <w:rPr>
          <w:lang w:val="en-US" w:eastAsia="zh-CN"/>
        </w:rPr>
        <w:t>frekuensi</w:t>
      </w:r>
      <w:proofErr w:type="spellEnd"/>
      <w:r>
        <w:rPr>
          <w:lang w:val="en-US" w:eastAsia="zh-CN"/>
        </w:rPr>
        <w:t xml:space="preserve"> radio. Dari guillotine </w:t>
      </w:r>
      <w:proofErr w:type="spellStart"/>
      <w:r>
        <w:rPr>
          <w:lang w:val="en-US" w:eastAsia="zh-CN"/>
        </w:rPr>
        <w:t>hingga</w:t>
      </w:r>
      <w:proofErr w:type="spellEnd"/>
      <w:r>
        <w:rPr>
          <w:lang w:val="en-US" w:eastAsia="zh-CN"/>
        </w:rPr>
        <w:t xml:space="preserve"> </w:t>
      </w:r>
      <w:proofErr w:type="spellStart"/>
      <w:r>
        <w:rPr>
          <w:lang w:val="en-US" w:eastAsia="zh-CN"/>
        </w:rPr>
        <w:t>pisau</w:t>
      </w:r>
      <w:proofErr w:type="spellEnd"/>
      <w:r>
        <w:rPr>
          <w:lang w:val="en-US" w:eastAsia="zh-CN"/>
        </w:rPr>
        <w:t xml:space="preserve"> plasma dan </w:t>
      </w:r>
      <w:proofErr w:type="spellStart"/>
      <w:r>
        <w:rPr>
          <w:lang w:val="en-US" w:eastAsia="zh-CN"/>
        </w:rPr>
        <w:t>alat</w:t>
      </w:r>
      <w:proofErr w:type="spellEnd"/>
      <w:r>
        <w:rPr>
          <w:lang w:val="en-US" w:eastAsia="zh-CN"/>
        </w:rPr>
        <w:t xml:space="preserve"> </w:t>
      </w:r>
      <w:proofErr w:type="spellStart"/>
      <w:r>
        <w:rPr>
          <w:lang w:val="en-US" w:eastAsia="zh-CN"/>
        </w:rPr>
        <w:t>cukur</w:t>
      </w:r>
      <w:proofErr w:type="spellEnd"/>
      <w:r>
        <w:rPr>
          <w:lang w:val="en-US" w:eastAsia="zh-CN"/>
        </w:rPr>
        <w:t xml:space="preserve"> </w:t>
      </w:r>
      <w:proofErr w:type="spellStart"/>
      <w:r>
        <w:rPr>
          <w:lang w:val="en-US" w:eastAsia="zh-CN"/>
        </w:rPr>
        <w:t>jaringan</w:t>
      </w:r>
      <w:proofErr w:type="spellEnd"/>
      <w:r>
        <w:rPr>
          <w:lang w:val="en-US" w:eastAsia="zh-CN"/>
        </w:rPr>
        <w:t xml:space="preserve"> </w:t>
      </w:r>
      <w:proofErr w:type="spellStart"/>
      <w:r>
        <w:rPr>
          <w:lang w:val="en-US" w:eastAsia="zh-CN"/>
        </w:rPr>
        <w:t>lunak</w:t>
      </w:r>
      <w:proofErr w:type="spellEnd"/>
      <w:r>
        <w:rPr>
          <w:lang w:val="en-US" w:eastAsia="zh-CN"/>
        </w:rPr>
        <w:t xml:space="preserve">, </w:t>
      </w:r>
      <w:proofErr w:type="spellStart"/>
      <w:r>
        <w:rPr>
          <w:lang w:val="en-US" w:eastAsia="zh-CN"/>
        </w:rPr>
        <w:t>ada</w:t>
      </w:r>
      <w:proofErr w:type="spellEnd"/>
      <w:r>
        <w:rPr>
          <w:lang w:val="en-US" w:eastAsia="zh-CN"/>
        </w:rPr>
        <w:t xml:space="preserve"> daftar </w:t>
      </w:r>
      <w:proofErr w:type="spellStart"/>
      <w:r>
        <w:rPr>
          <w:lang w:val="en-US" w:eastAsia="zh-CN"/>
        </w:rPr>
        <w:t>panjang</w:t>
      </w:r>
      <w:proofErr w:type="spellEnd"/>
      <w:r>
        <w:rPr>
          <w:lang w:val="en-US" w:eastAsia="zh-CN"/>
        </w:rPr>
        <w:t xml:space="preserve"> </w:t>
      </w:r>
      <w:proofErr w:type="spellStart"/>
      <w:r>
        <w:rPr>
          <w:lang w:val="en-US" w:eastAsia="zh-CN"/>
        </w:rPr>
        <w:t>berbagai</w:t>
      </w:r>
      <w:proofErr w:type="spellEnd"/>
      <w:r>
        <w:rPr>
          <w:lang w:val="en-US" w:eastAsia="zh-CN"/>
        </w:rPr>
        <w:t xml:space="preserve"> </w:t>
      </w:r>
      <w:proofErr w:type="spellStart"/>
      <w:r>
        <w:rPr>
          <w:lang w:val="en-US" w:eastAsia="zh-CN"/>
        </w:rPr>
        <w:t>teknik</w:t>
      </w:r>
      <w:proofErr w:type="spellEnd"/>
      <w:r>
        <w:rPr>
          <w:lang w:val="en-US" w:eastAsia="zh-CN"/>
        </w:rPr>
        <w:t xml:space="preserve"> dengan </w:t>
      </w:r>
      <w:proofErr w:type="spellStart"/>
      <w:r>
        <w:rPr>
          <w:lang w:val="en-US" w:eastAsia="zh-CN"/>
        </w:rPr>
        <w:t>kelebihan</w:t>
      </w:r>
      <w:proofErr w:type="spellEnd"/>
      <w:r>
        <w:rPr>
          <w:lang w:val="en-US" w:eastAsia="zh-CN"/>
        </w:rPr>
        <w:t xml:space="preserve"> dan kekurangannya.</w:t>
      </w:r>
      <w:r>
        <w:rPr>
          <w:lang w:val="en-US"/>
        </w:rPr>
        <w:fldChar w:fldCharType="begin" w:fldLock="1"/>
      </w:r>
      <w:r>
        <w:rPr>
          <w:lang w:val="en-US" w:eastAsia="zh-CN"/>
        </w:rPr>
        <w:instrText>ADDIN CSL_CITATION {"citationItems":[{"id":"ITEM-1","itemData":{"DOI":"10.1007/s12070-017-1190-6","ISSN":"09737707","abstract":"Tonsillectomy is a major surgical procedure in terms of volume in the general otolaryngological practice. It is a 3000-year-old surgical operation, referred in Hindu medicine. There has been a conceptual change in the indications and surgical technique in the last 40 years. A comparative study between the various methods of tonsillectomy was done. The study was carried out in the single institutional set up by the same surgeon but using different techniques. The study aimed at comparing the intra-operative factors (blood loss, time taken for surgery), postoperative results (pain, bleeding, dehydration, time taken for complete healing), and other complications like vomiting and hospitalization time between different groups of surgical methods. This study was done in 2500 patients undergoing tonsillectomy with or without adenoid removal in a period of 3</w:instrText>
      </w:r>
      <w:r>
        <w:rPr>
          <w:lang w:val="en-US"/>
        </w:rPr>
        <w:instrText>5 years (1979–2013). The majority of the patients (approximately 41%) in the first half of this period underwent cold steel tonsillectomy whereas 39% underwent microdebrider assisted tonsillectomy. Microdebrider assisted tonsil surgery was done as day care procedure in 90%. In 21% of the patients, other methods viz coblation, radio frequency and laser were used. Microdebrider intracapsular tonsillectomy is associated with lower mortality and morbidity as compared to cold steel, coblation, electrodissection, laser and radio frequency.","author":[{"dropping-particle":"","family":"Verma","given":"Ravinder","non-dropping-particle":"","parse-names":false,"suffix":""},{"dropping-particle":"","family":"Verma","given":"Ravneet Ravinder","non-dropping-particle":"","parse-names":false,"suffix":""},{"dropping-particle":"","family":"Verma","given":"Rohan Ravinder","non-dropping-particle":"","parse-names":false,"suffix":""}],"container-title":"Indian Journal of Otolaryngology and Head and Neck Surgery","id":"ITEM-1","issue":"4","issued":{"date-parts":[["2017"]]},"page":"549-558","publisher":"Springer India","title":"Tonsillectomy-Comparative Study of Various Techniques and Changing Trend","type":"article-journal","volume":"69"},"uris":["http://www.mendeley.com/documents/?uuid=ff9d1fb4-00e5-44d7-9a77-bb87c2bd92f4"]}],"mendeley":{"formattedCitation":"&lt;sup&gt;31&lt;/sup&gt;","plainTextFormattedCitation":"31","previouslyFormattedCitation":"&lt;sup&gt;31&lt;/sup&gt;"},"properties":{"noteIndex":0},"schema":"https://github.com/citation-style-language/schema/raw/master/csl-citation.json"}</w:instrText>
      </w:r>
      <w:r>
        <w:rPr>
          <w:lang w:val="en-US"/>
        </w:rPr>
        <w:fldChar w:fldCharType="separate"/>
      </w:r>
      <w:r>
        <w:rPr>
          <w:noProof/>
          <w:vertAlign w:val="superscript"/>
          <w:lang w:val="en-US"/>
        </w:rPr>
        <w:t>31</w:t>
      </w:r>
      <w:r>
        <w:rPr>
          <w:lang w:val="en-US"/>
        </w:rPr>
        <w:fldChar w:fldCharType="end"/>
      </w:r>
      <w:r>
        <w:rPr>
          <w:lang w:val="id-ID"/>
        </w:rPr>
        <w:t xml:space="preserve"> </w:t>
      </w:r>
      <w:proofErr w:type="spellStart"/>
      <w:r>
        <w:rPr>
          <w:lang w:val="en-US"/>
        </w:rPr>
        <w:t>Prosedur</w:t>
      </w:r>
      <w:proofErr w:type="spellEnd"/>
      <w:r>
        <w:rPr>
          <w:lang w:val="en-US"/>
        </w:rPr>
        <w:t xml:space="preserve"> </w:t>
      </w:r>
      <w:proofErr w:type="spellStart"/>
      <w:r>
        <w:rPr>
          <w:lang w:val="en-US"/>
        </w:rPr>
        <w:t>bedah</w:t>
      </w:r>
      <w:proofErr w:type="spellEnd"/>
      <w:r>
        <w:rPr>
          <w:lang w:val="id-ID"/>
        </w:rPr>
        <w:t xml:space="preserve"> </w:t>
      </w:r>
      <w:proofErr w:type="spellStart"/>
      <w:r>
        <w:rPr>
          <w:lang w:val="en-US"/>
        </w:rPr>
        <w:t>tonsilektomi</w:t>
      </w:r>
      <w:proofErr w:type="spellEnd"/>
      <w:r>
        <w:rPr>
          <w:lang w:val="id-ID"/>
        </w:rPr>
        <w:t xml:space="preserve"> meliputi i</w:t>
      </w:r>
      <w:proofErr w:type="spellStart"/>
      <w:r>
        <w:rPr>
          <w:lang w:val="en-US"/>
        </w:rPr>
        <w:t>nduksi</w:t>
      </w:r>
      <w:proofErr w:type="spellEnd"/>
      <w:r>
        <w:rPr>
          <w:lang w:val="en-US"/>
        </w:rPr>
        <w:t xml:space="preserve"> </w:t>
      </w:r>
      <w:proofErr w:type="spellStart"/>
      <w:r>
        <w:rPr>
          <w:lang w:val="en-US"/>
        </w:rPr>
        <w:t>anestesi</w:t>
      </w:r>
      <w:proofErr w:type="spellEnd"/>
      <w:r>
        <w:rPr>
          <w:lang w:val="en-US"/>
        </w:rPr>
        <w:t xml:space="preserve"> dan </w:t>
      </w:r>
      <w:proofErr w:type="spellStart"/>
      <w:r>
        <w:rPr>
          <w:lang w:val="en-US"/>
        </w:rPr>
        <w:t>posisi</w:t>
      </w:r>
      <w:proofErr w:type="spellEnd"/>
      <w:r>
        <w:rPr>
          <w:lang w:val="en-US"/>
        </w:rPr>
        <w:t xml:space="preserve"> pasien </w:t>
      </w:r>
      <w:proofErr w:type="spellStart"/>
      <w:r>
        <w:rPr>
          <w:lang w:val="en-US"/>
        </w:rPr>
        <w:t>serupa</w:t>
      </w:r>
      <w:proofErr w:type="spellEnd"/>
      <w:r>
        <w:rPr>
          <w:lang w:val="en-US"/>
        </w:rPr>
        <w:t xml:space="preserve"> untuk </w:t>
      </w:r>
      <w:proofErr w:type="spellStart"/>
      <w:r>
        <w:rPr>
          <w:lang w:val="en-US"/>
        </w:rPr>
        <w:t>sebagian</w:t>
      </w:r>
      <w:proofErr w:type="spellEnd"/>
      <w:r>
        <w:rPr>
          <w:lang w:val="en-US"/>
        </w:rPr>
        <w:t xml:space="preserve"> </w:t>
      </w:r>
      <w:proofErr w:type="spellStart"/>
      <w:r>
        <w:rPr>
          <w:lang w:val="en-US"/>
        </w:rPr>
        <w:t>besar</w:t>
      </w:r>
      <w:proofErr w:type="spellEnd"/>
      <w:r>
        <w:rPr>
          <w:lang w:val="en-US"/>
        </w:rPr>
        <w:t xml:space="preserve"> pasien yang </w:t>
      </w:r>
      <w:proofErr w:type="spellStart"/>
      <w:r>
        <w:rPr>
          <w:lang w:val="en-US"/>
        </w:rPr>
        <w:t>menjalani</w:t>
      </w:r>
      <w:proofErr w:type="spellEnd"/>
      <w:r>
        <w:rPr>
          <w:lang w:val="en-US"/>
        </w:rPr>
        <w:t xml:space="preserve"> </w:t>
      </w:r>
      <w:proofErr w:type="spellStart"/>
      <w:r>
        <w:rPr>
          <w:lang w:val="en-US"/>
        </w:rPr>
        <w:t>tonsilektomi</w:t>
      </w:r>
      <w:proofErr w:type="spellEnd"/>
      <w:r>
        <w:rPr>
          <w:lang w:val="en-US"/>
        </w:rPr>
        <w:t xml:space="preserve">, </w:t>
      </w:r>
      <w:proofErr w:type="spellStart"/>
      <w:r>
        <w:rPr>
          <w:lang w:val="en-US"/>
        </w:rPr>
        <w:t>terlepas</w:t>
      </w:r>
      <w:proofErr w:type="spellEnd"/>
      <w:r>
        <w:rPr>
          <w:lang w:val="en-US"/>
        </w:rPr>
        <w:t xml:space="preserve"> </w:t>
      </w:r>
      <w:proofErr w:type="spellStart"/>
      <w:r>
        <w:rPr>
          <w:lang w:val="en-US"/>
        </w:rPr>
        <w:t>dari</w:t>
      </w:r>
      <w:proofErr w:type="spellEnd"/>
      <w:r>
        <w:rPr>
          <w:lang w:val="en-US"/>
        </w:rPr>
        <w:t xml:space="preserve"> </w:t>
      </w:r>
      <w:proofErr w:type="spellStart"/>
      <w:r>
        <w:rPr>
          <w:lang w:val="en-US"/>
        </w:rPr>
        <w:t>teknik</w:t>
      </w:r>
      <w:proofErr w:type="spellEnd"/>
      <w:r>
        <w:rPr>
          <w:lang w:val="en-US"/>
        </w:rPr>
        <w:t xml:space="preserve"> </w:t>
      </w:r>
      <w:proofErr w:type="spellStart"/>
      <w:r>
        <w:rPr>
          <w:lang w:val="en-US"/>
        </w:rPr>
        <w:t>apa</w:t>
      </w:r>
      <w:proofErr w:type="spellEnd"/>
      <w:r>
        <w:rPr>
          <w:lang w:val="en-US"/>
        </w:rPr>
        <w:t xml:space="preserve"> yang </w:t>
      </w:r>
      <w:proofErr w:type="spellStart"/>
      <w:r>
        <w:rPr>
          <w:lang w:val="en-US"/>
        </w:rPr>
        <w:t>digunakan</w:t>
      </w:r>
      <w:proofErr w:type="spellEnd"/>
      <w:r>
        <w:rPr>
          <w:lang w:val="en-US"/>
        </w:rPr>
        <w:t xml:space="preserve"> untuk </w:t>
      </w:r>
      <w:proofErr w:type="spellStart"/>
      <w:r>
        <w:rPr>
          <w:lang w:val="en-US"/>
        </w:rPr>
        <w:t>mengangkat</w:t>
      </w:r>
      <w:proofErr w:type="spellEnd"/>
      <w:r>
        <w:rPr>
          <w:lang w:val="en-US"/>
        </w:rPr>
        <w:t xml:space="preserve"> </w:t>
      </w:r>
      <w:r>
        <w:rPr>
          <w:lang w:val="id-ID"/>
        </w:rPr>
        <w:t>tonsil</w:t>
      </w:r>
      <w:r>
        <w:rPr>
          <w:lang w:val="en-US"/>
        </w:rPr>
        <w:t xml:space="preserve">. Pasien </w:t>
      </w:r>
      <w:proofErr w:type="spellStart"/>
      <w:r>
        <w:rPr>
          <w:lang w:val="en-US"/>
        </w:rPr>
        <w:t>ditempatkan</w:t>
      </w:r>
      <w:proofErr w:type="spellEnd"/>
      <w:r>
        <w:rPr>
          <w:lang w:val="en-US"/>
        </w:rPr>
        <w:t xml:space="preserve"> dalam </w:t>
      </w:r>
      <w:proofErr w:type="spellStart"/>
      <w:r>
        <w:rPr>
          <w:lang w:val="en-US"/>
        </w:rPr>
        <w:t>posisi</w:t>
      </w:r>
      <w:proofErr w:type="spellEnd"/>
      <w:r>
        <w:rPr>
          <w:lang w:val="en-US"/>
        </w:rPr>
        <w:t xml:space="preserve"> </w:t>
      </w:r>
      <w:proofErr w:type="spellStart"/>
      <w:r>
        <w:rPr>
          <w:lang w:val="en-US"/>
        </w:rPr>
        <w:t>terlentang</w:t>
      </w:r>
      <w:proofErr w:type="spellEnd"/>
      <w:r>
        <w:rPr>
          <w:lang w:val="en-US"/>
        </w:rPr>
        <w:t xml:space="preserve"> dan </w:t>
      </w:r>
      <w:proofErr w:type="spellStart"/>
      <w:r>
        <w:rPr>
          <w:lang w:val="en-US"/>
        </w:rPr>
        <w:t>diintubasi</w:t>
      </w:r>
      <w:proofErr w:type="spellEnd"/>
      <w:r>
        <w:rPr>
          <w:lang w:val="en-US"/>
        </w:rPr>
        <w:t xml:space="preserve"> </w:t>
      </w:r>
      <w:proofErr w:type="spellStart"/>
      <w:r>
        <w:rPr>
          <w:lang w:val="en-US"/>
        </w:rPr>
        <w:t>secara</w:t>
      </w:r>
      <w:proofErr w:type="spellEnd"/>
      <w:r>
        <w:rPr>
          <w:lang w:val="en-US"/>
        </w:rPr>
        <w:t xml:space="preserve"> oral. </w:t>
      </w:r>
      <w:proofErr w:type="spellStart"/>
      <w:r>
        <w:rPr>
          <w:lang w:val="en-US"/>
        </w:rPr>
        <w:t>Tabung</w:t>
      </w:r>
      <w:proofErr w:type="spellEnd"/>
      <w:r>
        <w:rPr>
          <w:lang w:val="en-US"/>
        </w:rPr>
        <w:t xml:space="preserve"> </w:t>
      </w:r>
      <w:proofErr w:type="spellStart"/>
      <w:r>
        <w:rPr>
          <w:lang w:val="en-US"/>
        </w:rPr>
        <w:t>endotrakeal</w:t>
      </w:r>
      <w:proofErr w:type="spellEnd"/>
      <w:r>
        <w:rPr>
          <w:lang w:val="en-US"/>
        </w:rPr>
        <w:t xml:space="preserve"> </w:t>
      </w:r>
      <w:proofErr w:type="spellStart"/>
      <w:r>
        <w:rPr>
          <w:lang w:val="en-US"/>
        </w:rPr>
        <w:t>ditempelkan</w:t>
      </w:r>
      <w:proofErr w:type="spellEnd"/>
      <w:r>
        <w:rPr>
          <w:lang w:val="en-US"/>
        </w:rPr>
        <w:t xml:space="preserve"> pada </w:t>
      </w:r>
      <w:proofErr w:type="spellStart"/>
      <w:r>
        <w:rPr>
          <w:color w:val="000000"/>
          <w:lang w:val="en-US"/>
        </w:rPr>
        <w:t>dagu</w:t>
      </w:r>
      <w:proofErr w:type="spellEnd"/>
      <w:r>
        <w:rPr>
          <w:color w:val="000000"/>
          <w:lang w:val="en-US"/>
        </w:rPr>
        <w:t xml:space="preserve"> di garis </w:t>
      </w:r>
      <w:proofErr w:type="spellStart"/>
      <w:r>
        <w:rPr>
          <w:color w:val="000000"/>
          <w:lang w:val="en-US"/>
        </w:rPr>
        <w:t>tengah</w:t>
      </w:r>
      <w:proofErr w:type="spellEnd"/>
      <w:r>
        <w:rPr>
          <w:color w:val="000000"/>
          <w:lang w:val="id-ID"/>
        </w:rPr>
        <w:t xml:space="preserve"> pasien</w:t>
      </w:r>
      <w:r>
        <w:rPr>
          <w:color w:val="000000"/>
          <w:lang w:val="en-US"/>
        </w:rPr>
        <w:t xml:space="preserve">. </w:t>
      </w:r>
      <w:proofErr w:type="spellStart"/>
      <w:r>
        <w:rPr>
          <w:color w:val="000000"/>
          <w:lang w:val="en-US"/>
        </w:rPr>
        <w:t>Sebagai</w:t>
      </w:r>
      <w:proofErr w:type="spellEnd"/>
      <w:r>
        <w:rPr>
          <w:color w:val="000000"/>
          <w:lang w:val="en-US"/>
        </w:rPr>
        <w:t xml:space="preserve"> </w:t>
      </w:r>
      <w:proofErr w:type="spellStart"/>
      <w:r>
        <w:rPr>
          <w:color w:val="000000"/>
          <w:lang w:val="en-US"/>
        </w:rPr>
        <w:t>alternatif</w:t>
      </w:r>
      <w:proofErr w:type="spellEnd"/>
      <w:r>
        <w:rPr>
          <w:color w:val="000000"/>
          <w:lang w:val="en-US"/>
        </w:rPr>
        <w:t xml:space="preserve">, </w:t>
      </w:r>
      <w:proofErr w:type="spellStart"/>
      <w:r>
        <w:rPr>
          <w:color w:val="000000"/>
          <w:lang w:val="en-US"/>
        </w:rPr>
        <w:t>beberapa</w:t>
      </w:r>
      <w:proofErr w:type="spellEnd"/>
      <w:r>
        <w:rPr>
          <w:color w:val="000000"/>
          <w:lang w:val="en-US"/>
        </w:rPr>
        <w:t xml:space="preserve"> </w:t>
      </w:r>
      <w:proofErr w:type="spellStart"/>
      <w:r>
        <w:rPr>
          <w:color w:val="000000"/>
          <w:lang w:val="en-US"/>
        </w:rPr>
        <w:t>praktisi</w:t>
      </w:r>
      <w:proofErr w:type="spellEnd"/>
      <w:r>
        <w:rPr>
          <w:color w:val="000000"/>
          <w:lang w:val="en-US"/>
        </w:rPr>
        <w:t xml:space="preserve"> </w:t>
      </w:r>
      <w:proofErr w:type="spellStart"/>
      <w:r>
        <w:rPr>
          <w:color w:val="000000"/>
          <w:lang w:val="en-US"/>
        </w:rPr>
        <w:t>lebih</w:t>
      </w:r>
      <w:proofErr w:type="spellEnd"/>
      <w:r>
        <w:rPr>
          <w:color w:val="000000"/>
          <w:lang w:val="en-US"/>
        </w:rPr>
        <w:t xml:space="preserve"> </w:t>
      </w:r>
      <w:proofErr w:type="spellStart"/>
      <w:r>
        <w:rPr>
          <w:color w:val="000000"/>
          <w:lang w:val="en-US"/>
        </w:rPr>
        <w:t>suka</w:t>
      </w:r>
      <w:proofErr w:type="spellEnd"/>
      <w:r>
        <w:rPr>
          <w:color w:val="000000"/>
          <w:lang w:val="en-US"/>
        </w:rPr>
        <w:t xml:space="preserve"> </w:t>
      </w:r>
      <w:proofErr w:type="spellStart"/>
      <w:r>
        <w:rPr>
          <w:color w:val="000000"/>
          <w:lang w:val="en-US"/>
        </w:rPr>
        <w:t>menggunakan</w:t>
      </w:r>
      <w:proofErr w:type="spellEnd"/>
      <w:r>
        <w:rPr>
          <w:color w:val="000000"/>
          <w:lang w:val="en-US"/>
        </w:rPr>
        <w:t xml:space="preserve"> </w:t>
      </w:r>
      <w:r>
        <w:rPr>
          <w:i/>
          <w:iCs/>
          <w:color w:val="000000"/>
          <w:lang w:val="en-US"/>
        </w:rPr>
        <w:t>laryngeal mask airway</w:t>
      </w:r>
      <w:r>
        <w:rPr>
          <w:color w:val="000000"/>
          <w:lang w:val="en-US"/>
        </w:rPr>
        <w:t xml:space="preserve">. </w:t>
      </w:r>
      <w:proofErr w:type="spellStart"/>
      <w:r>
        <w:rPr>
          <w:color w:val="000000"/>
          <w:lang w:val="en-US"/>
        </w:rPr>
        <w:t>Tempat</w:t>
      </w:r>
      <w:proofErr w:type="spellEnd"/>
      <w:r>
        <w:rPr>
          <w:color w:val="000000"/>
          <w:lang w:val="en-US"/>
        </w:rPr>
        <w:t xml:space="preserve"> </w:t>
      </w:r>
      <w:proofErr w:type="spellStart"/>
      <w:r>
        <w:rPr>
          <w:color w:val="000000"/>
          <w:lang w:val="en-US"/>
        </w:rPr>
        <w:t>tidur</w:t>
      </w:r>
      <w:proofErr w:type="spellEnd"/>
      <w:r>
        <w:rPr>
          <w:color w:val="000000"/>
          <w:lang w:val="en-US"/>
        </w:rPr>
        <w:t xml:space="preserve"> </w:t>
      </w:r>
      <w:proofErr w:type="spellStart"/>
      <w:r>
        <w:rPr>
          <w:color w:val="000000"/>
          <w:lang w:val="en-US"/>
        </w:rPr>
        <w:t>diputar</w:t>
      </w:r>
      <w:proofErr w:type="spellEnd"/>
      <w:r>
        <w:rPr>
          <w:color w:val="000000"/>
          <w:lang w:val="en-US"/>
        </w:rPr>
        <w:t xml:space="preserve"> 90°-180° </w:t>
      </w:r>
      <w:proofErr w:type="spellStart"/>
      <w:r>
        <w:rPr>
          <w:color w:val="000000"/>
          <w:lang w:val="en-US"/>
        </w:rPr>
        <w:t>sehingga</w:t>
      </w:r>
      <w:proofErr w:type="spellEnd"/>
      <w:r>
        <w:rPr>
          <w:color w:val="000000"/>
          <w:lang w:val="en-US"/>
        </w:rPr>
        <w:t xml:space="preserve"> </w:t>
      </w:r>
      <w:proofErr w:type="spellStart"/>
      <w:r>
        <w:rPr>
          <w:color w:val="000000"/>
          <w:lang w:val="en-US"/>
        </w:rPr>
        <w:t>ahli</w:t>
      </w:r>
      <w:proofErr w:type="spellEnd"/>
      <w:r>
        <w:rPr>
          <w:color w:val="000000"/>
          <w:lang w:val="en-US"/>
        </w:rPr>
        <w:t xml:space="preserve"> </w:t>
      </w:r>
      <w:proofErr w:type="spellStart"/>
      <w:r>
        <w:rPr>
          <w:color w:val="000000"/>
          <w:lang w:val="en-US"/>
        </w:rPr>
        <w:t>bedah</w:t>
      </w:r>
      <w:proofErr w:type="spellEnd"/>
      <w:r>
        <w:rPr>
          <w:color w:val="000000"/>
          <w:lang w:val="en-US"/>
        </w:rPr>
        <w:t xml:space="preserve"> dapat duduk atau </w:t>
      </w:r>
      <w:proofErr w:type="spellStart"/>
      <w:r>
        <w:rPr>
          <w:color w:val="000000"/>
          <w:lang w:val="en-US"/>
        </w:rPr>
        <w:t>berdiri</w:t>
      </w:r>
      <w:proofErr w:type="spellEnd"/>
      <w:r>
        <w:rPr>
          <w:color w:val="000000"/>
          <w:lang w:val="en-US"/>
        </w:rPr>
        <w:t xml:space="preserve"> di </w:t>
      </w:r>
      <w:proofErr w:type="spellStart"/>
      <w:r>
        <w:rPr>
          <w:color w:val="000000"/>
          <w:lang w:val="en-US"/>
        </w:rPr>
        <w:t>kepala</w:t>
      </w:r>
      <w:proofErr w:type="spellEnd"/>
      <w:r>
        <w:rPr>
          <w:color w:val="000000"/>
          <w:lang w:val="en-US"/>
        </w:rPr>
        <w:t xml:space="preserve"> </w:t>
      </w:r>
      <w:proofErr w:type="spellStart"/>
      <w:r>
        <w:rPr>
          <w:color w:val="000000"/>
          <w:lang w:val="en-US"/>
        </w:rPr>
        <w:t>tempat</w:t>
      </w:r>
      <w:proofErr w:type="spellEnd"/>
      <w:r>
        <w:rPr>
          <w:color w:val="000000"/>
          <w:lang w:val="en-US"/>
        </w:rPr>
        <w:t xml:space="preserve"> </w:t>
      </w:r>
      <w:proofErr w:type="spellStart"/>
      <w:r>
        <w:rPr>
          <w:color w:val="000000"/>
          <w:lang w:val="en-US"/>
        </w:rPr>
        <w:t>tidur</w:t>
      </w:r>
      <w:proofErr w:type="spellEnd"/>
      <w:r>
        <w:rPr>
          <w:color w:val="000000"/>
          <w:lang w:val="en-US"/>
        </w:rPr>
        <w:t xml:space="preserve">. Pasien </w:t>
      </w:r>
      <w:proofErr w:type="spellStart"/>
      <w:r>
        <w:rPr>
          <w:color w:val="000000"/>
          <w:lang w:val="en-US"/>
        </w:rPr>
        <w:t>diposisikan</w:t>
      </w:r>
      <w:proofErr w:type="spellEnd"/>
      <w:r>
        <w:rPr>
          <w:color w:val="000000"/>
          <w:lang w:val="en-US"/>
        </w:rPr>
        <w:t xml:space="preserve"> di </w:t>
      </w:r>
      <w:proofErr w:type="spellStart"/>
      <w:r>
        <w:rPr>
          <w:color w:val="000000"/>
          <w:lang w:val="en-US"/>
        </w:rPr>
        <w:t>tepi</w:t>
      </w:r>
      <w:proofErr w:type="spellEnd"/>
      <w:r>
        <w:rPr>
          <w:color w:val="000000"/>
          <w:lang w:val="en-US"/>
        </w:rPr>
        <w:t xml:space="preserve"> </w:t>
      </w:r>
      <w:proofErr w:type="spellStart"/>
      <w:r>
        <w:rPr>
          <w:color w:val="000000"/>
          <w:lang w:val="en-US"/>
        </w:rPr>
        <w:t>tempat</w:t>
      </w:r>
      <w:proofErr w:type="spellEnd"/>
      <w:r>
        <w:rPr>
          <w:color w:val="000000"/>
          <w:lang w:val="en-US"/>
        </w:rPr>
        <w:t xml:space="preserve"> </w:t>
      </w:r>
      <w:proofErr w:type="spellStart"/>
      <w:r>
        <w:rPr>
          <w:color w:val="000000"/>
          <w:lang w:val="en-US"/>
        </w:rPr>
        <w:t>tidur</w:t>
      </w:r>
      <w:proofErr w:type="spellEnd"/>
      <w:r>
        <w:rPr>
          <w:color w:val="000000"/>
          <w:lang w:val="en-US"/>
        </w:rPr>
        <w:t xml:space="preserve">, dan </w:t>
      </w:r>
      <w:proofErr w:type="spellStart"/>
      <w:r>
        <w:rPr>
          <w:color w:val="000000"/>
          <w:lang w:val="en-US"/>
        </w:rPr>
        <w:t>gulungan</w:t>
      </w:r>
      <w:proofErr w:type="spellEnd"/>
      <w:r>
        <w:rPr>
          <w:color w:val="000000"/>
          <w:lang w:val="en-US"/>
        </w:rPr>
        <w:t xml:space="preserve"> bahu </w:t>
      </w:r>
      <w:proofErr w:type="spellStart"/>
      <w:r>
        <w:rPr>
          <w:color w:val="000000"/>
          <w:lang w:val="en-US"/>
        </w:rPr>
        <w:t>kecil</w:t>
      </w:r>
      <w:proofErr w:type="spellEnd"/>
      <w:r>
        <w:rPr>
          <w:color w:val="000000"/>
          <w:lang w:val="en-US"/>
        </w:rPr>
        <w:t xml:space="preserve"> </w:t>
      </w:r>
      <w:proofErr w:type="spellStart"/>
      <w:r>
        <w:rPr>
          <w:color w:val="000000"/>
          <w:lang w:val="en-US"/>
        </w:rPr>
        <w:t>ditempatkan</w:t>
      </w:r>
      <w:proofErr w:type="spellEnd"/>
      <w:r>
        <w:rPr>
          <w:color w:val="000000"/>
          <w:lang w:val="en-US"/>
        </w:rPr>
        <w:t xml:space="preserve">. </w:t>
      </w:r>
      <w:proofErr w:type="spellStart"/>
      <w:r>
        <w:rPr>
          <w:color w:val="000000"/>
          <w:lang w:val="en-US"/>
        </w:rPr>
        <w:t>Entah</w:t>
      </w:r>
      <w:proofErr w:type="spellEnd"/>
      <w:r>
        <w:rPr>
          <w:color w:val="000000"/>
          <w:lang w:val="en-US"/>
        </w:rPr>
        <w:t xml:space="preserve"> gag </w:t>
      </w:r>
      <w:proofErr w:type="spellStart"/>
      <w:r>
        <w:rPr>
          <w:color w:val="000000"/>
          <w:lang w:val="en-US"/>
        </w:rPr>
        <w:t>mulut</w:t>
      </w:r>
      <w:proofErr w:type="spellEnd"/>
      <w:r>
        <w:rPr>
          <w:color w:val="000000"/>
          <w:lang w:val="en-US"/>
        </w:rPr>
        <w:t xml:space="preserve"> Crowe-Davis, McIvor, atau Dingman </w:t>
      </w:r>
      <w:proofErr w:type="spellStart"/>
      <w:r>
        <w:rPr>
          <w:color w:val="000000"/>
          <w:lang w:val="en-US"/>
        </w:rPr>
        <w:t>dimasukkan</w:t>
      </w:r>
      <w:proofErr w:type="spellEnd"/>
      <w:r>
        <w:rPr>
          <w:color w:val="000000"/>
          <w:lang w:val="en-US"/>
        </w:rPr>
        <w:t xml:space="preserve"> dan </w:t>
      </w:r>
      <w:proofErr w:type="spellStart"/>
      <w:r>
        <w:rPr>
          <w:color w:val="000000"/>
          <w:lang w:val="en-US"/>
        </w:rPr>
        <w:t>diperluas</w:t>
      </w:r>
      <w:proofErr w:type="spellEnd"/>
      <w:r>
        <w:rPr>
          <w:color w:val="000000"/>
          <w:lang w:val="en-US"/>
        </w:rPr>
        <w:t xml:space="preserve"> untuk </w:t>
      </w:r>
      <w:proofErr w:type="spellStart"/>
      <w:r>
        <w:rPr>
          <w:color w:val="000000"/>
          <w:lang w:val="en-US"/>
        </w:rPr>
        <w:t>menjaga</w:t>
      </w:r>
      <w:proofErr w:type="spellEnd"/>
      <w:r>
        <w:rPr>
          <w:color w:val="000000"/>
          <w:lang w:val="en-US"/>
        </w:rPr>
        <w:t xml:space="preserve"> </w:t>
      </w:r>
      <w:proofErr w:type="spellStart"/>
      <w:r>
        <w:rPr>
          <w:color w:val="000000"/>
          <w:lang w:val="en-US"/>
        </w:rPr>
        <w:t>mulut</w:t>
      </w:r>
      <w:proofErr w:type="spellEnd"/>
      <w:r>
        <w:rPr>
          <w:color w:val="000000"/>
          <w:lang w:val="en-US"/>
        </w:rPr>
        <w:t xml:space="preserve"> </w:t>
      </w:r>
      <w:proofErr w:type="spellStart"/>
      <w:r>
        <w:rPr>
          <w:color w:val="000000"/>
          <w:lang w:val="en-US"/>
        </w:rPr>
        <w:t>tetap</w:t>
      </w:r>
      <w:proofErr w:type="spellEnd"/>
      <w:r>
        <w:rPr>
          <w:color w:val="000000"/>
          <w:lang w:val="en-US"/>
        </w:rPr>
        <w:t xml:space="preserve"> </w:t>
      </w:r>
      <w:proofErr w:type="spellStart"/>
      <w:r>
        <w:rPr>
          <w:color w:val="000000"/>
          <w:lang w:val="en-US"/>
        </w:rPr>
        <w:t>terbuka</w:t>
      </w:r>
      <w:proofErr w:type="spellEnd"/>
      <w:r>
        <w:rPr>
          <w:color w:val="000000"/>
          <w:lang w:val="en-US"/>
        </w:rPr>
        <w:t xml:space="preserve"> selama </w:t>
      </w:r>
      <w:proofErr w:type="spellStart"/>
      <w:r>
        <w:rPr>
          <w:color w:val="000000"/>
          <w:lang w:val="en-US"/>
        </w:rPr>
        <w:t>prosedur</w:t>
      </w:r>
      <w:proofErr w:type="spellEnd"/>
      <w:r>
        <w:rPr>
          <w:color w:val="000000"/>
          <w:lang w:val="en-US"/>
        </w:rPr>
        <w:t xml:space="preserve"> </w:t>
      </w:r>
      <w:proofErr w:type="spellStart"/>
      <w:r>
        <w:rPr>
          <w:color w:val="000000"/>
          <w:lang w:val="en-US"/>
        </w:rPr>
        <w:t>berlangsung</w:t>
      </w:r>
      <w:proofErr w:type="spellEnd"/>
      <w:r>
        <w:rPr>
          <w:color w:val="000000"/>
          <w:lang w:val="en-US"/>
        </w:rPr>
        <w:t xml:space="preserve">. </w:t>
      </w:r>
      <w:r>
        <w:rPr>
          <w:color w:val="000000"/>
          <w:lang w:val="id-ID"/>
        </w:rPr>
        <w:t>Tonsil</w:t>
      </w:r>
      <w:r>
        <w:rPr>
          <w:color w:val="000000"/>
          <w:lang w:val="en-US"/>
        </w:rPr>
        <w:t xml:space="preserve"> </w:t>
      </w:r>
      <w:proofErr w:type="spellStart"/>
      <w:r>
        <w:rPr>
          <w:color w:val="000000"/>
          <w:lang w:val="en-US"/>
        </w:rPr>
        <w:t>kemudian</w:t>
      </w:r>
      <w:proofErr w:type="spellEnd"/>
      <w:r>
        <w:rPr>
          <w:color w:val="000000"/>
          <w:lang w:val="en-US"/>
        </w:rPr>
        <w:t xml:space="preserve"> </w:t>
      </w:r>
      <w:proofErr w:type="spellStart"/>
      <w:r>
        <w:rPr>
          <w:color w:val="000000"/>
          <w:lang w:val="en-US"/>
        </w:rPr>
        <w:t>diangkat</w:t>
      </w:r>
      <w:proofErr w:type="spellEnd"/>
      <w:r>
        <w:rPr>
          <w:color w:val="000000"/>
          <w:lang w:val="en-US"/>
        </w:rPr>
        <w:t xml:space="preserve"> </w:t>
      </w:r>
      <w:proofErr w:type="spellStart"/>
      <w:r>
        <w:rPr>
          <w:color w:val="000000"/>
          <w:lang w:val="en-US"/>
        </w:rPr>
        <w:t>menggunakan</w:t>
      </w:r>
      <w:proofErr w:type="spellEnd"/>
      <w:r>
        <w:rPr>
          <w:color w:val="000000"/>
          <w:lang w:val="en-US"/>
        </w:rPr>
        <w:t xml:space="preserve"> salah </w:t>
      </w:r>
      <w:proofErr w:type="spellStart"/>
      <w:r>
        <w:rPr>
          <w:color w:val="000000"/>
          <w:lang w:val="en-US"/>
        </w:rPr>
        <w:t>satu</w:t>
      </w:r>
      <w:proofErr w:type="spellEnd"/>
      <w:r>
        <w:rPr>
          <w:color w:val="000000"/>
          <w:lang w:val="en-US"/>
        </w:rPr>
        <w:t xml:space="preserve"> teknik.</w:t>
      </w:r>
      <w:r>
        <w:rPr>
          <w:color w:val="000000"/>
          <w:lang w:val="en-US"/>
        </w:rPr>
        <w:fldChar w:fldCharType="begin" w:fldLock="1"/>
      </w:r>
      <w:r>
        <w:rPr>
          <w:color w:val="000000"/>
          <w:lang w:val="en-US"/>
        </w:rPr>
        <w:instrText>ADDIN CSL_CITATION {"citationItems":[{"id":"ITEM-1","itemData":{"DOI":"10.1016/j.otot.2005.09.005","ISSN":"10431810","abstract":"Tonsillectomy is one of the most common surgeries performed in the United States of America. There is currently no consensus on which of the several techniques available is optimal. This article describes the various extracapsular (total tonsillectomy) and intracapsular (subtotal tonsillectomy) techniques that are currently available. © 2005 Elsevier Inc. All rights reserved.","author":[{"dropping-particle":"","family":"Messner","given":"Anna H.","non-dropping-particle":"","parse-names":false,"suffix":""}],"container-title":"Operative Techniques in Otolaryngology - Head and Neck Surgery","id":"ITEM-1","issue":"4","issued":{"date-parts":[["2005"]]},"page":"224-228","title":"Tonsillectomy","type":"article-journal","volume":"16"},"uris":["http://www.mendeley.com/documents/?uuid=80a91334-4e84-4648-b585-0babd46faad0"]}],"mendeley":{"formattedCitation":"&lt;sup&gt;28&lt;/sup&gt;","plainTextFormattedCitation":"28","previouslyFormattedCitation":"&lt;sup&gt;28&lt;/sup&gt;"},"properties":{"noteIndex":0},"schema":"https://github.com/citation-style-language/schema/raw/master/csl-citation.json"}</w:instrText>
      </w:r>
      <w:r>
        <w:rPr>
          <w:color w:val="000000"/>
          <w:lang w:val="en-US"/>
        </w:rPr>
        <w:fldChar w:fldCharType="separate"/>
      </w:r>
      <w:r>
        <w:rPr>
          <w:noProof/>
          <w:color w:val="000000"/>
          <w:vertAlign w:val="superscript"/>
          <w:lang w:val="en-US"/>
        </w:rPr>
        <w:t>28</w:t>
      </w:r>
      <w:r>
        <w:rPr>
          <w:color w:val="000000"/>
          <w:lang w:val="en-US"/>
        </w:rPr>
        <w:fldChar w:fldCharType="end"/>
      </w:r>
      <w:r>
        <w:rPr>
          <w:color w:val="000000"/>
          <w:lang w:val="en-US"/>
        </w:rPr>
        <w:t xml:space="preserve"> </w:t>
      </w:r>
    </w:p>
    <w:p w14:paraId="17A2489A" w14:textId="77777777" w:rsidR="003B79BC" w:rsidRDefault="00000000">
      <w:pPr>
        <w:spacing w:line="360" w:lineRule="auto"/>
        <w:ind w:firstLine="709"/>
        <w:jc w:val="both"/>
        <w:rPr>
          <w:color w:val="000000"/>
          <w:lang w:val="en-US"/>
        </w:rPr>
      </w:pPr>
      <w:r>
        <w:rPr>
          <w:color w:val="000000"/>
          <w:lang w:val="en-US"/>
        </w:rPr>
        <w:t xml:space="preserve">Teknik </w:t>
      </w:r>
      <w:proofErr w:type="spellStart"/>
      <w:r>
        <w:rPr>
          <w:color w:val="000000"/>
          <w:lang w:val="en-US"/>
        </w:rPr>
        <w:t>tonsilektomi</w:t>
      </w:r>
      <w:proofErr w:type="spellEnd"/>
      <w:r>
        <w:rPr>
          <w:color w:val="000000"/>
          <w:lang w:val="en-US"/>
        </w:rPr>
        <w:t xml:space="preserve"> dapat </w:t>
      </w:r>
      <w:proofErr w:type="spellStart"/>
      <w:r>
        <w:rPr>
          <w:color w:val="000000"/>
          <w:lang w:val="en-US"/>
        </w:rPr>
        <w:t>dibagi</w:t>
      </w:r>
      <w:proofErr w:type="spellEnd"/>
      <w:r>
        <w:rPr>
          <w:color w:val="000000"/>
          <w:lang w:val="en-US"/>
        </w:rPr>
        <w:t xml:space="preserve"> </w:t>
      </w:r>
      <w:proofErr w:type="spellStart"/>
      <w:r>
        <w:rPr>
          <w:color w:val="000000"/>
          <w:lang w:val="en-US"/>
        </w:rPr>
        <w:t>menjadi</w:t>
      </w:r>
      <w:proofErr w:type="spellEnd"/>
      <w:r>
        <w:rPr>
          <w:color w:val="000000"/>
          <w:lang w:val="en-US"/>
        </w:rPr>
        <w:t xml:space="preserve"> 2 </w:t>
      </w:r>
      <w:proofErr w:type="spellStart"/>
      <w:r>
        <w:rPr>
          <w:color w:val="000000"/>
          <w:lang w:val="en-US"/>
        </w:rPr>
        <w:t>kategori</w:t>
      </w:r>
      <w:proofErr w:type="spellEnd"/>
      <w:r>
        <w:rPr>
          <w:color w:val="000000"/>
          <w:lang w:val="en-US"/>
        </w:rPr>
        <w:t xml:space="preserve"> </w:t>
      </w:r>
      <w:proofErr w:type="spellStart"/>
      <w:r>
        <w:rPr>
          <w:color w:val="000000"/>
          <w:lang w:val="en-US"/>
        </w:rPr>
        <w:t>umum</w:t>
      </w:r>
      <w:proofErr w:type="spellEnd"/>
      <w:r>
        <w:rPr>
          <w:color w:val="000000"/>
          <w:lang w:val="en-US"/>
        </w:rPr>
        <w:t xml:space="preserve">: </w:t>
      </w:r>
      <w:proofErr w:type="spellStart"/>
      <w:r>
        <w:rPr>
          <w:color w:val="000000"/>
          <w:lang w:val="en-US"/>
        </w:rPr>
        <w:t>ekstrakapsular</w:t>
      </w:r>
      <w:proofErr w:type="spellEnd"/>
      <w:r>
        <w:rPr>
          <w:color w:val="000000"/>
          <w:lang w:val="en-US"/>
        </w:rPr>
        <w:t xml:space="preserve"> (</w:t>
      </w:r>
      <w:proofErr w:type="spellStart"/>
      <w:r>
        <w:rPr>
          <w:color w:val="000000"/>
          <w:lang w:val="en-US"/>
        </w:rPr>
        <w:t>tonsilektomi</w:t>
      </w:r>
      <w:proofErr w:type="spellEnd"/>
      <w:r>
        <w:rPr>
          <w:color w:val="000000"/>
          <w:lang w:val="en-US"/>
        </w:rPr>
        <w:t xml:space="preserve"> total, </w:t>
      </w:r>
      <w:proofErr w:type="spellStart"/>
      <w:r>
        <w:rPr>
          <w:color w:val="000000"/>
          <w:lang w:val="en-US"/>
        </w:rPr>
        <w:t>subkapsular</w:t>
      </w:r>
      <w:proofErr w:type="spellEnd"/>
      <w:r>
        <w:rPr>
          <w:color w:val="000000"/>
          <w:lang w:val="en-US"/>
        </w:rPr>
        <w:t xml:space="preserve">) dan </w:t>
      </w:r>
      <w:proofErr w:type="spellStart"/>
      <w:r>
        <w:rPr>
          <w:color w:val="000000"/>
          <w:lang w:val="en-US"/>
        </w:rPr>
        <w:t>intrakapsular</w:t>
      </w:r>
      <w:proofErr w:type="spellEnd"/>
      <w:r>
        <w:rPr>
          <w:color w:val="000000"/>
          <w:lang w:val="en-US"/>
        </w:rPr>
        <w:t xml:space="preserve"> (</w:t>
      </w:r>
      <w:proofErr w:type="spellStart"/>
      <w:r>
        <w:rPr>
          <w:color w:val="000000"/>
          <w:lang w:val="en-US"/>
        </w:rPr>
        <w:t>tonsilektomi</w:t>
      </w:r>
      <w:proofErr w:type="spellEnd"/>
      <w:r>
        <w:rPr>
          <w:color w:val="000000"/>
          <w:lang w:val="en-US"/>
        </w:rPr>
        <w:t xml:space="preserve"> </w:t>
      </w:r>
      <w:proofErr w:type="spellStart"/>
      <w:r>
        <w:rPr>
          <w:color w:val="000000"/>
          <w:lang w:val="en-US"/>
        </w:rPr>
        <w:t>parsial</w:t>
      </w:r>
      <w:proofErr w:type="spellEnd"/>
      <w:r>
        <w:rPr>
          <w:color w:val="000000"/>
          <w:lang w:val="en-US"/>
        </w:rPr>
        <w:t xml:space="preserve">). </w:t>
      </w:r>
      <w:r w:rsidRPr="00F426C1">
        <w:rPr>
          <w:color w:val="000000"/>
          <w:lang w:val="pt-BR"/>
        </w:rPr>
        <w:t xml:space="preserve">Intrakapsular juga disebut "subtotal", dan prosedur ini terdaftar sebagai tonsilotomi di beberapa publikasi. Pada tonsilektomi ekstrakapsular, diseksi dilakukan secara lateral terhadap tonsil pada bidang antara kapsul tonsil dan otot faring, dan tonsil umumnya diangkat sebagai satu kesatuan. Sebaliknya, tonsilektomi intrakapsular melibatkan pengangkatan amandel sedikit demi sedikit, dari medial ke lateral, dengan hati-hati untuk mempertahankan kapsul. Teknik ekstrakapsular yang paling umum menggunakan elektrokauter monopolar, kauter bipolar (atau gunting bipolar), pisau "dingin" (diseksi tajam), atau pisau bedah harmonik. Teknik intrakapsular dapat menggunakan mikrodebrider, ablasi frekuensi radio bipolar (yang juga dapat digunakan untuk menghilangkan seluruh amandel), dan laser karbon dioksida. </w:t>
      </w:r>
      <w:r>
        <w:rPr>
          <w:color w:val="000000"/>
          <w:lang w:val="id-ID"/>
        </w:rPr>
        <w:t>Tonsil</w:t>
      </w:r>
      <w:r w:rsidRPr="00F426C1">
        <w:rPr>
          <w:color w:val="000000"/>
          <w:lang w:val="pt-BR"/>
        </w:rPr>
        <w:t xml:space="preserve"> dapat dihilangkan menggunakan laser atau frekuensi radio </w:t>
      </w:r>
      <w:r w:rsidRPr="00F426C1">
        <w:rPr>
          <w:color w:val="000000"/>
          <w:lang w:val="pt-BR"/>
        </w:rPr>
        <w:lastRenderedPageBreak/>
        <w:t>monopolar (somnoplasti) pada orang dewasa yang kooperatif dalam pengaturan klinik.</w:t>
      </w:r>
      <w:r>
        <w:rPr>
          <w:color w:val="000000"/>
          <w:lang w:val="en-US"/>
        </w:rPr>
        <w:fldChar w:fldCharType="begin" w:fldLock="1"/>
      </w:r>
      <w:r w:rsidRPr="00F426C1">
        <w:rPr>
          <w:color w:val="000000"/>
          <w:lang w:val="pt-BR"/>
        </w:rPr>
        <w:instrText>ADDIN CSL_CITATION {"citationItems":[{"id":"ITEM-1","itemData":{"DOI":"10.1016/j.otot.2005.09.005","ISSN":"10431810","abstract":"Tonsillectomy is one of the most common surgeries performed in the United States of America. There is currently no consensus on which of the several techniques available is optimal. This article describes the various extracapsular (total tonsillectomy) and intracapsular (subtotal tonsillectomy) techniques that are currently available. © 2005 Elsevier Inc. All rights reserved.","author":[{"dropping-particle":"","family":"Messner","given":"Anna H.","non-dropping-particle":"","parse-names":false,"suffix":""}],"container-title":"Operative Techniques in Otolaryngology - Head and Neck Surgery","id":"ITEM-1","issue":"4","issued":{"date-parts":[["2005"]]},"page":"224-228","title":"Tonsillectomy","type":"article-journal","volume":"16"},"uris":["http://www.mendeley.com/documents/?uuid=80a91334-4e84-4648-b585-0babd46faad0"]}],"mendeley":{"formattedCitation":"&lt;sup&gt;28&lt;/sup&gt;","plainTextFormattedCitation":"28","previouslyFormattedCitation":"&lt;sup&gt;28&lt;/sup&gt;"},"properties":{"noteIndex":0},"schema":"https://github.com/citation-style-language/schema/raw/master/csl-citation.json"}</w:instrText>
      </w:r>
      <w:r>
        <w:rPr>
          <w:color w:val="000000"/>
          <w:lang w:val="en-US"/>
        </w:rPr>
        <w:fldChar w:fldCharType="separate"/>
      </w:r>
      <w:r>
        <w:rPr>
          <w:noProof/>
          <w:color w:val="000000"/>
          <w:vertAlign w:val="superscript"/>
          <w:lang w:val="en-US"/>
        </w:rPr>
        <w:t>28</w:t>
      </w:r>
      <w:r>
        <w:rPr>
          <w:color w:val="000000"/>
          <w:lang w:val="en-US"/>
        </w:rPr>
        <w:fldChar w:fldCharType="end"/>
      </w:r>
    </w:p>
    <w:p w14:paraId="47C80D78" w14:textId="77777777" w:rsidR="003B79BC" w:rsidRDefault="00000000">
      <w:pPr>
        <w:pStyle w:val="Heading3"/>
        <w:rPr>
          <w:color w:val="000000"/>
          <w:lang w:val="en-US"/>
        </w:rPr>
      </w:pPr>
      <w:bookmarkStart w:id="23" w:name="_Toc158290238"/>
      <w:r>
        <w:rPr>
          <w:color w:val="000000"/>
          <w:lang w:val="id-ID"/>
        </w:rPr>
        <w:t>2.2.4</w:t>
      </w:r>
      <w:r>
        <w:rPr>
          <w:color w:val="000000"/>
          <w:lang w:val="id-ID"/>
        </w:rPr>
        <w:tab/>
        <w:t xml:space="preserve">Prosedur Blok </w:t>
      </w:r>
      <w:proofErr w:type="spellStart"/>
      <w:r>
        <w:rPr>
          <w:color w:val="000000"/>
          <w:lang w:val="en-US"/>
        </w:rPr>
        <w:t>Peritonsiler</w:t>
      </w:r>
      <w:bookmarkEnd w:id="23"/>
      <w:proofErr w:type="spellEnd"/>
    </w:p>
    <w:p w14:paraId="60B9800B" w14:textId="77777777" w:rsidR="003B79BC" w:rsidRDefault="00000000">
      <w:pPr>
        <w:spacing w:line="360" w:lineRule="auto"/>
        <w:ind w:firstLine="709"/>
        <w:jc w:val="both"/>
        <w:rPr>
          <w:rFonts w:eastAsiaTheme="minorEastAsia"/>
          <w:lang w:eastAsia="zh-CN"/>
        </w:rPr>
      </w:pPr>
      <w:r>
        <w:t>Inervasi tonsil berasal dari aferen pleksus tonsilaris, dengan kontribusi dari saraf trigeminal (N</w:t>
      </w:r>
      <w:r>
        <w:rPr>
          <w:lang w:val="en-US"/>
        </w:rPr>
        <w:t>.</w:t>
      </w:r>
      <w:r>
        <w:t xml:space="preserve"> V) melalui saraf palatine yang lebih rendah, serta saraf glossopharyngeal (N</w:t>
      </w:r>
      <w:r>
        <w:rPr>
          <w:lang w:val="en-US"/>
        </w:rPr>
        <w:t>.</w:t>
      </w:r>
      <w:r>
        <w:t xml:space="preserve"> IX). </w:t>
      </w:r>
      <w:r>
        <w:rPr>
          <w:lang w:eastAsia="zh-CN"/>
        </w:rPr>
        <w:t>N</w:t>
      </w:r>
      <w:r>
        <w:rPr>
          <w:lang w:val="en-US" w:eastAsia="zh-CN"/>
        </w:rPr>
        <w:t>.</w:t>
      </w:r>
      <w:r>
        <w:rPr>
          <w:lang w:eastAsia="zh-CN"/>
        </w:rPr>
        <w:t xml:space="preserve"> IX berlanjut ke distal tonsil yang memberikan persarafan sesorik dan sensasi pengecapan ke sepertiga posterior lidah. N</w:t>
      </w:r>
      <w:r>
        <w:rPr>
          <w:lang w:val="en-US" w:eastAsia="zh-CN"/>
        </w:rPr>
        <w:t>.</w:t>
      </w:r>
      <w:r>
        <w:rPr>
          <w:lang w:eastAsia="zh-CN"/>
        </w:rPr>
        <w:t xml:space="preserve"> IX adalah saraf yang paling mungkin rusak selama tonsilektomi.</w:t>
      </w:r>
      <w:r>
        <w:fldChar w:fldCharType="begin" w:fldLock="1"/>
      </w:r>
      <w:r>
        <w:rPr>
          <w:lang w:eastAsia="zh-CN"/>
        </w:rPr>
        <w:instrText>ADDIN CSL_CITATION {"citationItems":[{"id":"ITEM-1","itemData":{"author":[{"dropping-particle":"","family":"Açar","given":"Gülay","non-dropping-particle":"","parse-names":false,"suffix":""}],"id":"ITEM-1","issued":{"date-parts":[["2020"]]},"publisher":"IntechOpen","title":"Surgical Anatomy of the Tonsils","type":"book"},"uris":["http://www.mendeley.com/documents/?uuid=d911409a-b913-4004-b53d-0ff6b5b12e42"]},{"id":"ITEM-2","itemData":{"DOI":"10.2147/IJGM.S312866","ISSN":"11787074","abstract":"After medical stabilization, several techniques are considered for anesthesia in the surgical intervention of post-tonsillectomy bleeding in children. Hypoxia during induction of general anesthesia occurs more frequently than aspiration for this population. While classical (apneic) rapid sequence induction and intubation with cricoid pressure still has a role, controlled rapid sequence induction and intubation that incorporates mask ventilation at low pressure (&lt;12 cm H2O) before direct laryngoscopy under a deep plane of anesthesia is a viable alternative for cases of slow venous bleeding. Supplemental oxygen delivery during laryngoscopy to permit apneic oxygenation is a future trend in management. While the routine administration of tranexamic acid during tonsillectomy has not been shown to be of benefit, it may have a role in post-tonsillectomy hemorrhage with further study.","author":[{"dropping-particle":"","family":"Masters","given":"Kenneth G.","non-dropping-particle":"","parse-names":false,"suffix":""},{"dropping-particle":"","family":"Zezoff","given":"David","non-dropping-particle":"","parse-names":false,"suffix":""},{"dropping-particle":"","family":"Lasrado","given":"Savita","non-dropping-particle":"","parse-names":false,"suffix":""}],"container-title":"StatPearls Publishing LLC","id":"ITEM-2","issued":{"date-parts":[["2022"]]},"title":"Anatomy, Head and Neck, Tonsils","type":"article-journal"},"uris":["http://www.mendeley.com/documents/?uuid=4904a788-6bd1-470b-838a-22cbe38ae4b7"]},{"id":"ITEM-3","itemData":{"DOI":"10.1016/j.wjorl.2021.04.003","ISSN":"25891081","abstract":"Objective: This review aims to discuss the basic anatomy and physiology of the palatine and pharyngeal tonsils, with reference to how this foundational understanding may affect patient management and surgical procedures in these regions of the upper airway. Methods: A literature search was performed using PubMed and Google Scholar using the MeSH terms tonsils, adenoids, anatomy, physiology, and adenotonsillectomy. Primary sources were excluded if they were abstracts only, non-English language, or non-human studies. Thi</w:instrText>
      </w:r>
      <w:r>
        <w:instrText>rty-five sources were included in this review. Results and conclusions: The pharyngeal and palatine tonsils are compact yet physiologically complex mucosa-associated lymphoid tissues that make up a portion of Waldeyer's ring. As part of the mucosal immune system, these structures function in exogenous antigen sampling and stimulation of immune responses. Aberrant immune activation and/or regulation can lead to a myriad of pathologies, with adenotonsillar hypertrophy, chronic tonsillitis/adenoiditis, and recurrent otitis media among the most commonly encountered conditions by otolaryngologists. While the pathophysiology of these conditions is still in</w:instrText>
      </w:r>
      <w:r>
        <w:rPr>
          <w:lang w:eastAsia="zh-CN"/>
        </w:rPr>
        <w:instrText>completely understood, current evidence and future investigations may reveal patterns amenable to targeted medical management. When medical management fails, tonsillectomy and/or adenoidectomy may be indicated for patient care. Though routine procedures, the execution of tonsil and/or adenoid removal requires a thorough understanding of the anatomy of these lymphoepithelial organs so as to minimize the risk for rare serious complications that can occur.","author":[{"dropping-particle":"","family":"Arambula","given":"Alexandra","non-dropping-particle":"","parse-names":false,"suffix":""},{"dropping-particle":"","family":"Brown","given":"Jason R.","non-dropping-particle":"","parse-names":false,"suffix":""},{"dropping-particle":"","family":"Neff","given":"Laura","non-dropping-particle":"","parse-names":false,"suffix":""}],"container-title":"World Journal of Otorhinolaryngology - Head and Neck Surgery","id":"ITEM-3","issue":"3","issued":{"date-parts":[["2021"]]},"page":"155-160","publisher":"Elsevier Ltd","title":"Anatomy and physiology of the palatine tonsils, adenoids, and lingual tonsils","type":"article-journal","volume":"7"},"uris":["http://www.mendeley.com/documents/?uuid=9398fa5b-4ef3-4afa-b158-a85356349f0e"]}],"mendeley":{"formattedCitation":"&lt;sup&gt;21,22,25&lt;/sup&gt;","plainTextFormattedCitation":"21,22,25","previouslyFormattedCitation":"&lt;sup&gt;21,22,25&lt;/sup&gt;"},"properties":{"noteIndex":0},"schema":"https://github.com/citation-style-language/schema/raw/master/csl-citation.json"}</w:instrText>
      </w:r>
      <w:r>
        <w:fldChar w:fldCharType="separate"/>
      </w:r>
      <w:r>
        <w:rPr>
          <w:noProof/>
          <w:vertAlign w:val="superscript"/>
          <w:lang w:eastAsia="zh-CN"/>
        </w:rPr>
        <w:t>21,22,25</w:t>
      </w:r>
      <w:r>
        <w:fldChar w:fldCharType="end"/>
      </w:r>
    </w:p>
    <w:p w14:paraId="477222D4" w14:textId="77777777" w:rsidR="003B79BC" w:rsidRDefault="00000000">
      <w:pPr>
        <w:spacing w:line="360" w:lineRule="auto"/>
        <w:ind w:firstLine="709"/>
        <w:jc w:val="both"/>
        <w:rPr>
          <w:rFonts w:eastAsiaTheme="minorEastAsia"/>
          <w:lang w:eastAsia="zh-CN"/>
        </w:rPr>
      </w:pPr>
      <w:r>
        <w:rPr>
          <w:lang w:eastAsia="zh-CN"/>
        </w:rPr>
        <w:t xml:space="preserve">Saraf glosofaringeal (saraf </w:t>
      </w:r>
      <w:proofErr w:type="spellStart"/>
      <w:r>
        <w:rPr>
          <w:color w:val="000000"/>
          <w:lang w:val="en-US" w:eastAsia="zh-CN"/>
        </w:rPr>
        <w:t>kranial</w:t>
      </w:r>
      <w:proofErr w:type="spellEnd"/>
      <w:r>
        <w:rPr>
          <w:lang w:eastAsia="zh-CN"/>
        </w:rPr>
        <w:t xml:space="preserve"> IX) adalah saraf fungsi campuran dengan serabut motorik, sensorik, dan sensorik khusus. Rootlet berasal dari bagian atas sulkus post-olivary dan keluar dari cranium dengan serabut saraf parasimpatis dari nukleus salivatorius, saraf aksesori vagus dan tulang belakang (CN X dan XI) melalui foramen jugularis. Ketiga saraf kranial terletak di antara vena jugularis interna dan arteri karotis interna. Saraf glosofaringeal memiliki banyak cabang distributif termasuk timpani, karotis, faring, otot, tonsil, dan lingual yang cabang faring membawa saraf sensorik dari dinding faring, cabang tonsil mentransmisikan saraf sensorik dari tonsil dan cabang lingual menginervasi permukaan anterior epiglotis, sepertiga posterior lidah, dan valle</w:t>
      </w:r>
      <w:r>
        <w:rPr>
          <w:lang w:val="en-US" w:eastAsia="zh-CN"/>
        </w:rPr>
        <w:t>k</w:t>
      </w:r>
      <w:r>
        <w:rPr>
          <w:lang w:eastAsia="zh-CN"/>
        </w:rPr>
        <w:t>ula. Komponen motorik mempersarafi otot stylopharyngeus, yang mengangkat faring selama berbicara dan menelan. Bagian sensorik mempersarafi tonsil palatina, sepertiga posterior lidah, dan membran mukosa orofaring. Serat aferen sensorik khusus mengirimkan sensasi rasa dari sepertiga posterior lidah.</w:t>
      </w:r>
      <w:r>
        <w:fldChar w:fldCharType="begin" w:fldLock="1"/>
      </w:r>
      <w:r>
        <w:rPr>
          <w:lang w:eastAsia="zh-CN"/>
        </w:rPr>
        <w:instrText>ADDIN CSL_CITATION {"citationItems":[{"id":"ITEM-1","itemData":{"DOI":"10.1007/s12070-018-1323-6","ISBN":"1207001813236","ISSN":"09737707","abstract":"We evaluated the benefit of glossopharyngeal nerve block with long acting local anaesthetic like bupivacaine. It was a randomized prospective study. Sixty-four patients were selected and divided into two groups. Group A received bilateral nerve block and Group B receiv</w:instrText>
      </w:r>
      <w:r>
        <w:instrText>ed no block. Pain score using Visual Analog Scale (0–100 mm) was assessed at 30 min, 2,</w:instrText>
      </w:r>
      <w:r>
        <w:rPr>
          <w:lang w:eastAsia="zh-CN"/>
        </w:rPr>
        <w:instrText xml:space="preserve"> 6 and 12 h. In the immediate post operative period pain scores of Group A at rest and swallowing was significantly lower than Group B (p &lt; 0.001 and p &lt; 0.01). Glossopharyngeal nerve block is an important method of reducing post-tonsillectomy pain.","author":[{"dropping-particle":"","family":"Debasish","given":"Ghosh","non-dropping-particle":"","parse-names":false,"suffix":""},{"dropping-particle":"","family":"Anindita","given":"Sengupta","non-dropping-particle":"","parse-names":false,"suffix":""},{"dropping-particle":"","family":"Aryabrata","given":"Dubey","non-dropping-particle":"","parse-names":false,"suffix":""},{"dropping-particle":"","family":"Arunabha","given":"Sengupta","non-dropping-particle":"","parse-names":false,"suffix":""}],"container-title":"Indian Journal of Otolaryngology and Head and Neck Surgery","id":"ITEM-1","issue":"s1","issued":{"date-parts":[["2019"]]},"page":"390-394","publisher":"Springer India","title":"Glossopharyngeal Nerve Block with Long Acting Local Anaesthetic Agent (Bupivacaine) and It’s Effect on Early Post-operative Period in Adult Tonsillectomy: A Prospective Study","type":"article-journal","volume":"71"},"uris":["http://www.mendeley.com/documents/?uuid=c5917f19-1745-44fa-9987-41a724d58ca7"]}],"mendeley":{"formattedCitation":"&lt;sup&gt;32&lt;/sup&gt;","plainTextFormattedCitation":"32","previouslyFormattedCitation":"&lt;sup&gt;32&lt;/sup&gt;"},"properties":{"noteIndex":0},"schema":"https://github.com/citation-style-language/schema/raw/master/csl-citation.json"}</w:instrText>
      </w:r>
      <w:r>
        <w:fldChar w:fldCharType="separate"/>
      </w:r>
      <w:r>
        <w:rPr>
          <w:noProof/>
          <w:vertAlign w:val="superscript"/>
          <w:lang w:eastAsia="zh-CN"/>
        </w:rPr>
        <w:t>32</w:t>
      </w:r>
      <w:r>
        <w:fldChar w:fldCharType="end"/>
      </w:r>
    </w:p>
    <w:p w14:paraId="00AEEA06" w14:textId="77777777" w:rsidR="003B79BC" w:rsidRDefault="00000000">
      <w:pPr>
        <w:spacing w:line="360" w:lineRule="auto"/>
        <w:ind w:firstLine="709"/>
        <w:jc w:val="both"/>
        <w:rPr>
          <w:rFonts w:eastAsiaTheme="minorEastAsia"/>
          <w:lang w:eastAsia="zh-CN"/>
        </w:rPr>
      </w:pPr>
      <w:r>
        <w:rPr>
          <w:rFonts w:eastAsiaTheme="minorEastAsia"/>
          <w:lang w:eastAsia="zh-CN"/>
        </w:rPr>
        <w:t xml:space="preserve">Blok </w:t>
      </w:r>
      <w:proofErr w:type="spellStart"/>
      <w:r>
        <w:rPr>
          <w:rFonts w:eastAsiaTheme="minorEastAsia"/>
          <w:lang w:val="en-US" w:eastAsia="zh-CN"/>
        </w:rPr>
        <w:t>peritonsiler</w:t>
      </w:r>
      <w:proofErr w:type="spellEnd"/>
      <w:r>
        <w:rPr>
          <w:rFonts w:eastAsiaTheme="minorEastAsia"/>
          <w:lang w:val="en-US" w:eastAsia="zh-CN"/>
        </w:rPr>
        <w:t xml:space="preserve"> dapat </w:t>
      </w:r>
      <w:proofErr w:type="spellStart"/>
      <w:r>
        <w:rPr>
          <w:rFonts w:eastAsiaTheme="minorEastAsia"/>
          <w:lang w:val="en-US" w:eastAsia="zh-CN"/>
        </w:rPr>
        <w:t>dilakukan</w:t>
      </w:r>
      <w:proofErr w:type="spellEnd"/>
      <w:r>
        <w:rPr>
          <w:rFonts w:eastAsiaTheme="minorEastAsia"/>
          <w:lang w:val="en-US" w:eastAsia="zh-CN"/>
        </w:rPr>
        <w:t xml:space="preserve"> dengan 2 </w:t>
      </w:r>
      <w:proofErr w:type="spellStart"/>
      <w:r>
        <w:rPr>
          <w:rFonts w:eastAsiaTheme="minorEastAsia"/>
          <w:lang w:val="en-US" w:eastAsia="zh-CN"/>
        </w:rPr>
        <w:t>cara</w:t>
      </w:r>
      <w:proofErr w:type="spellEnd"/>
      <w:r>
        <w:rPr>
          <w:rFonts w:eastAsiaTheme="minorEastAsia"/>
          <w:lang w:val="en-US" w:eastAsia="zh-CN"/>
        </w:rPr>
        <w:t xml:space="preserve">, </w:t>
      </w:r>
      <w:proofErr w:type="spellStart"/>
      <w:r>
        <w:rPr>
          <w:rFonts w:eastAsiaTheme="minorEastAsia"/>
          <w:lang w:val="en-US" w:eastAsia="zh-CN"/>
        </w:rPr>
        <w:t>yaitu</w:t>
      </w:r>
      <w:proofErr w:type="spellEnd"/>
      <w:r>
        <w:rPr>
          <w:lang w:eastAsia="zh-CN"/>
        </w:rPr>
        <w:t xml:space="preserve"> dengan metode </w:t>
      </w:r>
      <w:proofErr w:type="spellStart"/>
      <w:r>
        <w:rPr>
          <w:lang w:val="en-US" w:eastAsia="zh-CN"/>
        </w:rPr>
        <w:t>blok</w:t>
      </w:r>
      <w:proofErr w:type="spellEnd"/>
      <w:r>
        <w:rPr>
          <w:lang w:val="en-US" w:eastAsia="zh-CN"/>
        </w:rPr>
        <w:t xml:space="preserve"> </w:t>
      </w:r>
      <w:r>
        <w:rPr>
          <w:lang w:eastAsia="zh-CN"/>
        </w:rPr>
        <w:t>pilar tonsil anterior (ATP)</w:t>
      </w:r>
      <w:r>
        <w:rPr>
          <w:lang w:val="en-US" w:eastAsia="zh-CN"/>
        </w:rPr>
        <w:t xml:space="preserve"> dan </w:t>
      </w:r>
      <w:proofErr w:type="spellStart"/>
      <w:r>
        <w:rPr>
          <w:lang w:val="en-US" w:eastAsia="zh-CN"/>
        </w:rPr>
        <w:t>blok</w:t>
      </w:r>
      <w:proofErr w:type="spellEnd"/>
      <w:r>
        <w:rPr>
          <w:lang w:val="en-US" w:eastAsia="zh-CN"/>
        </w:rPr>
        <w:t xml:space="preserve"> pilar tonsil posterior (PTP)</w:t>
      </w:r>
      <w:r>
        <w:rPr>
          <w:lang w:eastAsia="zh-CN"/>
        </w:rPr>
        <w:t xml:space="preserve">. Dalam </w:t>
      </w:r>
      <w:proofErr w:type="spellStart"/>
      <w:r>
        <w:rPr>
          <w:lang w:val="en-US" w:eastAsia="zh-CN"/>
        </w:rPr>
        <w:t>blok</w:t>
      </w:r>
      <w:proofErr w:type="spellEnd"/>
      <w:r>
        <w:rPr>
          <w:lang w:val="en-US" w:eastAsia="zh-CN"/>
        </w:rPr>
        <w:t xml:space="preserve"> ATP </w:t>
      </w:r>
      <w:r>
        <w:rPr>
          <w:lang w:eastAsia="zh-CN"/>
        </w:rPr>
        <w:t>, lidah dipindahkan ke medial, membentuk alur glossogingival. Jarum spinal 25-gauge dimasukkan di dasar pilar tonsil anterior, tepat di sebelah lateral pangkal lidah, hingga kedalaman 0,5 cm. Setelah aspirasi negatif untuk darah atau udara, Bupivacaine 0,5% dalam dosis 2 mg/kg dicampur dalam 2,5 ml normal saline disuntikkan. Proses ini kemudian diulang pada sisi kontralateral.</w:t>
      </w:r>
      <w:r>
        <w:fldChar w:fldCharType="begin" w:fldLock="1"/>
      </w:r>
      <w:r>
        <w:rPr>
          <w:lang w:eastAsia="zh-CN"/>
        </w:rPr>
        <w:instrText>ADDIN CSL_CITATION {"citationItems":[{"id":"ITEM-1","itemData":{"DOI":"10.1007/s12070-018-1323-6","ISBN":"1207001813236","ISSN":"09737707","abstract":"We evaluated the benefit of glossopharyngeal nerve block with long acting local anaesthetic like bupivacaine. It was a randomized prospective study. Sixty-four patients were selected and divided into two groups. Group A received bilateral nerve block and Group B received no block. Pain score using Visual Analog Scale (0–100 mm) was assessed at 30 min, 2, 6 and 12 h. In the immediate post operative period pain scores of Group A at rest and swallowing was significantly lower than Group B (p &lt; 0.001 and p &lt; 0.01). Glossopharyngeal nerve block is an important method of reducing post-tonsillectomy pain.","author":[{"dropping-particle":"","family":"Debasish","given":"Ghosh","non-dropping-particle":"","parse-names":false,"suffix":""},{"dropping-particle":"","family":"Anindita","given":"Sengupta","non-drop</w:instrText>
      </w:r>
      <w:r>
        <w:instrText>ping-particle":"","parse-names":false,"suffix":""},{"dropping-particle":"","family":"Aryabrata","given":"Dubey","non-dropping-particle":"","parse-names":false,"suffix":""},{"dropping-particle":"","family":"Arunabha","given":"Sengupta","non-dropping-particle":"","parse-names":false,"suffix":""}],"container-title":"Indian Journal of Otolaryngology and Head and Neck Surgery","id":"ITEM-1","issue":"s1","issued":{"date-parts":[["2019"]]},"page":"390-394","publisher":"Springer India","title":"Glossopharyngeal Nerve Block with Long Acting Local Anaesthetic Agent (Bupivacaine) and It’s Effect on Early Post-operative Period in Adult Tonsillectomy: A Prospective Study","type":"article-journal","volume":"71"},"uris":["http://www.mendeley.com/documents/?uuid=c5917f19-1745-44fa-9987-41a724d58ca7"]}],"mendeley":{"formattedCitation":"&lt;sup&gt;32&lt;/sup&gt;","plainTextFormattedCitation":"32","previouslyFormattedCitation":"&lt;sup&gt;32&lt;/sup&gt;"},"properties":{"noteIndex":0},"schema":"https://github.com/citation-style-language/schema/raw/master/csl-citation.json"}</w:instrText>
      </w:r>
      <w:r>
        <w:fldChar w:fldCharType="separate"/>
      </w:r>
      <w:r>
        <w:rPr>
          <w:noProof/>
          <w:vertAlign w:val="superscript"/>
          <w:lang w:eastAsia="zh-CN"/>
        </w:rPr>
        <w:t>32</w:t>
      </w:r>
      <w:r>
        <w:fldChar w:fldCharType="end"/>
      </w:r>
    </w:p>
    <w:p w14:paraId="515494D6" w14:textId="77777777" w:rsidR="003B79BC" w:rsidRDefault="00000000">
      <w:pPr>
        <w:spacing w:line="360" w:lineRule="auto"/>
        <w:ind w:firstLine="709"/>
        <w:jc w:val="both"/>
        <w:rPr>
          <w:rFonts w:eastAsiaTheme="minorEastAsia"/>
          <w:lang w:eastAsia="zh-CN"/>
        </w:rPr>
      </w:pPr>
      <w:r>
        <w:rPr>
          <w:lang w:eastAsia="zh-CN"/>
        </w:rPr>
        <w:t>Ada dua metode lain untuk blok ini. Ekstraoral (teknik Peristyloid)</w:t>
      </w:r>
      <w:r>
        <w:rPr>
          <w:lang w:val="id-ID" w:eastAsia="zh-CN"/>
        </w:rPr>
        <w:t xml:space="preserve"> yaitu</w:t>
      </w:r>
      <w:r>
        <w:rPr>
          <w:lang w:eastAsia="zh-CN"/>
        </w:rPr>
        <w:t xml:space="preserve"> </w:t>
      </w:r>
      <w:r>
        <w:rPr>
          <w:lang w:val="id-ID" w:eastAsia="zh-CN"/>
        </w:rPr>
        <w:t>p</w:t>
      </w:r>
      <w:r>
        <w:rPr>
          <w:lang w:eastAsia="zh-CN"/>
        </w:rPr>
        <w:t xml:space="preserve">asien ditempatkan terlentang dengan kepala diputar sedikit berlawanan dari sisi </w:t>
      </w:r>
      <w:r>
        <w:rPr>
          <w:lang w:eastAsia="zh-CN"/>
        </w:rPr>
        <w:lastRenderedPageBreak/>
        <w:t>yang terkena. Proses</w:t>
      </w:r>
      <w:r>
        <w:rPr>
          <w:lang w:val="en-US" w:eastAsia="zh-CN"/>
        </w:rPr>
        <w:t>us</w:t>
      </w:r>
      <w:r>
        <w:rPr>
          <w:lang w:eastAsia="zh-CN"/>
        </w:rPr>
        <w:t xml:space="preserve"> styloid digunakan untuk mengidentifikasi jalannya </w:t>
      </w:r>
      <w:r>
        <w:rPr>
          <w:rFonts w:eastAsiaTheme="minorEastAsia"/>
          <w:lang w:val="id-ID" w:eastAsia="zh-CN"/>
        </w:rPr>
        <w:t>b</w:t>
      </w:r>
      <w:r>
        <w:rPr>
          <w:rFonts w:eastAsiaTheme="minorEastAsia"/>
          <w:lang w:eastAsia="zh-CN"/>
        </w:rPr>
        <w:t>lok saraf glosofaringeal</w:t>
      </w:r>
      <w:r>
        <w:rPr>
          <w:lang w:eastAsia="zh-CN"/>
        </w:rPr>
        <w:t>. Setelah identifikasi proses mastoid dan sudut ipsilateral mandibula dilakukan, proses</w:t>
      </w:r>
      <w:r>
        <w:rPr>
          <w:lang w:val="en-US" w:eastAsia="zh-CN"/>
        </w:rPr>
        <w:t>us</w:t>
      </w:r>
      <w:r>
        <w:rPr>
          <w:lang w:eastAsia="zh-CN"/>
        </w:rPr>
        <w:t xml:space="preserve"> styloid dapat ditemukan berjarak sama antara struktur ini. Benjolan kulit kecil dibuat di atas proses styloid menggunakan pengukur 25, 1,5 inci</w:t>
      </w:r>
      <w:r>
        <w:rPr>
          <w:lang w:val="id-ID" w:eastAsia="zh-CN"/>
        </w:rPr>
        <w:t xml:space="preserve"> </w:t>
      </w:r>
      <w:r>
        <w:rPr>
          <w:lang w:eastAsia="zh-CN"/>
        </w:rPr>
        <w:t xml:space="preserve">jarum suntik </w:t>
      </w:r>
      <w:r>
        <w:rPr>
          <w:lang w:val="id-ID" w:eastAsia="zh-CN"/>
        </w:rPr>
        <w:t xml:space="preserve">dan </w:t>
      </w:r>
      <w:r>
        <w:rPr>
          <w:lang w:eastAsia="zh-CN"/>
        </w:rPr>
        <w:t>3-4 mL lidokain polos 1%. Selanjutnya, jarum 22-gauge, 1,5-2 dengan ujung tumpul dapat dimajukan tegak lurus ke kulit menuju proses</w:t>
      </w:r>
      <w:r>
        <w:rPr>
          <w:lang w:val="en-US" w:eastAsia="zh-CN"/>
        </w:rPr>
        <w:t>us</w:t>
      </w:r>
      <w:r>
        <w:rPr>
          <w:lang w:eastAsia="zh-CN"/>
        </w:rPr>
        <w:t>, bertujuan untuk aspek posteriornya. Proses</w:t>
      </w:r>
      <w:r>
        <w:rPr>
          <w:lang w:val="en-US" w:eastAsia="zh-CN"/>
        </w:rPr>
        <w:t>us</w:t>
      </w:r>
      <w:r>
        <w:rPr>
          <w:lang w:eastAsia="zh-CN"/>
        </w:rPr>
        <w:t xml:space="preserve"> styloid harus dipenuhi pada kedalaman kira-kira 1,5-4 cm. Setelah proses</w:t>
      </w:r>
      <w:r>
        <w:rPr>
          <w:lang w:val="en-US" w:eastAsia="zh-CN"/>
        </w:rPr>
        <w:t>us</w:t>
      </w:r>
      <w:r>
        <w:rPr>
          <w:lang w:eastAsia="zh-CN"/>
        </w:rPr>
        <w:t xml:space="preserve"> styloid ditemui, jarum sedikit ditarik dan ''berjalan'' posterior. </w:t>
      </w:r>
      <w:r>
        <w:t xml:space="preserve">Aspirasi harus dilakukan untuk memastikan tidak ada darah atau cairan serebrospinal. Selanjutnya, 1 mL media kontras beryodium yang larut dalam air harus disuntikkan secara bertahap di bawah fluoroskopi terus menerus. </w:t>
      </w:r>
      <w:r>
        <w:rPr>
          <w:lang w:eastAsia="zh-CN"/>
        </w:rPr>
        <w:t>Karena fluoroskopi langsung diperlukan, kami menghindari metode ini.</w:t>
      </w:r>
      <w:r>
        <w:fldChar w:fldCharType="begin" w:fldLock="1"/>
      </w:r>
      <w:r>
        <w:rPr>
          <w:lang w:eastAsia="zh-CN"/>
        </w:rPr>
        <w:instrText>ADDIN CSL_CITATION {"citationItems":[{"id":"ITEM-1","itemData":{"DOI":"10.1007/s12070-018-1323-6","ISBN":"1207001813236","ISSN":"09737707","abstract":"We evaluated the benefit of glossopharyngeal nerve block with long acting local anaesthetic like bupivacaine. It was a randomized prospective study. Sixty-four patients were selected and divided into two groups. Group A received bilateral nerve block and Group B received no block. Pain score using Visual Analog Scale (0–100 mm) was assessed at 30 min, 2, 6 and 12 h. In the immediate post operative period pain scores of Group A at rest and swallowing was significantly lower than Group B (p &lt; 0.001 and p &lt; 0.01). Glossopharyngeal nerve block is an important method of reducing post-tonsillectomy pain.","author":[{"dropping-particle":"","family":"Debasish","given":"Ghosh","non-dropping-particle":"","parse-names":false,"suffix":""},{"dropping-particle":"","family":"Anindita","given":"Sengupta","non-dropping-particle":"","parse-names":false,"suffix":""},{"dropping-particle":"","family":"Aryabrata","given":"Dubey","non-dropping-particle":"","parse-names":false,"suffix":""},{"dropping-particle":"","family":"Arunabha","given":"Sengupta","non-dropping-particle":"","parse-names":false,"suffix":""}],"container-title":"Indian Journal of Otolaryngology and Head and Neck Surgery","id":"ITEM-1","issue":"s1","issued":{"date-parts":[["2019"]]},"page":"390-394","publisher":"Springer India","title":"Glossopharyngeal Nerve Block with Long Acting Local Anaesthetic Agent (Bupivacaine) and It’s Effect on Early Post-operative Period in Adult Tonsillectomy: A Prospective Study","type":"article-journal","volume":"71"},"uris":["http://www.mendeley.com/documents/?uuid=c5917f19-1745-44fa-9987-41a724d58ca7"]}],"mendeley":{"formattedCitation":"&lt;sup&gt;32&lt;/sup&gt;","plainTextFormattedCitation":"32","previouslyFormattedCitation":"&lt;sup&gt;32&lt;/sup&gt;"},"properties":{"noteIndex":0},"schema":"https://github.com/citation-style-language/schema/raw/master/csl-citation.json"}</w:instrText>
      </w:r>
      <w:r>
        <w:fldChar w:fldCharType="separate"/>
      </w:r>
      <w:r>
        <w:rPr>
          <w:noProof/>
          <w:vertAlign w:val="superscript"/>
          <w:lang w:eastAsia="zh-CN"/>
        </w:rPr>
        <w:t>32</w:t>
      </w:r>
      <w:r>
        <w:fldChar w:fldCharType="end"/>
      </w:r>
    </w:p>
    <w:p w14:paraId="34DEB979" w14:textId="77777777" w:rsidR="003B79BC" w:rsidRDefault="00000000">
      <w:pPr>
        <w:spacing w:line="360" w:lineRule="auto"/>
        <w:ind w:firstLine="709"/>
        <w:jc w:val="both"/>
        <w:rPr>
          <w:rFonts w:eastAsiaTheme="minorEastAsia"/>
          <w:lang w:eastAsia="zh-CN"/>
        </w:rPr>
      </w:pPr>
      <w:r>
        <w:rPr>
          <w:lang w:val="en-US" w:eastAsia="zh-CN"/>
        </w:rPr>
        <w:t>Blok PTP</w:t>
      </w:r>
      <w:r>
        <w:rPr>
          <w:lang w:val="id-ID" w:eastAsia="zh-CN"/>
        </w:rPr>
        <w:t xml:space="preserve"> yaitu p</w:t>
      </w:r>
      <w:r>
        <w:rPr>
          <w:lang w:eastAsia="zh-CN"/>
        </w:rPr>
        <w:t>asien diminta membuka mulut lebar-lebar. Lidah ditekan ke bawah dengan bilah laringoskop atau dengan bilah lidah seperti dijelaskan di atas. Sebuah 22-gauge, 3,5-in</w:t>
      </w:r>
      <w:r>
        <w:rPr>
          <w:lang w:val="id-ID" w:eastAsia="zh-CN"/>
        </w:rPr>
        <w:t>ci</w:t>
      </w:r>
      <w:r>
        <w:rPr>
          <w:lang w:eastAsia="zh-CN"/>
        </w:rPr>
        <w:t xml:space="preserve"> jarum tulang belakang bengkok 1 cm dari ujung distal diarahkan lateral ke submukosa sepanjang aspek kaudal dari </w:t>
      </w:r>
      <w:r>
        <w:rPr>
          <w:i/>
          <w:iCs/>
          <w:lang w:eastAsia="zh-CN"/>
        </w:rPr>
        <w:t>palatopharyngeal fold</w:t>
      </w:r>
      <w:r>
        <w:rPr>
          <w:lang w:eastAsia="zh-CN"/>
        </w:rPr>
        <w:t xml:space="preserve">. Setelah aspirasi hati-hati untuk darah dan cairan serebrospinal, 2 mL anestesi lokal dan/atau steroid disuntikkan. Metode </w:t>
      </w:r>
      <w:r>
        <w:rPr>
          <w:i/>
          <w:iCs/>
          <w:lang w:eastAsia="zh-CN"/>
        </w:rPr>
        <w:t>palatopharyngeal fold</w:t>
      </w:r>
      <w:r>
        <w:rPr>
          <w:lang w:eastAsia="zh-CN"/>
        </w:rPr>
        <w:t xml:space="preserve"> menjadi lebih sulit pada pasien dengan lidah besar atau lubang mulut kecil dan dapat menyebabkan refleks muntah yang lebih besar.</w:t>
      </w:r>
      <w:r>
        <w:fldChar w:fldCharType="begin" w:fldLock="1"/>
      </w:r>
      <w:r>
        <w:rPr>
          <w:lang w:eastAsia="zh-CN"/>
        </w:rPr>
        <w:instrText>ADDIN CSL_CITATION {"citationItems":[{"id":"ITEM-1","itemData":{"DOI":"10.1007/s12070-018-1323-6","ISBN":"1207001813236","ISSN":"09737707","abstract":"We evaluated the benefit of glossopharyngeal nerve block with long acting local anaesthetic like bupivacaine. It was a randomized prospective study. Sixty-four patients were selected and divided into two groups. Group A received bilateral nerve block and Group B received no block. Pain score using Visual Analog Scale (0–100 mm) was assessed at 30 min, 2, 6 and 12 h. In the immediate post operative period pain scores of Group A at rest and swallowing was significantly lower than Group B (p &lt; 0.001 and p &lt; 0.01). Glossopharyngeal nerve block is an important method of reducing post-tonsillectomy pain.","author":[{"dropping-particle":"","family":"Debasish","given":"Ghosh","non-dropping-particle":"","parse-names":false,"suffix":""},{"dropping-parti</w:instrText>
      </w:r>
      <w:r>
        <w:instrText>cle":"","family":"Anindita","given":"Sengupta","non-dropping-particle":"","parse-names":false,"suffix":""},{"dropping-particle":"","family":"Aryabrata","given":"Dubey","non-dropping-particle":"","parse-names":false,"suffix":""},{"dropping-particle":"","family":"Arunabha","given":"Sengupta","non-dropping-particle":"","parse-names":false,"suffix":""}],"container-title":"Indian Journal of Otolaryngology and Head and Neck Surgery","id":"ITEM-1","issue":"s1","issued":{"date-parts":[["2019"]]},"page":"390-394","publisher":"Springer India","title":"Glossopharyngeal Nerve Block with Long Acting Local Anaesthetic Agent (Bupivacaine) and It’s Effect on Early Post-operative Period in Adult Tonsillectomy: A Prospective Study","type":"article-journal","volume":"71"},"uris":["http://www.mendeley.com/documents/?uuid=c5917f19-1745-44fa-9987-41a724d58ca7"]}],"mendeley":{"formattedCitation":"&lt;sup&gt;32&lt;/sup&gt;","plainTextFormattedCitation":"32","previouslyFormattedCitation":"&lt;sup&gt;32&lt;/sup&gt;"},"properties":{"noteIndex":0},"schema":"https://github.com/citation-style-language/schema/raw/master/csl-citation.json"}</w:instrText>
      </w:r>
      <w:r>
        <w:fldChar w:fldCharType="separate"/>
      </w:r>
      <w:r>
        <w:rPr>
          <w:noProof/>
          <w:vertAlign w:val="superscript"/>
        </w:rPr>
        <w:t>32</w:t>
      </w:r>
      <w:r>
        <w:fldChar w:fldCharType="end"/>
      </w:r>
    </w:p>
    <w:p w14:paraId="5F7E3331" w14:textId="77777777" w:rsidR="003B79BC" w:rsidRDefault="003B79BC">
      <w:pPr>
        <w:spacing w:line="360" w:lineRule="auto"/>
        <w:ind w:firstLine="709"/>
        <w:jc w:val="both"/>
        <w:rPr>
          <w:lang w:val="id-ID"/>
        </w:rPr>
      </w:pPr>
    </w:p>
    <w:p w14:paraId="077ECFA6" w14:textId="77777777" w:rsidR="003B79BC" w:rsidRDefault="00000000">
      <w:pPr>
        <w:pStyle w:val="Heading3"/>
        <w:rPr>
          <w:lang w:eastAsia="zh-CN"/>
        </w:rPr>
      </w:pPr>
      <w:bookmarkStart w:id="24" w:name="_Toc158290239"/>
      <w:r>
        <w:rPr>
          <w:lang w:val="id-ID"/>
        </w:rPr>
        <w:t>2.2.</w:t>
      </w:r>
      <w:r w:rsidRPr="00F426C1">
        <w:rPr>
          <w:lang w:val="pt-BR"/>
        </w:rPr>
        <w:t>5</w:t>
      </w:r>
      <w:r>
        <w:rPr>
          <w:lang w:val="id-ID"/>
        </w:rPr>
        <w:tab/>
      </w:r>
      <w:r>
        <w:rPr>
          <w:rStyle w:val="Heading3Char"/>
          <w:b/>
          <w:lang w:val="id-ID"/>
        </w:rPr>
        <w:t>Komplikasi</w:t>
      </w:r>
      <w:r>
        <w:rPr>
          <w:rStyle w:val="Heading3Char"/>
          <w:b/>
        </w:rPr>
        <w:t xml:space="preserve"> Tonsilektomi</w:t>
      </w:r>
      <w:bookmarkEnd w:id="24"/>
    </w:p>
    <w:p w14:paraId="26F0B58C" w14:textId="77777777" w:rsidR="003B79BC" w:rsidRDefault="00000000">
      <w:pPr>
        <w:spacing w:line="360" w:lineRule="auto"/>
        <w:ind w:firstLine="709"/>
        <w:jc w:val="both"/>
        <w:rPr>
          <w:rFonts w:eastAsiaTheme="minorEastAsia"/>
          <w:lang w:val="id-ID" w:eastAsia="zh-CN"/>
        </w:rPr>
      </w:pPr>
      <w:r>
        <w:rPr>
          <w:rFonts w:eastAsiaTheme="minorEastAsia"/>
          <w:lang w:val="id-ID" w:eastAsia="zh-CN"/>
        </w:rPr>
        <w:t>Morbiditas utama setelah tonsilektomi adalah nyeri dan perdarahan lanjut. Perdarahan post tonsilektomi dapat terjadi sampai seluruh luka sembuh total, yang biasanya terjadi setelah tiga minggu. Perdarahan yang mengancam jiwa sering terjadi setelah perdarahan yang lebih kecil, yang dapat berhenti secara spontan sehingga setiap perdarahan, bahkan yang terkecil sekalipun, harus ditangani dengan baik dan di bangsal. Pasien dan orang tua harus diberitahu tentang perilaku yang benar dalam kasus perdarahan dengan persetujuan tertulis sebelum bedah.</w:t>
      </w:r>
      <w:r>
        <w:rPr>
          <w:rFonts w:eastAsiaTheme="minorEastAsia"/>
          <w:lang w:val="id-ID" w:eastAsia="zh-CN"/>
        </w:rPr>
        <w:fldChar w:fldCharType="begin" w:fldLock="1"/>
      </w:r>
      <w:r>
        <w:rPr>
          <w:rFonts w:eastAsiaTheme="minorEastAsia"/>
          <w:lang w:val="id-ID" w:eastAsia="zh-CN"/>
        </w:rPr>
        <w:instrText>ADDIN CSL_CITATION {"citationItems":[{"id":"ITEM-1","itemData":{"DOI":"10.3205/cto000110","ISSN":"1865-1011","PMID":"25587367","abstract":"Surgery of the tonsils is still one of the most frequent procedures during childhood. Due to a series of fatal outcomes after hemorrhage in children in Austria in 2006, the standards and indications for tonsillectomy have slowly changed in Germany. However, no national guidelines exist and the frequency of tonsil surgery varies across the country. In some districts eight times more children were tonsillectomized than in others. A tonsillectomy in children under six years should only be done if the child suffers from recurrent acute bacterially tonsillitis. In all other cases (i.e. hyperplasia of the tonsils) the low risk partial tonsillectomy should be the first line therapy. Postoperative pain and the risk of hemorrhage are much lower in partial tonsillectomy (=tonsillotomy). No matter whether the tonsillotomy is done by laser, radiofrequency, shaver, coblation, bipolar scissor or Colorado needle, as long as the crypts are kept open and some tonsil tissue is left behind. Total extracapsular tonsillectomy is still indicated in severely affected children with recurrent infections of the tonsils, allergy to antibiotics, PFAPA syndrome (periodic fever, aphthous stomatitis, pharyngitis, and cervical adenitis) and peritonsillar abscess. With regard to the frequency and seriousness of the recurrent tonsillitis the indication for tonsillectomy in children is justified if 7 or more well-documented, clinically important, adequately treated episodes of throat infection occur in the preceding year, or 5 or more of such episodes occur in each of the 2 preceding years (according to the paradise criteria). Diagnosis of acute tonsillitis is clinical, but sometimes it is hard to distinguish viral from bacterial infections. Rapid antigen testing has a very low sensitivity in the diagnosis of bacterial tonsillitis and swabs are highly sensitive but take a long time. In all microbiological tests the treating physician has to keep in mind, that most of the bacterials, viruses and fungi belong to the healthy flora and do no harm. Ten percent of healthy children even bear strepptococcus pyogenes all the time in the tonsils with no clinical signs. In these children decolonization is not necessary. Therefore, microbiological screening tests in children without symptoms are senseless and do not justify an antibiotic treatment (which is sometimes postulated by the kindergartens). The acute tonsillitis should be treated with steroids (e.g. dexamethasone), NSAIDs (e.g. ibuprofene)…","author":[{"dropping-particle":"","family":"Stelter","given":"Klaus","non-dropping-particle":"","parse-names":false,"suffix":""}],"container-title":"GMS current topics in otorhinolaryngology, head and neck surgery","id":"ITEM-1","issued":{"date-parts":[["2014"]]},"page":"Doc07","title":"Tonsillitis and sore throat in children.","type":"article-journal","volume":"13"},"uris":["http://www.mendeley.com/documents/?uuid=d43ea15f-9ad3-4cb0-b17c-1f7cdaf903eb"]}],"mendeley":{"formattedCitation":"&lt;sup&gt;30&lt;/sup&gt;","plainTextFormattedCitation":"30","previouslyFormattedCitation":"&lt;sup&gt;30&lt;/sup&gt;"},"properties":{"noteIndex":0},"schema":"https://github.com/citation-style-language/schema/raw/master/csl-citation.json"}</w:instrText>
      </w:r>
      <w:r>
        <w:rPr>
          <w:rFonts w:eastAsiaTheme="minorEastAsia"/>
          <w:lang w:val="id-ID" w:eastAsia="zh-CN"/>
        </w:rPr>
        <w:fldChar w:fldCharType="separate"/>
      </w:r>
      <w:r>
        <w:rPr>
          <w:rFonts w:eastAsiaTheme="minorEastAsia"/>
          <w:noProof/>
          <w:vertAlign w:val="superscript"/>
          <w:lang w:val="id-ID" w:eastAsia="zh-CN"/>
        </w:rPr>
        <w:t>30</w:t>
      </w:r>
      <w:r>
        <w:rPr>
          <w:rFonts w:eastAsiaTheme="minorEastAsia"/>
          <w:lang w:val="id-ID" w:eastAsia="zh-CN"/>
        </w:rPr>
        <w:fldChar w:fldCharType="end"/>
      </w:r>
    </w:p>
    <w:p w14:paraId="7B719612" w14:textId="77777777" w:rsidR="003B79BC" w:rsidRDefault="003B79BC">
      <w:pPr>
        <w:spacing w:line="360" w:lineRule="auto"/>
        <w:ind w:firstLine="709"/>
        <w:jc w:val="both"/>
        <w:rPr>
          <w:rFonts w:eastAsiaTheme="minorEastAsia"/>
          <w:lang w:val="id-ID" w:eastAsia="zh-CN"/>
        </w:rPr>
      </w:pPr>
    </w:p>
    <w:p w14:paraId="4F97250D" w14:textId="77777777" w:rsidR="003B79BC" w:rsidRDefault="00000000">
      <w:pPr>
        <w:pStyle w:val="Heading3"/>
        <w:rPr>
          <w:lang w:eastAsia="zh-CN"/>
        </w:rPr>
      </w:pPr>
      <w:bookmarkStart w:id="25" w:name="_Toc158290240"/>
      <w:r>
        <w:rPr>
          <w:lang w:val="id-ID"/>
        </w:rPr>
        <w:lastRenderedPageBreak/>
        <w:t>2.2.</w:t>
      </w:r>
      <w:r w:rsidRPr="00F426C1">
        <w:rPr>
          <w:lang w:val="id-ID"/>
        </w:rPr>
        <w:t>6</w:t>
      </w:r>
      <w:r>
        <w:rPr>
          <w:lang w:val="id-ID"/>
        </w:rPr>
        <w:tab/>
      </w:r>
      <w:r>
        <w:rPr>
          <w:rStyle w:val="Heading3Char"/>
          <w:b/>
          <w:lang w:val="id-ID"/>
        </w:rPr>
        <w:t xml:space="preserve">Manajemen Anestesi </w:t>
      </w:r>
      <w:r w:rsidRPr="00F426C1">
        <w:rPr>
          <w:rStyle w:val="Heading3Char"/>
          <w:b/>
          <w:lang w:val="id-ID"/>
        </w:rPr>
        <w:t>p</w:t>
      </w:r>
      <w:r>
        <w:rPr>
          <w:rStyle w:val="Heading3Char"/>
          <w:b/>
          <w:lang w:val="id-ID"/>
        </w:rPr>
        <w:t>ada</w:t>
      </w:r>
      <w:r>
        <w:rPr>
          <w:rStyle w:val="Heading3Char"/>
          <w:b/>
        </w:rPr>
        <w:t xml:space="preserve"> Tonsilektomi</w:t>
      </w:r>
      <w:bookmarkEnd w:id="25"/>
    </w:p>
    <w:p w14:paraId="74754EF1" w14:textId="77777777" w:rsidR="003B79BC" w:rsidRDefault="00000000">
      <w:pPr>
        <w:spacing w:line="360" w:lineRule="auto"/>
        <w:ind w:firstLine="709"/>
        <w:jc w:val="both"/>
        <w:rPr>
          <w:rFonts w:eastAsiaTheme="minorEastAsia"/>
          <w:lang w:eastAsia="zh-CN"/>
        </w:rPr>
      </w:pPr>
      <w:r w:rsidRPr="00F426C1">
        <w:rPr>
          <w:lang w:val="id-ID"/>
        </w:rPr>
        <w:t xml:space="preserve">Anestesi untuk adenotonsilektomi merupakan tantangan bagi ahli anestesi. Tindakan anestesi yang aman sangat penting untuk menghindari komplikasi dan kecemasan terkait pasien serta orang tua. </w:t>
      </w:r>
      <w:r>
        <w:rPr>
          <w:lang w:val="id-ID"/>
        </w:rPr>
        <w:t>Perlu adanya k</w:t>
      </w:r>
      <w:r w:rsidRPr="00F426C1">
        <w:rPr>
          <w:lang w:val="id-ID"/>
        </w:rPr>
        <w:t xml:space="preserve">omunikasi yang baik antara ahli bedah, ahli anestesi dan </w:t>
      </w:r>
      <w:r>
        <w:rPr>
          <w:lang w:val="id-ID"/>
        </w:rPr>
        <w:t>pasien</w:t>
      </w:r>
      <w:r w:rsidRPr="00F426C1">
        <w:rPr>
          <w:lang w:val="id-ID"/>
        </w:rPr>
        <w:t xml:space="preserve"> </w:t>
      </w:r>
      <w:r>
        <w:rPr>
          <w:lang w:val="id-ID"/>
        </w:rPr>
        <w:t xml:space="preserve">agar diperoleh </w:t>
      </w:r>
      <w:r w:rsidRPr="00F426C1">
        <w:rPr>
          <w:lang w:val="id-ID"/>
        </w:rPr>
        <w:t>hasil yang sukses. Tujuannya adalah persiapan pasien yang memadai dengan premedikasi, menyediakan akses bedah yang baik sambil berbagi jalan napas, mengoptimalkan analgesia perioperatif, mencegah mual dan muntah pascabedah, manajemen dan pencegahan jalan napas perioperatif dan manajemen perdarahan pascabedah yang tepat waktu dan komplikasi</w:t>
      </w:r>
      <w:r>
        <w:rPr>
          <w:lang w:val="id-ID"/>
        </w:rPr>
        <w:t xml:space="preserve"> </w:t>
      </w:r>
      <w:r w:rsidRPr="00F426C1">
        <w:rPr>
          <w:lang w:val="id-ID"/>
        </w:rPr>
        <w:t>lainnya.</w:t>
      </w:r>
      <w:r>
        <w:rPr>
          <w:lang w:val="en-US"/>
        </w:rPr>
        <w:fldChar w:fldCharType="begin" w:fldLock="1"/>
      </w:r>
      <w:r w:rsidRPr="00F426C1">
        <w:rPr>
          <w:lang w:val="id-ID"/>
        </w:rPr>
        <w:instrText>ADDIN CSL_CITATION {"citationItems":[{"id":"ITEM-1","itemData":{"DOI":"10.4103/0019-5049.199855","ISSN":"00195049","abstract":"Adenotonsillectomy remains one of the most common surgical procedures carried out in children. Though a commonly performed procedure, it poses a great challenge to the surgeon as well as the anaesthesiologist and is associated with a substantially increased risk of morbidity and mortality. In the post‑operative period, it poses threats such as post‑tonsillectomy bleeding and airway obstruction if not diagnosed and treated promptly. Various recent advances in airway management and early detection of post‑operative complications have been made to reduce the sequelae associated with tonsillectomy. In this article, we have reviewed the various techniques, complications and recent advan</w:instrText>
      </w:r>
      <w:r w:rsidRPr="00374F09">
        <w:rPr>
          <w:lang w:val="id-ID"/>
        </w:rPr>
        <w:instrText>ces, which have evolved in the anaesthetic technique related to adenotonsillectomy.","author":[{"dropping-particle":"","family":"Bangera","given":"Anand","non-dropping-particle":"","parse-names":false,"suffix":""}],"container-title":"Indian Journal of Anaesthesia","id":"ITEM-1","issue":"2","issued":{"date-parts":[["2017"]]},"page":"103-109","title":"Anaesthesia for adenotonsillectomy: An update","type":"article-journal","volume":"61"},"uris":["http://www.mendeley.com/documents/?uuid=37ad9c9e-419b-44ca-b414-7a3a5c0ae36f"]}],"mendeley":{"formattedCitation":"&lt;sup&gt;8&lt;/sup&gt;","plainTextFormattedCitation":"8","previouslyFormattedCitation":"&lt;sup&gt;8&lt;/sup&gt;"},"properties":{"noteIndex":0},"schema":"https://github.com/citation-style-language/schema/raw/master/csl-citation.json"}</w:instrText>
      </w:r>
      <w:r>
        <w:rPr>
          <w:lang w:val="en-US"/>
        </w:rPr>
        <w:fldChar w:fldCharType="separate"/>
      </w:r>
      <w:r>
        <w:rPr>
          <w:noProof/>
          <w:vertAlign w:val="superscript"/>
          <w:lang w:val="en-US"/>
        </w:rPr>
        <w:t>8</w:t>
      </w:r>
      <w:r>
        <w:rPr>
          <w:lang w:val="en-US"/>
        </w:rPr>
        <w:fldChar w:fldCharType="end"/>
      </w:r>
    </w:p>
    <w:p w14:paraId="536270FB" w14:textId="77777777" w:rsidR="003B79BC" w:rsidRDefault="00000000">
      <w:pPr>
        <w:spacing w:line="360" w:lineRule="auto"/>
        <w:ind w:firstLine="709"/>
        <w:jc w:val="both"/>
        <w:rPr>
          <w:color w:val="000000"/>
          <w:lang w:val="en-US"/>
        </w:rPr>
      </w:pPr>
      <w:proofErr w:type="spellStart"/>
      <w:r>
        <w:rPr>
          <w:color w:val="000000"/>
          <w:lang w:val="en-US" w:eastAsia="zh-CN"/>
        </w:rPr>
        <w:t>Pemantauan</w:t>
      </w:r>
      <w:proofErr w:type="spellEnd"/>
      <w:r>
        <w:rPr>
          <w:color w:val="000000"/>
          <w:lang w:val="en-US" w:eastAsia="zh-CN"/>
        </w:rPr>
        <w:t xml:space="preserve"> </w:t>
      </w:r>
      <w:proofErr w:type="spellStart"/>
      <w:r>
        <w:rPr>
          <w:color w:val="000000"/>
          <w:lang w:val="en-US" w:eastAsia="zh-CN"/>
        </w:rPr>
        <w:t>standar</w:t>
      </w:r>
      <w:proofErr w:type="spellEnd"/>
      <w:r>
        <w:rPr>
          <w:color w:val="000000"/>
          <w:lang w:val="en-US" w:eastAsia="zh-CN"/>
        </w:rPr>
        <w:t xml:space="preserve"> </w:t>
      </w:r>
      <w:proofErr w:type="spellStart"/>
      <w:r>
        <w:rPr>
          <w:color w:val="000000"/>
          <w:lang w:val="en-US" w:eastAsia="zh-CN"/>
        </w:rPr>
        <w:t>meliputi</w:t>
      </w:r>
      <w:proofErr w:type="spellEnd"/>
      <w:r>
        <w:rPr>
          <w:color w:val="000000"/>
          <w:lang w:val="en-US" w:eastAsia="zh-CN"/>
        </w:rPr>
        <w:t xml:space="preserve"> </w:t>
      </w:r>
      <w:proofErr w:type="spellStart"/>
      <w:r>
        <w:rPr>
          <w:color w:val="000000"/>
          <w:lang w:val="en-US" w:eastAsia="zh-CN"/>
        </w:rPr>
        <w:t>stetoskop</w:t>
      </w:r>
      <w:proofErr w:type="spellEnd"/>
      <w:r>
        <w:rPr>
          <w:color w:val="000000"/>
          <w:lang w:val="en-US" w:eastAsia="zh-CN"/>
        </w:rPr>
        <w:t xml:space="preserve"> dada, </w:t>
      </w:r>
      <w:proofErr w:type="spellStart"/>
      <w:r>
        <w:rPr>
          <w:color w:val="000000"/>
          <w:lang w:val="en-US" w:eastAsia="zh-CN"/>
        </w:rPr>
        <w:t>oksimeter</w:t>
      </w:r>
      <w:proofErr w:type="spellEnd"/>
      <w:r>
        <w:rPr>
          <w:color w:val="000000"/>
          <w:lang w:val="en-US" w:eastAsia="zh-CN"/>
        </w:rPr>
        <w:t xml:space="preserve"> </w:t>
      </w:r>
      <w:proofErr w:type="spellStart"/>
      <w:r>
        <w:rPr>
          <w:color w:val="000000"/>
          <w:lang w:val="en-US" w:eastAsia="zh-CN"/>
        </w:rPr>
        <w:t>denyut</w:t>
      </w:r>
      <w:proofErr w:type="spellEnd"/>
      <w:r>
        <w:rPr>
          <w:color w:val="000000"/>
          <w:lang w:val="en-US" w:eastAsia="zh-CN"/>
        </w:rPr>
        <w:t xml:space="preserve">, </w:t>
      </w:r>
      <w:proofErr w:type="spellStart"/>
      <w:r>
        <w:rPr>
          <w:color w:val="000000"/>
          <w:lang w:val="en-US" w:eastAsia="zh-CN"/>
        </w:rPr>
        <w:t>elektrokardiogram</w:t>
      </w:r>
      <w:proofErr w:type="spellEnd"/>
      <w:r>
        <w:rPr>
          <w:color w:val="000000"/>
          <w:lang w:val="en-US" w:eastAsia="zh-CN"/>
        </w:rPr>
        <w:t xml:space="preserve">, </w:t>
      </w:r>
      <w:proofErr w:type="spellStart"/>
      <w:r>
        <w:rPr>
          <w:color w:val="000000"/>
          <w:lang w:val="en-US" w:eastAsia="zh-CN"/>
        </w:rPr>
        <w:t>kapnografi</w:t>
      </w:r>
      <w:proofErr w:type="spellEnd"/>
      <w:r>
        <w:rPr>
          <w:color w:val="000000"/>
          <w:lang w:val="en-US" w:eastAsia="zh-CN"/>
        </w:rPr>
        <w:t xml:space="preserve"> pasang </w:t>
      </w:r>
      <w:proofErr w:type="spellStart"/>
      <w:r>
        <w:rPr>
          <w:color w:val="000000"/>
          <w:lang w:val="en-US" w:eastAsia="zh-CN"/>
        </w:rPr>
        <w:t>surut</w:t>
      </w:r>
      <w:proofErr w:type="spellEnd"/>
      <w:r>
        <w:rPr>
          <w:color w:val="000000"/>
          <w:lang w:val="en-US" w:eastAsia="zh-CN"/>
        </w:rPr>
        <w:t xml:space="preserve"> </w:t>
      </w:r>
      <w:proofErr w:type="spellStart"/>
      <w:r>
        <w:rPr>
          <w:color w:val="000000"/>
          <w:lang w:val="en-US" w:eastAsia="zh-CN"/>
        </w:rPr>
        <w:t>akhir</w:t>
      </w:r>
      <w:proofErr w:type="spellEnd"/>
      <w:r>
        <w:rPr>
          <w:color w:val="000000"/>
          <w:lang w:val="en-US" w:eastAsia="zh-CN"/>
        </w:rPr>
        <w:t xml:space="preserve">, </w:t>
      </w:r>
      <w:proofErr w:type="spellStart"/>
      <w:r>
        <w:rPr>
          <w:color w:val="000000"/>
          <w:lang w:val="en-US" w:eastAsia="zh-CN"/>
        </w:rPr>
        <w:t>pemantauan</w:t>
      </w:r>
      <w:proofErr w:type="spellEnd"/>
      <w:r>
        <w:rPr>
          <w:color w:val="000000"/>
          <w:lang w:val="en-US" w:eastAsia="zh-CN"/>
        </w:rPr>
        <w:t xml:space="preserve"> </w:t>
      </w:r>
      <w:proofErr w:type="spellStart"/>
      <w:r>
        <w:rPr>
          <w:color w:val="000000"/>
          <w:lang w:val="en-US" w:eastAsia="zh-CN"/>
        </w:rPr>
        <w:t>tekanan</w:t>
      </w:r>
      <w:proofErr w:type="spellEnd"/>
      <w:r>
        <w:rPr>
          <w:color w:val="000000"/>
          <w:lang w:val="en-US" w:eastAsia="zh-CN"/>
        </w:rPr>
        <w:t xml:space="preserve"> darah dan </w:t>
      </w:r>
      <w:proofErr w:type="spellStart"/>
      <w:r>
        <w:rPr>
          <w:color w:val="000000"/>
          <w:lang w:val="en-US" w:eastAsia="zh-CN"/>
        </w:rPr>
        <w:t>suhu</w:t>
      </w:r>
      <w:proofErr w:type="spellEnd"/>
      <w:r>
        <w:rPr>
          <w:color w:val="000000"/>
          <w:lang w:val="en-US" w:eastAsia="zh-CN"/>
        </w:rPr>
        <w:t xml:space="preserve"> </w:t>
      </w:r>
      <w:proofErr w:type="spellStart"/>
      <w:r>
        <w:rPr>
          <w:color w:val="000000"/>
          <w:lang w:val="en-US" w:eastAsia="zh-CN"/>
        </w:rPr>
        <w:t>otomatis</w:t>
      </w:r>
      <w:proofErr w:type="spellEnd"/>
      <w:r>
        <w:rPr>
          <w:color w:val="000000"/>
          <w:lang w:val="en-US" w:eastAsia="zh-CN"/>
        </w:rPr>
        <w:t xml:space="preserve">. </w:t>
      </w:r>
      <w:r>
        <w:rPr>
          <w:color w:val="000000"/>
          <w:lang w:val="en-US"/>
        </w:rPr>
        <w:t xml:space="preserve">Ketika tonsil </w:t>
      </w:r>
      <w:proofErr w:type="spellStart"/>
      <w:r>
        <w:rPr>
          <w:color w:val="000000"/>
          <w:lang w:val="en-US"/>
        </w:rPr>
        <w:t>mengalami</w:t>
      </w:r>
      <w:proofErr w:type="spellEnd"/>
      <w:r>
        <w:rPr>
          <w:color w:val="000000"/>
          <w:lang w:val="en-US"/>
        </w:rPr>
        <w:t xml:space="preserve"> </w:t>
      </w:r>
      <w:proofErr w:type="spellStart"/>
      <w:r>
        <w:rPr>
          <w:color w:val="000000"/>
          <w:lang w:val="en-US"/>
        </w:rPr>
        <w:t>hipertrofi</w:t>
      </w:r>
      <w:proofErr w:type="spellEnd"/>
      <w:r>
        <w:rPr>
          <w:color w:val="000000"/>
          <w:lang w:val="en-US"/>
        </w:rPr>
        <w:t xml:space="preserve"> </w:t>
      </w:r>
      <w:proofErr w:type="spellStart"/>
      <w:r>
        <w:rPr>
          <w:color w:val="000000"/>
          <w:lang w:val="en-US"/>
        </w:rPr>
        <w:t>berlebihan</w:t>
      </w:r>
      <w:proofErr w:type="spellEnd"/>
      <w:r>
        <w:rPr>
          <w:color w:val="000000"/>
          <w:lang w:val="en-US"/>
        </w:rPr>
        <w:t xml:space="preserve">, </w:t>
      </w:r>
      <w:proofErr w:type="spellStart"/>
      <w:r>
        <w:rPr>
          <w:color w:val="000000"/>
          <w:lang w:val="en-US"/>
        </w:rPr>
        <w:t>sedasi</w:t>
      </w:r>
      <w:proofErr w:type="spellEnd"/>
      <w:r>
        <w:rPr>
          <w:color w:val="000000"/>
          <w:lang w:val="en-US"/>
        </w:rPr>
        <w:t xml:space="preserve"> </w:t>
      </w:r>
      <w:proofErr w:type="spellStart"/>
      <w:r>
        <w:rPr>
          <w:color w:val="000000"/>
          <w:lang w:val="en-US"/>
        </w:rPr>
        <w:t>pra</w:t>
      </w:r>
      <w:proofErr w:type="spellEnd"/>
      <w:r>
        <w:rPr>
          <w:color w:val="000000"/>
          <w:lang w:val="en-US"/>
        </w:rPr>
        <w:t xml:space="preserve"> </w:t>
      </w:r>
      <w:proofErr w:type="spellStart"/>
      <w:r>
        <w:rPr>
          <w:color w:val="000000"/>
          <w:lang w:val="en-US"/>
        </w:rPr>
        <w:t>bedah</w:t>
      </w:r>
      <w:proofErr w:type="spellEnd"/>
      <w:r>
        <w:rPr>
          <w:color w:val="000000"/>
          <w:lang w:val="en-US"/>
        </w:rPr>
        <w:t xml:space="preserve"> yang </w:t>
      </w:r>
      <w:proofErr w:type="spellStart"/>
      <w:r>
        <w:rPr>
          <w:color w:val="000000"/>
          <w:lang w:val="en-US"/>
        </w:rPr>
        <w:t>berat</w:t>
      </w:r>
      <w:proofErr w:type="spellEnd"/>
      <w:r>
        <w:rPr>
          <w:color w:val="000000"/>
          <w:lang w:val="en-US"/>
        </w:rPr>
        <w:t xml:space="preserve"> tidak </w:t>
      </w:r>
      <w:proofErr w:type="spellStart"/>
      <w:r>
        <w:rPr>
          <w:color w:val="000000"/>
          <w:lang w:val="en-US"/>
        </w:rPr>
        <w:t>diperlukan</w:t>
      </w:r>
      <w:proofErr w:type="spellEnd"/>
      <w:r>
        <w:rPr>
          <w:color w:val="000000"/>
          <w:lang w:val="en-US"/>
        </w:rPr>
        <w:t xml:space="preserve">. Premedikasi </w:t>
      </w:r>
      <w:proofErr w:type="spellStart"/>
      <w:r>
        <w:rPr>
          <w:color w:val="000000"/>
          <w:lang w:val="en-US"/>
        </w:rPr>
        <w:t>harus</w:t>
      </w:r>
      <w:proofErr w:type="spellEnd"/>
      <w:r>
        <w:rPr>
          <w:color w:val="000000"/>
          <w:lang w:val="en-US"/>
        </w:rPr>
        <w:t xml:space="preserve"> </w:t>
      </w:r>
      <w:proofErr w:type="spellStart"/>
      <w:r>
        <w:rPr>
          <w:color w:val="000000"/>
          <w:lang w:val="en-US"/>
        </w:rPr>
        <w:t>mencakup</w:t>
      </w:r>
      <w:proofErr w:type="spellEnd"/>
      <w:r>
        <w:rPr>
          <w:color w:val="000000"/>
          <w:lang w:val="en-US"/>
        </w:rPr>
        <w:t xml:space="preserve"> </w:t>
      </w:r>
      <w:proofErr w:type="spellStart"/>
      <w:r>
        <w:rPr>
          <w:color w:val="000000"/>
          <w:lang w:val="en-US"/>
        </w:rPr>
        <w:t>agen</w:t>
      </w:r>
      <w:proofErr w:type="spellEnd"/>
      <w:r>
        <w:rPr>
          <w:color w:val="000000"/>
          <w:lang w:val="en-US"/>
        </w:rPr>
        <w:t xml:space="preserve"> </w:t>
      </w:r>
      <w:proofErr w:type="spellStart"/>
      <w:r>
        <w:rPr>
          <w:color w:val="000000"/>
          <w:lang w:val="en-US"/>
        </w:rPr>
        <w:t>antisialagogue</w:t>
      </w:r>
      <w:proofErr w:type="spellEnd"/>
      <w:r>
        <w:rPr>
          <w:color w:val="000000"/>
          <w:lang w:val="en-US"/>
        </w:rPr>
        <w:t xml:space="preserve">. </w:t>
      </w:r>
      <w:proofErr w:type="spellStart"/>
      <w:r>
        <w:rPr>
          <w:color w:val="000000"/>
          <w:lang w:val="en-US"/>
        </w:rPr>
        <w:t>Seseorang</w:t>
      </w:r>
      <w:proofErr w:type="spellEnd"/>
      <w:r>
        <w:rPr>
          <w:color w:val="000000"/>
          <w:lang w:val="en-US"/>
        </w:rPr>
        <w:t xml:space="preserve"> dapat </w:t>
      </w:r>
      <w:proofErr w:type="spellStart"/>
      <w:r>
        <w:rPr>
          <w:color w:val="000000"/>
          <w:lang w:val="en-US"/>
        </w:rPr>
        <w:t>menggunakan</w:t>
      </w:r>
      <w:proofErr w:type="spellEnd"/>
      <w:r>
        <w:rPr>
          <w:color w:val="000000"/>
          <w:lang w:val="en-US"/>
        </w:rPr>
        <w:t xml:space="preserve"> </w:t>
      </w:r>
      <w:proofErr w:type="spellStart"/>
      <w:r>
        <w:rPr>
          <w:color w:val="000000"/>
          <w:lang w:val="en-US"/>
        </w:rPr>
        <w:t>induksi</w:t>
      </w:r>
      <w:proofErr w:type="spellEnd"/>
      <w:r>
        <w:rPr>
          <w:color w:val="000000"/>
          <w:lang w:val="en-US"/>
        </w:rPr>
        <w:t xml:space="preserve"> </w:t>
      </w:r>
      <w:proofErr w:type="spellStart"/>
      <w:r>
        <w:rPr>
          <w:color w:val="000000"/>
          <w:lang w:val="en-US"/>
        </w:rPr>
        <w:t>inhalasi</w:t>
      </w:r>
      <w:proofErr w:type="spellEnd"/>
      <w:r>
        <w:rPr>
          <w:color w:val="000000"/>
          <w:lang w:val="en-US"/>
        </w:rPr>
        <w:t xml:space="preserve"> atau </w:t>
      </w:r>
      <w:proofErr w:type="spellStart"/>
      <w:r>
        <w:rPr>
          <w:color w:val="000000"/>
          <w:lang w:val="en-US"/>
        </w:rPr>
        <w:t>intravena</w:t>
      </w:r>
      <w:proofErr w:type="spellEnd"/>
      <w:r>
        <w:rPr>
          <w:color w:val="000000"/>
          <w:lang w:val="en-US"/>
        </w:rPr>
        <w:t xml:space="preserve"> </w:t>
      </w:r>
      <w:proofErr w:type="spellStart"/>
      <w:r>
        <w:rPr>
          <w:color w:val="000000"/>
          <w:lang w:val="en-US"/>
        </w:rPr>
        <w:t>tergantung</w:t>
      </w:r>
      <w:proofErr w:type="spellEnd"/>
      <w:r>
        <w:rPr>
          <w:color w:val="000000"/>
          <w:lang w:val="en-US"/>
        </w:rPr>
        <w:t xml:space="preserve"> pada </w:t>
      </w:r>
      <w:proofErr w:type="spellStart"/>
      <w:r>
        <w:rPr>
          <w:color w:val="000000"/>
          <w:lang w:val="en-US"/>
        </w:rPr>
        <w:t>kebutuhan</w:t>
      </w:r>
      <w:proofErr w:type="spellEnd"/>
      <w:r>
        <w:rPr>
          <w:color w:val="000000"/>
          <w:lang w:val="en-US"/>
        </w:rPr>
        <w:t xml:space="preserve"> untuk </w:t>
      </w:r>
      <w:proofErr w:type="spellStart"/>
      <w:r>
        <w:rPr>
          <w:color w:val="000000"/>
          <w:lang w:val="en-US"/>
        </w:rPr>
        <w:t>mengamankan</w:t>
      </w:r>
      <w:proofErr w:type="spellEnd"/>
      <w:r>
        <w:rPr>
          <w:color w:val="000000"/>
          <w:lang w:val="en-US"/>
        </w:rPr>
        <w:t xml:space="preserve"> </w:t>
      </w:r>
      <w:proofErr w:type="spellStart"/>
      <w:r>
        <w:rPr>
          <w:color w:val="000000"/>
          <w:lang w:val="en-US"/>
        </w:rPr>
        <w:t>akses</w:t>
      </w:r>
      <w:proofErr w:type="spellEnd"/>
      <w:r>
        <w:rPr>
          <w:color w:val="000000"/>
          <w:lang w:val="en-US"/>
        </w:rPr>
        <w:t xml:space="preserve"> </w:t>
      </w:r>
      <w:proofErr w:type="spellStart"/>
      <w:r>
        <w:rPr>
          <w:color w:val="000000"/>
          <w:lang w:val="en-US"/>
        </w:rPr>
        <w:t>intravena</w:t>
      </w:r>
      <w:proofErr w:type="spellEnd"/>
      <w:r>
        <w:rPr>
          <w:color w:val="000000"/>
          <w:lang w:val="en-US"/>
        </w:rPr>
        <w:t xml:space="preserve">. </w:t>
      </w:r>
      <w:proofErr w:type="spellStart"/>
      <w:r>
        <w:rPr>
          <w:color w:val="000000"/>
          <w:lang w:val="en-US"/>
        </w:rPr>
        <w:t>Anestesi</w:t>
      </w:r>
      <w:proofErr w:type="spellEnd"/>
      <w:r>
        <w:rPr>
          <w:color w:val="000000"/>
          <w:lang w:val="en-US"/>
        </w:rPr>
        <w:t xml:space="preserve"> dapat </w:t>
      </w:r>
      <w:proofErr w:type="spellStart"/>
      <w:r>
        <w:rPr>
          <w:color w:val="000000"/>
          <w:lang w:val="en-US"/>
        </w:rPr>
        <w:t>diinduksi</w:t>
      </w:r>
      <w:proofErr w:type="spellEnd"/>
      <w:r>
        <w:rPr>
          <w:color w:val="000000"/>
          <w:lang w:val="en-US"/>
        </w:rPr>
        <w:t xml:space="preserve"> dengan propofol (2-3 mg/kg) </w:t>
      </w:r>
      <w:proofErr w:type="spellStart"/>
      <w:r>
        <w:rPr>
          <w:color w:val="000000"/>
          <w:lang w:val="en-US"/>
        </w:rPr>
        <w:t>dicampur</w:t>
      </w:r>
      <w:proofErr w:type="spellEnd"/>
      <w:r>
        <w:rPr>
          <w:color w:val="000000"/>
          <w:lang w:val="en-US"/>
        </w:rPr>
        <w:t xml:space="preserve"> dengan </w:t>
      </w:r>
      <w:proofErr w:type="spellStart"/>
      <w:r>
        <w:rPr>
          <w:color w:val="000000"/>
          <w:lang w:val="en-US"/>
        </w:rPr>
        <w:t>lidokain</w:t>
      </w:r>
      <w:proofErr w:type="spellEnd"/>
      <w:r>
        <w:rPr>
          <w:color w:val="000000"/>
          <w:lang w:val="en-US"/>
        </w:rPr>
        <w:t xml:space="preserve"> (1-2 mg/ml). Agen </w:t>
      </w:r>
      <w:proofErr w:type="spellStart"/>
      <w:r>
        <w:rPr>
          <w:color w:val="000000"/>
          <w:lang w:val="en-US"/>
        </w:rPr>
        <w:t>inhalasi</w:t>
      </w:r>
      <w:proofErr w:type="spellEnd"/>
      <w:r>
        <w:rPr>
          <w:color w:val="000000"/>
          <w:lang w:val="en-US"/>
        </w:rPr>
        <w:t xml:space="preserve"> atau </w:t>
      </w:r>
      <w:proofErr w:type="spellStart"/>
      <w:r>
        <w:rPr>
          <w:color w:val="000000"/>
          <w:lang w:val="en-US"/>
        </w:rPr>
        <w:t>intravena</w:t>
      </w:r>
      <w:proofErr w:type="spellEnd"/>
      <w:r>
        <w:rPr>
          <w:color w:val="000000"/>
          <w:lang w:val="en-US"/>
        </w:rPr>
        <w:t xml:space="preserve"> dapat </w:t>
      </w:r>
      <w:proofErr w:type="spellStart"/>
      <w:r>
        <w:rPr>
          <w:color w:val="000000"/>
          <w:lang w:val="en-US"/>
        </w:rPr>
        <w:t>digunakan</w:t>
      </w:r>
      <w:proofErr w:type="spellEnd"/>
      <w:r>
        <w:rPr>
          <w:color w:val="000000"/>
          <w:lang w:val="en-US"/>
        </w:rPr>
        <w:t xml:space="preserve"> untuk </w:t>
      </w:r>
      <w:proofErr w:type="spellStart"/>
      <w:r>
        <w:rPr>
          <w:color w:val="000000"/>
          <w:lang w:val="en-US"/>
        </w:rPr>
        <w:t>pemeliharaan</w:t>
      </w:r>
      <w:proofErr w:type="spellEnd"/>
      <w:r>
        <w:rPr>
          <w:color w:val="000000"/>
          <w:lang w:val="en-US"/>
        </w:rPr>
        <w:t xml:space="preserve"> </w:t>
      </w:r>
      <w:proofErr w:type="spellStart"/>
      <w:r>
        <w:rPr>
          <w:color w:val="000000"/>
          <w:lang w:val="en-US"/>
        </w:rPr>
        <w:t>anestesi</w:t>
      </w:r>
      <w:proofErr w:type="spellEnd"/>
      <w:r>
        <w:rPr>
          <w:color w:val="000000"/>
          <w:lang w:val="en-US"/>
        </w:rPr>
        <w:t xml:space="preserve">. </w:t>
      </w:r>
      <w:proofErr w:type="spellStart"/>
      <w:r>
        <w:rPr>
          <w:color w:val="000000"/>
          <w:lang w:val="en-US"/>
        </w:rPr>
        <w:t>Desfluran</w:t>
      </w:r>
      <w:proofErr w:type="spellEnd"/>
      <w:r>
        <w:rPr>
          <w:color w:val="000000"/>
          <w:lang w:val="en-US"/>
        </w:rPr>
        <w:t xml:space="preserve"> </w:t>
      </w:r>
      <w:proofErr w:type="spellStart"/>
      <w:r>
        <w:rPr>
          <w:color w:val="000000"/>
          <w:lang w:val="en-US"/>
        </w:rPr>
        <w:t>menyebabkan</w:t>
      </w:r>
      <w:proofErr w:type="spellEnd"/>
      <w:r>
        <w:rPr>
          <w:color w:val="000000"/>
          <w:lang w:val="en-US"/>
        </w:rPr>
        <w:t xml:space="preserve"> </w:t>
      </w:r>
      <w:proofErr w:type="spellStart"/>
      <w:r>
        <w:rPr>
          <w:color w:val="000000"/>
          <w:lang w:val="en-US"/>
        </w:rPr>
        <w:t>jumlah</w:t>
      </w:r>
      <w:proofErr w:type="spellEnd"/>
      <w:r>
        <w:rPr>
          <w:color w:val="000000"/>
          <w:lang w:val="en-US"/>
        </w:rPr>
        <w:t xml:space="preserve"> </w:t>
      </w:r>
      <w:proofErr w:type="spellStart"/>
      <w:r>
        <w:rPr>
          <w:color w:val="000000"/>
          <w:lang w:val="en-US"/>
        </w:rPr>
        <w:t>perdarahan</w:t>
      </w:r>
      <w:proofErr w:type="spellEnd"/>
      <w:r>
        <w:rPr>
          <w:color w:val="000000"/>
          <w:lang w:val="en-US"/>
        </w:rPr>
        <w:t xml:space="preserve"> </w:t>
      </w:r>
      <w:proofErr w:type="spellStart"/>
      <w:r>
        <w:rPr>
          <w:color w:val="000000"/>
          <w:lang w:val="en-US"/>
        </w:rPr>
        <w:t>intraoperatif</w:t>
      </w:r>
      <w:proofErr w:type="spellEnd"/>
      <w:r>
        <w:rPr>
          <w:color w:val="000000"/>
          <w:lang w:val="en-US"/>
        </w:rPr>
        <w:t xml:space="preserve"> yang </w:t>
      </w:r>
      <w:proofErr w:type="spellStart"/>
      <w:r>
        <w:rPr>
          <w:color w:val="000000"/>
          <w:lang w:val="en-US"/>
        </w:rPr>
        <w:t>lebih</w:t>
      </w:r>
      <w:proofErr w:type="spellEnd"/>
      <w:r>
        <w:rPr>
          <w:color w:val="000000"/>
          <w:lang w:val="en-US"/>
        </w:rPr>
        <w:t xml:space="preserve"> </w:t>
      </w:r>
      <w:proofErr w:type="spellStart"/>
      <w:r>
        <w:rPr>
          <w:color w:val="000000"/>
          <w:lang w:val="en-US"/>
        </w:rPr>
        <w:t>rendah</w:t>
      </w:r>
      <w:proofErr w:type="spellEnd"/>
      <w:r>
        <w:rPr>
          <w:color w:val="000000"/>
          <w:lang w:val="en-US"/>
        </w:rPr>
        <w:t xml:space="preserve"> dan </w:t>
      </w:r>
      <w:proofErr w:type="spellStart"/>
      <w:r>
        <w:rPr>
          <w:color w:val="000000"/>
          <w:lang w:val="en-US"/>
        </w:rPr>
        <w:t>kebangkitan</w:t>
      </w:r>
      <w:proofErr w:type="spellEnd"/>
      <w:r>
        <w:rPr>
          <w:color w:val="000000"/>
          <w:lang w:val="en-US"/>
        </w:rPr>
        <w:t xml:space="preserve"> yang </w:t>
      </w:r>
      <w:proofErr w:type="spellStart"/>
      <w:r>
        <w:rPr>
          <w:color w:val="000000"/>
          <w:lang w:val="en-US"/>
        </w:rPr>
        <w:t>lebih</w:t>
      </w:r>
      <w:proofErr w:type="spellEnd"/>
      <w:r>
        <w:rPr>
          <w:color w:val="000000"/>
          <w:lang w:val="en-US"/>
        </w:rPr>
        <w:t xml:space="preserve"> </w:t>
      </w:r>
      <w:proofErr w:type="spellStart"/>
      <w:r>
        <w:rPr>
          <w:color w:val="000000"/>
          <w:lang w:val="en-US"/>
        </w:rPr>
        <w:t>baik</w:t>
      </w:r>
      <w:proofErr w:type="spellEnd"/>
      <w:r>
        <w:rPr>
          <w:color w:val="000000"/>
          <w:lang w:val="en-US"/>
        </w:rPr>
        <w:t xml:space="preserve"> </w:t>
      </w:r>
      <w:proofErr w:type="spellStart"/>
      <w:r>
        <w:rPr>
          <w:color w:val="000000"/>
          <w:lang w:val="en-US"/>
        </w:rPr>
        <w:t>daripada</w:t>
      </w:r>
      <w:proofErr w:type="spellEnd"/>
      <w:r>
        <w:rPr>
          <w:color w:val="000000"/>
          <w:lang w:val="en-US"/>
        </w:rPr>
        <w:t xml:space="preserve"> </w:t>
      </w:r>
      <w:proofErr w:type="spellStart"/>
      <w:r>
        <w:rPr>
          <w:color w:val="000000"/>
          <w:lang w:val="en-US"/>
        </w:rPr>
        <w:t>sevofluran</w:t>
      </w:r>
      <w:proofErr w:type="spellEnd"/>
      <w:r>
        <w:rPr>
          <w:color w:val="000000"/>
          <w:lang w:val="en-US"/>
        </w:rPr>
        <w:t xml:space="preserve"> selama </w:t>
      </w:r>
      <w:proofErr w:type="spellStart"/>
      <w:r>
        <w:rPr>
          <w:color w:val="000000"/>
          <w:lang w:val="en-US"/>
        </w:rPr>
        <w:t>bedah</w:t>
      </w:r>
      <w:proofErr w:type="spellEnd"/>
      <w:r>
        <w:rPr>
          <w:color w:val="000000"/>
          <w:lang w:val="en-US"/>
        </w:rPr>
        <w:t xml:space="preserve"> </w:t>
      </w:r>
      <w:proofErr w:type="spellStart"/>
      <w:r>
        <w:rPr>
          <w:color w:val="000000"/>
          <w:lang w:val="en-US"/>
        </w:rPr>
        <w:t>tonsilektomi</w:t>
      </w:r>
      <w:proofErr w:type="spellEnd"/>
      <w:r>
        <w:rPr>
          <w:color w:val="000000"/>
          <w:lang w:val="en-US"/>
        </w:rPr>
        <w:t xml:space="preserve"> dan </w:t>
      </w:r>
      <w:proofErr w:type="spellStart"/>
      <w:r>
        <w:rPr>
          <w:color w:val="000000"/>
          <w:lang w:val="en-US"/>
        </w:rPr>
        <w:t>adenoidektomi</w:t>
      </w:r>
      <w:proofErr w:type="spellEnd"/>
      <w:r>
        <w:rPr>
          <w:color w:val="000000"/>
          <w:lang w:val="en-US"/>
        </w:rPr>
        <w:t xml:space="preserve">. </w:t>
      </w:r>
      <w:proofErr w:type="spellStart"/>
      <w:r>
        <w:rPr>
          <w:color w:val="000000"/>
          <w:lang w:val="en-US"/>
        </w:rPr>
        <w:t>Penyisipan</w:t>
      </w:r>
      <w:proofErr w:type="spellEnd"/>
      <w:r>
        <w:rPr>
          <w:color w:val="000000"/>
          <w:lang w:val="en-US"/>
        </w:rPr>
        <w:t xml:space="preserve"> oral airway </w:t>
      </w:r>
      <w:proofErr w:type="spellStart"/>
      <w:r>
        <w:rPr>
          <w:color w:val="000000"/>
          <w:lang w:val="en-US"/>
        </w:rPr>
        <w:t>diperlukan</w:t>
      </w:r>
      <w:proofErr w:type="spellEnd"/>
      <w:r>
        <w:rPr>
          <w:color w:val="000000"/>
          <w:lang w:val="en-US"/>
        </w:rPr>
        <w:t xml:space="preserve"> untuk </w:t>
      </w:r>
      <w:proofErr w:type="spellStart"/>
      <w:r>
        <w:rPr>
          <w:color w:val="000000"/>
          <w:lang w:val="en-US"/>
        </w:rPr>
        <w:t>ventilasi</w:t>
      </w:r>
      <w:proofErr w:type="spellEnd"/>
      <w:r>
        <w:rPr>
          <w:color w:val="000000"/>
          <w:lang w:val="en-US"/>
        </w:rPr>
        <w:t xml:space="preserve"> pasien </w:t>
      </w:r>
      <w:proofErr w:type="spellStart"/>
      <w:r>
        <w:rPr>
          <w:color w:val="000000"/>
          <w:lang w:val="en-US"/>
        </w:rPr>
        <w:t>karena</w:t>
      </w:r>
      <w:proofErr w:type="spellEnd"/>
      <w:r>
        <w:rPr>
          <w:color w:val="000000"/>
          <w:lang w:val="en-US"/>
        </w:rPr>
        <w:t xml:space="preserve"> </w:t>
      </w:r>
      <w:proofErr w:type="spellStart"/>
      <w:r>
        <w:rPr>
          <w:color w:val="000000"/>
          <w:lang w:val="en-US"/>
        </w:rPr>
        <w:t>sumbatan</w:t>
      </w:r>
      <w:proofErr w:type="spellEnd"/>
      <w:r>
        <w:rPr>
          <w:color w:val="000000"/>
          <w:lang w:val="en-US"/>
        </w:rPr>
        <w:t xml:space="preserve"> </w:t>
      </w:r>
      <w:proofErr w:type="spellStart"/>
      <w:r>
        <w:rPr>
          <w:color w:val="000000"/>
          <w:lang w:val="en-US"/>
        </w:rPr>
        <w:t>hidung</w:t>
      </w:r>
      <w:proofErr w:type="spellEnd"/>
      <w:r>
        <w:rPr>
          <w:color w:val="000000"/>
          <w:lang w:val="en-US"/>
        </w:rPr>
        <w:t xml:space="preserve">. Intubasi </w:t>
      </w:r>
      <w:proofErr w:type="spellStart"/>
      <w:r>
        <w:rPr>
          <w:color w:val="000000"/>
          <w:lang w:val="en-US"/>
        </w:rPr>
        <w:t>trakea</w:t>
      </w:r>
      <w:proofErr w:type="spellEnd"/>
      <w:r>
        <w:rPr>
          <w:color w:val="000000"/>
          <w:lang w:val="en-US"/>
        </w:rPr>
        <w:t xml:space="preserve"> </w:t>
      </w:r>
      <w:proofErr w:type="spellStart"/>
      <w:r>
        <w:rPr>
          <w:color w:val="000000"/>
          <w:lang w:val="en-US"/>
        </w:rPr>
        <w:t>difasilitasi</w:t>
      </w:r>
      <w:proofErr w:type="spellEnd"/>
      <w:r>
        <w:rPr>
          <w:color w:val="000000"/>
          <w:lang w:val="en-US"/>
        </w:rPr>
        <w:t xml:space="preserve"> </w:t>
      </w:r>
      <w:proofErr w:type="spellStart"/>
      <w:r>
        <w:rPr>
          <w:color w:val="000000"/>
          <w:lang w:val="en-US"/>
        </w:rPr>
        <w:t>menggunakan</w:t>
      </w:r>
      <w:proofErr w:type="spellEnd"/>
      <w:r>
        <w:rPr>
          <w:color w:val="000000"/>
          <w:lang w:val="en-US"/>
        </w:rPr>
        <w:t xml:space="preserve"> </w:t>
      </w:r>
      <w:proofErr w:type="spellStart"/>
      <w:r>
        <w:rPr>
          <w:color w:val="000000"/>
          <w:lang w:val="en-US"/>
        </w:rPr>
        <w:t>relaksan</w:t>
      </w:r>
      <w:proofErr w:type="spellEnd"/>
      <w:r>
        <w:rPr>
          <w:color w:val="000000"/>
          <w:lang w:val="en-US"/>
        </w:rPr>
        <w:t xml:space="preserve"> </w:t>
      </w:r>
      <w:proofErr w:type="spellStart"/>
      <w:r>
        <w:rPr>
          <w:color w:val="000000"/>
          <w:lang w:val="en-US"/>
        </w:rPr>
        <w:t>otot</w:t>
      </w:r>
      <w:proofErr w:type="spellEnd"/>
      <w:r>
        <w:rPr>
          <w:color w:val="000000"/>
          <w:lang w:val="en-US"/>
        </w:rPr>
        <w:t xml:space="preserve"> </w:t>
      </w:r>
      <w:proofErr w:type="spellStart"/>
      <w:r>
        <w:rPr>
          <w:color w:val="000000"/>
          <w:lang w:val="en-US"/>
        </w:rPr>
        <w:t>depolarisasi</w:t>
      </w:r>
      <w:proofErr w:type="spellEnd"/>
      <w:r>
        <w:rPr>
          <w:color w:val="000000"/>
          <w:lang w:val="en-US"/>
        </w:rPr>
        <w:t xml:space="preserve"> atau non-</w:t>
      </w:r>
      <w:proofErr w:type="spellStart"/>
      <w:r>
        <w:rPr>
          <w:color w:val="000000"/>
          <w:lang w:val="en-US"/>
        </w:rPr>
        <w:t>depolarisasi</w:t>
      </w:r>
      <w:proofErr w:type="spellEnd"/>
      <w:r>
        <w:rPr>
          <w:color w:val="000000"/>
          <w:lang w:val="en-US"/>
        </w:rPr>
        <w:t xml:space="preserve"> dengan </w:t>
      </w:r>
      <w:proofErr w:type="spellStart"/>
      <w:r>
        <w:rPr>
          <w:color w:val="000000"/>
          <w:lang w:val="en-US"/>
        </w:rPr>
        <w:t>mempertimbangkan</w:t>
      </w:r>
      <w:proofErr w:type="spellEnd"/>
      <w:r>
        <w:rPr>
          <w:color w:val="000000"/>
          <w:lang w:val="en-US"/>
        </w:rPr>
        <w:t xml:space="preserve"> </w:t>
      </w:r>
      <w:proofErr w:type="spellStart"/>
      <w:r>
        <w:rPr>
          <w:color w:val="000000"/>
          <w:lang w:val="en-US"/>
        </w:rPr>
        <w:t>durasi</w:t>
      </w:r>
      <w:proofErr w:type="spellEnd"/>
      <w:r>
        <w:rPr>
          <w:color w:val="000000"/>
          <w:lang w:val="en-US"/>
        </w:rPr>
        <w:t xml:space="preserve"> </w:t>
      </w:r>
      <w:proofErr w:type="spellStart"/>
      <w:r>
        <w:rPr>
          <w:color w:val="000000"/>
          <w:lang w:val="en-US"/>
        </w:rPr>
        <w:t>bedah</w:t>
      </w:r>
      <w:proofErr w:type="spellEnd"/>
      <w:r>
        <w:rPr>
          <w:color w:val="000000"/>
          <w:lang w:val="en-US"/>
        </w:rPr>
        <w:t xml:space="preserve">. </w:t>
      </w:r>
      <w:proofErr w:type="spellStart"/>
      <w:r>
        <w:rPr>
          <w:color w:val="000000"/>
          <w:lang w:val="en-US"/>
        </w:rPr>
        <w:t>Tabung</w:t>
      </w:r>
      <w:proofErr w:type="spellEnd"/>
      <w:r>
        <w:rPr>
          <w:color w:val="000000"/>
          <w:lang w:val="en-US"/>
        </w:rPr>
        <w:t xml:space="preserve"> </w:t>
      </w:r>
      <w:proofErr w:type="spellStart"/>
      <w:r>
        <w:rPr>
          <w:color w:val="000000"/>
          <w:lang w:val="en-US"/>
        </w:rPr>
        <w:t>endotrakeal</w:t>
      </w:r>
      <w:proofErr w:type="spellEnd"/>
      <w:r>
        <w:rPr>
          <w:color w:val="000000"/>
          <w:lang w:val="en-US"/>
        </w:rPr>
        <w:t xml:space="preserve"> </w:t>
      </w:r>
      <w:proofErr w:type="spellStart"/>
      <w:r>
        <w:rPr>
          <w:color w:val="000000"/>
          <w:lang w:val="en-US"/>
        </w:rPr>
        <w:t>bermanset</w:t>
      </w:r>
      <w:proofErr w:type="spellEnd"/>
      <w:r>
        <w:rPr>
          <w:color w:val="000000"/>
          <w:lang w:val="en-US"/>
        </w:rPr>
        <w:t xml:space="preserve"> </w:t>
      </w:r>
      <w:proofErr w:type="spellStart"/>
      <w:r>
        <w:rPr>
          <w:color w:val="000000"/>
          <w:lang w:val="en-US"/>
        </w:rPr>
        <w:t>lebih</w:t>
      </w:r>
      <w:proofErr w:type="spellEnd"/>
      <w:r>
        <w:rPr>
          <w:color w:val="000000"/>
          <w:lang w:val="en-US"/>
        </w:rPr>
        <w:t xml:space="preserve"> </w:t>
      </w:r>
      <w:proofErr w:type="spellStart"/>
      <w:r>
        <w:rPr>
          <w:color w:val="000000"/>
          <w:lang w:val="en-US"/>
        </w:rPr>
        <w:t>disukai</w:t>
      </w:r>
      <w:proofErr w:type="spellEnd"/>
      <w:r>
        <w:rPr>
          <w:color w:val="000000"/>
          <w:lang w:val="en-US"/>
        </w:rPr>
        <w:t xml:space="preserve"> </w:t>
      </w:r>
      <w:proofErr w:type="spellStart"/>
      <w:r>
        <w:rPr>
          <w:color w:val="000000"/>
          <w:lang w:val="en-US"/>
        </w:rPr>
        <w:t>karena</w:t>
      </w:r>
      <w:proofErr w:type="spellEnd"/>
      <w:r>
        <w:rPr>
          <w:color w:val="000000"/>
          <w:lang w:val="en-US"/>
        </w:rPr>
        <w:t xml:space="preserve"> </w:t>
      </w:r>
      <w:proofErr w:type="spellStart"/>
      <w:r>
        <w:rPr>
          <w:color w:val="000000"/>
          <w:lang w:val="en-US"/>
        </w:rPr>
        <w:t>alasan</w:t>
      </w:r>
      <w:proofErr w:type="spellEnd"/>
      <w:r>
        <w:rPr>
          <w:color w:val="000000"/>
          <w:lang w:val="en-US"/>
        </w:rPr>
        <w:t xml:space="preserve"> yang </w:t>
      </w:r>
      <w:proofErr w:type="spellStart"/>
      <w:r>
        <w:rPr>
          <w:color w:val="000000"/>
          <w:lang w:val="en-US"/>
        </w:rPr>
        <w:t>jelas</w:t>
      </w:r>
      <w:proofErr w:type="spellEnd"/>
      <w:r>
        <w:rPr>
          <w:color w:val="000000"/>
          <w:lang w:val="en-US"/>
        </w:rPr>
        <w:t xml:space="preserve">, </w:t>
      </w:r>
      <w:proofErr w:type="spellStart"/>
      <w:r>
        <w:rPr>
          <w:color w:val="000000"/>
          <w:lang w:val="en-US"/>
        </w:rPr>
        <w:t>karena</w:t>
      </w:r>
      <w:proofErr w:type="spellEnd"/>
      <w:r>
        <w:rPr>
          <w:color w:val="000000"/>
          <w:lang w:val="en-US"/>
        </w:rPr>
        <w:t xml:space="preserve"> </w:t>
      </w:r>
      <w:proofErr w:type="spellStart"/>
      <w:r>
        <w:rPr>
          <w:color w:val="000000"/>
          <w:lang w:val="en-US"/>
        </w:rPr>
        <w:t>mencegah</w:t>
      </w:r>
      <w:proofErr w:type="spellEnd"/>
      <w:r>
        <w:rPr>
          <w:color w:val="000000"/>
          <w:lang w:val="en-US"/>
        </w:rPr>
        <w:t xml:space="preserve"> </w:t>
      </w:r>
      <w:proofErr w:type="spellStart"/>
      <w:r>
        <w:rPr>
          <w:color w:val="000000"/>
          <w:lang w:val="en-US"/>
        </w:rPr>
        <w:t>aspirasi</w:t>
      </w:r>
      <w:proofErr w:type="spellEnd"/>
      <w:r>
        <w:rPr>
          <w:color w:val="000000"/>
          <w:lang w:val="en-US"/>
        </w:rPr>
        <w:t xml:space="preserve"> darah dan </w:t>
      </w:r>
      <w:proofErr w:type="spellStart"/>
      <w:r>
        <w:rPr>
          <w:color w:val="000000"/>
          <w:lang w:val="en-US"/>
        </w:rPr>
        <w:t>pelepasan</w:t>
      </w:r>
      <w:proofErr w:type="spellEnd"/>
      <w:r>
        <w:rPr>
          <w:color w:val="000000"/>
          <w:lang w:val="en-US"/>
        </w:rPr>
        <w:t xml:space="preserve"> </w:t>
      </w:r>
      <w:proofErr w:type="spellStart"/>
      <w:r>
        <w:rPr>
          <w:color w:val="000000"/>
          <w:lang w:val="en-US"/>
        </w:rPr>
        <w:t>tabung</w:t>
      </w:r>
      <w:proofErr w:type="spellEnd"/>
      <w:r>
        <w:rPr>
          <w:color w:val="000000"/>
          <w:lang w:val="en-US"/>
        </w:rPr>
        <w:t xml:space="preserve">. Darah di faring dapat </w:t>
      </w:r>
      <w:proofErr w:type="spellStart"/>
      <w:r>
        <w:rPr>
          <w:color w:val="000000"/>
          <w:lang w:val="en-US"/>
        </w:rPr>
        <w:t>masuk</w:t>
      </w:r>
      <w:proofErr w:type="spellEnd"/>
      <w:r>
        <w:rPr>
          <w:color w:val="000000"/>
          <w:lang w:val="en-US"/>
        </w:rPr>
        <w:t xml:space="preserve"> ke </w:t>
      </w:r>
      <w:proofErr w:type="spellStart"/>
      <w:r>
        <w:rPr>
          <w:color w:val="000000"/>
          <w:lang w:val="en-US"/>
        </w:rPr>
        <w:t>trakea</w:t>
      </w:r>
      <w:proofErr w:type="spellEnd"/>
      <w:r>
        <w:rPr>
          <w:color w:val="000000"/>
          <w:lang w:val="en-US"/>
        </w:rPr>
        <w:t xml:space="preserve"> selama </w:t>
      </w:r>
      <w:proofErr w:type="spellStart"/>
      <w:r>
        <w:rPr>
          <w:color w:val="000000"/>
          <w:lang w:val="en-US"/>
        </w:rPr>
        <w:t>prosedur</w:t>
      </w:r>
      <w:proofErr w:type="spellEnd"/>
      <w:r>
        <w:rPr>
          <w:color w:val="000000"/>
          <w:lang w:val="en-US"/>
        </w:rPr>
        <w:t xml:space="preserve"> </w:t>
      </w:r>
      <w:proofErr w:type="spellStart"/>
      <w:r>
        <w:rPr>
          <w:color w:val="000000"/>
          <w:lang w:val="en-US"/>
        </w:rPr>
        <w:t>pembedahan</w:t>
      </w:r>
      <w:proofErr w:type="spellEnd"/>
      <w:r>
        <w:rPr>
          <w:color w:val="000000"/>
          <w:lang w:val="en-US"/>
        </w:rPr>
        <w:t xml:space="preserve">. </w:t>
      </w:r>
    </w:p>
    <w:p w14:paraId="029529B9" w14:textId="77777777" w:rsidR="003B79BC" w:rsidRDefault="00000000">
      <w:pPr>
        <w:spacing w:line="360" w:lineRule="auto"/>
        <w:ind w:firstLine="709"/>
        <w:jc w:val="both"/>
        <w:rPr>
          <w:rFonts w:eastAsiaTheme="minorEastAsia"/>
          <w:lang w:eastAsia="zh-CN"/>
        </w:rPr>
      </w:pPr>
      <w:r>
        <w:rPr>
          <w:color w:val="000000"/>
        </w:rPr>
        <w:t xml:space="preserve">Sebagian besar pasien ini karena usia atau kondisi patofisiologis dapat mengalami desaturasi dengan cepat. Ada tiga landasan manajemen nyeri pada pasien ini yang meliputi penggunaan analgesik opioid kuat intravena, blok anestesi lokal dan obat antiinflamasi nonsteroid (NSAID). Ahli bedah telinga, hidung dan tenggorokan dapat diminta untuk menginfiltrasi dasar tonsil dengan larutan bupivakain 0,25%. </w:t>
      </w:r>
      <w:r>
        <w:rPr>
          <w:color w:val="000000"/>
          <w:lang w:val="id-ID" w:eastAsia="zh-CN"/>
        </w:rPr>
        <w:t>Hal i</w:t>
      </w:r>
      <w:r>
        <w:rPr>
          <w:color w:val="000000"/>
          <w:lang w:eastAsia="zh-CN"/>
        </w:rPr>
        <w:t xml:space="preserve">ni memastikan analgesia yang konstan dan tahan lama. </w:t>
      </w:r>
      <w:r>
        <w:rPr>
          <w:color w:val="000000"/>
          <w:lang w:eastAsia="zh-CN"/>
        </w:rPr>
        <w:lastRenderedPageBreak/>
        <w:t>Akumulasi darah di mulut atau nasofaring merupakan salah satu penyebab langsung dari obstruksi jalan napas. Pada akhir bedah</w:t>
      </w:r>
      <w:proofErr w:type="spellStart"/>
      <w:r>
        <w:rPr>
          <w:lang w:val="en-US" w:eastAsia="zh-CN"/>
        </w:rPr>
        <w:t>orofaring</w:t>
      </w:r>
      <w:proofErr w:type="spellEnd"/>
      <w:r>
        <w:rPr>
          <w:lang w:val="en-US" w:eastAsia="zh-CN"/>
        </w:rPr>
        <w:t xml:space="preserve"> </w:t>
      </w:r>
      <w:proofErr w:type="spellStart"/>
      <w:r>
        <w:rPr>
          <w:lang w:val="en-US" w:eastAsia="zh-CN"/>
        </w:rPr>
        <w:t>harus</w:t>
      </w:r>
      <w:proofErr w:type="spellEnd"/>
      <w:r>
        <w:rPr>
          <w:lang w:val="en-US" w:eastAsia="zh-CN"/>
        </w:rPr>
        <w:t xml:space="preserve"> </w:t>
      </w:r>
      <w:proofErr w:type="spellStart"/>
      <w:r>
        <w:rPr>
          <w:lang w:val="en-US" w:eastAsia="zh-CN"/>
        </w:rPr>
        <w:t>disedot</w:t>
      </w:r>
      <w:proofErr w:type="spellEnd"/>
      <w:r>
        <w:rPr>
          <w:lang w:val="en-US" w:eastAsia="zh-CN"/>
        </w:rPr>
        <w:t xml:space="preserve"> di </w:t>
      </w:r>
      <w:proofErr w:type="spellStart"/>
      <w:r>
        <w:rPr>
          <w:lang w:val="en-US" w:eastAsia="zh-CN"/>
        </w:rPr>
        <w:t>bawah</w:t>
      </w:r>
      <w:proofErr w:type="spellEnd"/>
      <w:r>
        <w:rPr>
          <w:lang w:val="en-US" w:eastAsia="zh-CN"/>
        </w:rPr>
        <w:t xml:space="preserve"> </w:t>
      </w:r>
      <w:proofErr w:type="spellStart"/>
      <w:r>
        <w:rPr>
          <w:lang w:val="en-US" w:eastAsia="zh-CN"/>
        </w:rPr>
        <w:t>penglihatan</w:t>
      </w:r>
      <w:proofErr w:type="spellEnd"/>
      <w:r>
        <w:rPr>
          <w:lang w:val="en-US" w:eastAsia="zh-CN"/>
        </w:rPr>
        <w:t>.</w:t>
      </w:r>
      <w:r>
        <w:rPr>
          <w:color w:val="000000"/>
        </w:rPr>
        <w:fldChar w:fldCharType="begin" w:fldLock="1"/>
      </w:r>
      <w:r>
        <w:rPr>
          <w:color w:val="000000"/>
          <w:lang w:eastAsia="zh-CN"/>
        </w:rPr>
        <w:instrText>ADDIN CSL_CITATION {"citationItems":[{"id":"ITEM-1","itemData":{"DOI":"10.5005/jp-journals-10003-1181","ISSN":"09756957","abstract":"Tonsillectomy is one of the most common pediatric surgeries done. Anesthesia for tonsillectomy and adenoidectomy is one of the most challenging to administer even in modern times. The types of anesthesia and drugs are usually dictated by the patient’s own pathophysiology and the anesthesiologist’s experience. The restricted space for working in these surgeries mandates an understanding and cooperation between the surgeon and anesthesiologist. Postoperative bleeding and airway obstruction have been leading causes of death in the postoperative period. Mortality though overall low may increase with reoperations. Most of these surgeries are carried out on ambulatory basis in modern times thus greater care has to be taken by the anesthesiologist to ensure street fitness in these patients. Even seemingly trivial issues like postoperative nausea vomiting may be of significant importance in these patients.","author":[{"dropping-particle":"","family":"Suvarna","given":"Deepa","non-dropping-particle":"","parse-names":false,"suffix":""},{"dropping-particle":"","family":"Fernandes","given":"Sarita","non-dropping-particle":"","parse-names":false,"suffix":""}],"container-title":"Otorhinolaryngology Clinics","id":"ITEM-1","issue":"1","issued":{"date-parts":[["2015"]]},"page":"17-21","title":"Anesthesia management of adenotonsillectomy","type":"article-journal","volume":"7"},"uris":["http://www.mendeley.com/documents/?uuid=c524ce8f-d48a-4e73-8ded-5aa4938f2003"]}],"mendeley":{"formattedCitation":"&lt;sup&gt;33&lt;/sup&gt;","plainTextFormattedCitation":"33","previouslyFormattedCitation":"&lt;sup&gt;33&lt;/sup&gt;"},"properties":{"noteIndex":0},"schema":"https://github.com/citation-style-language/schema/raw/master/csl-citation.json"}</w:instrText>
      </w:r>
      <w:r>
        <w:rPr>
          <w:color w:val="000000"/>
        </w:rPr>
        <w:fldChar w:fldCharType="separate"/>
      </w:r>
      <w:r>
        <w:rPr>
          <w:noProof/>
          <w:color w:val="000000"/>
          <w:vertAlign w:val="superscript"/>
          <w:lang w:eastAsia="zh-CN"/>
        </w:rPr>
        <w:t>33</w:t>
      </w:r>
      <w:r>
        <w:rPr>
          <w:color w:val="000000"/>
        </w:rPr>
        <w:fldChar w:fldCharType="end"/>
      </w:r>
    </w:p>
    <w:p w14:paraId="2F6E5E32" w14:textId="77777777" w:rsidR="003B79BC" w:rsidRDefault="00000000">
      <w:pPr>
        <w:spacing w:line="360" w:lineRule="auto"/>
        <w:ind w:firstLine="709"/>
        <w:jc w:val="both"/>
        <w:rPr>
          <w:rFonts w:eastAsiaTheme="minorEastAsia"/>
          <w:lang w:eastAsia="zh-CN"/>
        </w:rPr>
      </w:pPr>
      <w:r>
        <w:rPr>
          <w:rFonts w:eastAsiaTheme="minorEastAsia"/>
          <w:lang w:val="id-ID" w:eastAsia="zh-CN"/>
        </w:rPr>
        <w:t xml:space="preserve">Hasil </w:t>
      </w:r>
      <w:r>
        <w:rPr>
          <w:lang w:val="id-ID" w:eastAsia="zh-CN"/>
        </w:rPr>
        <w:t>u</w:t>
      </w:r>
      <w:r>
        <w:rPr>
          <w:lang w:val="en-US" w:eastAsia="zh-CN"/>
        </w:rPr>
        <w:t xml:space="preserve">ji </w:t>
      </w:r>
      <w:proofErr w:type="spellStart"/>
      <w:r>
        <w:rPr>
          <w:lang w:val="en-US" w:eastAsia="zh-CN"/>
        </w:rPr>
        <w:t>coba</w:t>
      </w:r>
      <w:proofErr w:type="spellEnd"/>
      <w:r>
        <w:rPr>
          <w:lang w:val="en-US" w:eastAsia="zh-CN"/>
        </w:rPr>
        <w:t xml:space="preserve"> </w:t>
      </w:r>
      <w:proofErr w:type="spellStart"/>
      <w:r>
        <w:rPr>
          <w:lang w:val="en-US" w:eastAsia="zh-CN"/>
        </w:rPr>
        <w:t>terkontrol</w:t>
      </w:r>
      <w:proofErr w:type="spellEnd"/>
      <w:r>
        <w:rPr>
          <w:lang w:val="en-US" w:eastAsia="zh-CN"/>
        </w:rPr>
        <w:t xml:space="preserve"> </w:t>
      </w:r>
      <w:proofErr w:type="spellStart"/>
      <w:r>
        <w:rPr>
          <w:lang w:val="en-US" w:eastAsia="zh-CN"/>
        </w:rPr>
        <w:t>acak</w:t>
      </w:r>
      <w:proofErr w:type="spellEnd"/>
      <w:r>
        <w:rPr>
          <w:lang w:val="en-US" w:eastAsia="zh-CN"/>
        </w:rPr>
        <w:t xml:space="preserve"> </w:t>
      </w:r>
      <w:proofErr w:type="spellStart"/>
      <w:r>
        <w:rPr>
          <w:lang w:val="en-US" w:eastAsia="zh-CN"/>
        </w:rPr>
        <w:t>hingga</w:t>
      </w:r>
      <w:proofErr w:type="spellEnd"/>
      <w:r>
        <w:rPr>
          <w:lang w:val="en-US" w:eastAsia="zh-CN"/>
        </w:rPr>
        <w:t xml:space="preserve"> November 2019 </w:t>
      </w:r>
      <w:proofErr w:type="spellStart"/>
      <w:r>
        <w:rPr>
          <w:lang w:val="en-US" w:eastAsia="zh-CN"/>
        </w:rPr>
        <w:t>menilai</w:t>
      </w:r>
      <w:proofErr w:type="spellEnd"/>
      <w:r>
        <w:rPr>
          <w:lang w:val="en-US" w:eastAsia="zh-CN"/>
        </w:rPr>
        <w:t xml:space="preserve"> </w:t>
      </w:r>
      <w:proofErr w:type="spellStart"/>
      <w:r>
        <w:rPr>
          <w:lang w:val="en-US" w:eastAsia="zh-CN"/>
        </w:rPr>
        <w:t>nyeri</w:t>
      </w:r>
      <w:proofErr w:type="spellEnd"/>
      <w:r>
        <w:rPr>
          <w:lang w:val="en-US" w:eastAsia="zh-CN"/>
        </w:rPr>
        <w:t xml:space="preserve"> </w:t>
      </w:r>
      <w:proofErr w:type="spellStart"/>
      <w:r>
        <w:rPr>
          <w:lang w:val="en-US" w:eastAsia="zh-CN"/>
        </w:rPr>
        <w:t>pascabedah</w:t>
      </w:r>
      <w:proofErr w:type="spellEnd"/>
      <w:r>
        <w:rPr>
          <w:lang w:val="en-US" w:eastAsia="zh-CN"/>
        </w:rPr>
        <w:t xml:space="preserve"> </w:t>
      </w:r>
      <w:proofErr w:type="spellStart"/>
      <w:r>
        <w:rPr>
          <w:lang w:val="en-US" w:eastAsia="zh-CN"/>
        </w:rPr>
        <w:t>menggunakan</w:t>
      </w:r>
      <w:proofErr w:type="spellEnd"/>
      <w:r>
        <w:rPr>
          <w:lang w:val="en-US" w:eastAsia="zh-CN"/>
        </w:rPr>
        <w:t xml:space="preserve"> </w:t>
      </w:r>
      <w:proofErr w:type="spellStart"/>
      <w:r>
        <w:rPr>
          <w:lang w:val="en-US" w:eastAsia="zh-CN"/>
        </w:rPr>
        <w:t>analgesik</w:t>
      </w:r>
      <w:proofErr w:type="spellEnd"/>
      <w:r>
        <w:rPr>
          <w:lang w:val="en-US" w:eastAsia="zh-CN"/>
        </w:rPr>
        <w:t xml:space="preserve">, </w:t>
      </w:r>
      <w:proofErr w:type="spellStart"/>
      <w:r>
        <w:rPr>
          <w:lang w:val="en-US" w:eastAsia="zh-CN"/>
        </w:rPr>
        <w:t>anestesi</w:t>
      </w:r>
      <w:proofErr w:type="spellEnd"/>
      <w:r>
        <w:rPr>
          <w:lang w:val="en-US" w:eastAsia="zh-CN"/>
        </w:rPr>
        <w:t xml:space="preserve">, atau </w:t>
      </w:r>
      <w:proofErr w:type="spellStart"/>
      <w:r>
        <w:rPr>
          <w:lang w:val="en-US" w:eastAsia="zh-CN"/>
        </w:rPr>
        <w:t>intervensi</w:t>
      </w:r>
      <w:proofErr w:type="spellEnd"/>
      <w:r>
        <w:rPr>
          <w:lang w:val="en-US" w:eastAsia="zh-CN"/>
        </w:rPr>
        <w:t xml:space="preserve"> </w:t>
      </w:r>
      <w:proofErr w:type="spellStart"/>
      <w:r>
        <w:rPr>
          <w:lang w:val="en-US" w:eastAsia="zh-CN"/>
        </w:rPr>
        <w:t>bedah</w:t>
      </w:r>
      <w:proofErr w:type="spellEnd"/>
      <w:r>
        <w:rPr>
          <w:lang w:val="id-ID" w:eastAsia="zh-CN"/>
        </w:rPr>
        <w:t>.</w:t>
      </w:r>
      <w:r>
        <w:rPr>
          <w:lang w:val="en-US" w:eastAsia="zh-CN"/>
        </w:rPr>
        <w:t xml:space="preserve"> </w:t>
      </w:r>
      <w:r>
        <w:rPr>
          <w:lang w:val="en-US"/>
        </w:rPr>
        <w:t xml:space="preserve">Dari 719 </w:t>
      </w:r>
      <w:proofErr w:type="spellStart"/>
      <w:r>
        <w:rPr>
          <w:lang w:val="en-US"/>
        </w:rPr>
        <w:t>identifikasi</w:t>
      </w:r>
      <w:proofErr w:type="spellEnd"/>
      <w:r>
        <w:rPr>
          <w:lang w:val="en-US"/>
        </w:rPr>
        <w:t xml:space="preserve"> </w:t>
      </w:r>
      <w:proofErr w:type="spellStart"/>
      <w:r>
        <w:rPr>
          <w:lang w:val="en-US"/>
        </w:rPr>
        <w:t>studi</w:t>
      </w:r>
      <w:proofErr w:type="spellEnd"/>
      <w:r>
        <w:rPr>
          <w:lang w:val="en-US"/>
        </w:rPr>
        <w:t xml:space="preserve"> yang </w:t>
      </w:r>
      <w:proofErr w:type="spellStart"/>
      <w:r>
        <w:rPr>
          <w:lang w:val="en-US"/>
        </w:rPr>
        <w:t>berpotensi</w:t>
      </w:r>
      <w:proofErr w:type="spellEnd"/>
      <w:r>
        <w:rPr>
          <w:lang w:val="en-US"/>
        </w:rPr>
        <w:t xml:space="preserve"> </w:t>
      </w:r>
      <w:proofErr w:type="spellStart"/>
      <w:r>
        <w:rPr>
          <w:lang w:val="en-US"/>
        </w:rPr>
        <w:t>memenuhi</w:t>
      </w:r>
      <w:proofErr w:type="spellEnd"/>
      <w:r>
        <w:rPr>
          <w:lang w:val="en-US"/>
        </w:rPr>
        <w:t xml:space="preserve"> </w:t>
      </w:r>
      <w:proofErr w:type="spellStart"/>
      <w:r>
        <w:rPr>
          <w:lang w:val="en-US"/>
        </w:rPr>
        <w:t>syarat</w:t>
      </w:r>
      <w:proofErr w:type="spellEnd"/>
      <w:r>
        <w:rPr>
          <w:lang w:val="en-US"/>
        </w:rPr>
        <w:t xml:space="preserve">, 226 uji </w:t>
      </w:r>
      <w:proofErr w:type="spellStart"/>
      <w:r>
        <w:rPr>
          <w:lang w:val="en-US"/>
        </w:rPr>
        <w:t>coba</w:t>
      </w:r>
      <w:proofErr w:type="spellEnd"/>
      <w:r>
        <w:rPr>
          <w:lang w:val="en-US"/>
        </w:rPr>
        <w:t xml:space="preserve"> </w:t>
      </w:r>
      <w:proofErr w:type="spellStart"/>
      <w:r>
        <w:rPr>
          <w:lang w:val="en-US"/>
        </w:rPr>
        <w:t>terkontrol</w:t>
      </w:r>
      <w:proofErr w:type="spellEnd"/>
      <w:r>
        <w:rPr>
          <w:lang w:val="en-US"/>
        </w:rPr>
        <w:t xml:space="preserve"> </w:t>
      </w:r>
      <w:proofErr w:type="spellStart"/>
      <w:r>
        <w:rPr>
          <w:lang w:val="en-US"/>
        </w:rPr>
        <w:t>secara</w:t>
      </w:r>
      <w:proofErr w:type="spellEnd"/>
      <w:r>
        <w:rPr>
          <w:lang w:val="en-US"/>
        </w:rPr>
        <w:t xml:space="preserve"> </w:t>
      </w:r>
      <w:proofErr w:type="spellStart"/>
      <w:r>
        <w:rPr>
          <w:lang w:val="en-US"/>
        </w:rPr>
        <w:t>acak</w:t>
      </w:r>
      <w:proofErr w:type="spellEnd"/>
      <w:r>
        <w:rPr>
          <w:lang w:val="en-US"/>
        </w:rPr>
        <w:t xml:space="preserve"> </w:t>
      </w:r>
      <w:proofErr w:type="spellStart"/>
      <w:r>
        <w:rPr>
          <w:lang w:val="en-US"/>
        </w:rPr>
        <w:t>memenuhi</w:t>
      </w:r>
      <w:proofErr w:type="spellEnd"/>
      <w:r>
        <w:rPr>
          <w:lang w:val="en-US"/>
        </w:rPr>
        <w:t xml:space="preserve"> </w:t>
      </w:r>
      <w:proofErr w:type="spellStart"/>
      <w:r>
        <w:rPr>
          <w:lang w:val="en-US"/>
        </w:rPr>
        <w:t>kriteria</w:t>
      </w:r>
      <w:proofErr w:type="spellEnd"/>
      <w:r>
        <w:rPr>
          <w:lang w:val="en-US"/>
        </w:rPr>
        <w:t xml:space="preserve"> </w:t>
      </w:r>
      <w:proofErr w:type="spellStart"/>
      <w:r>
        <w:rPr>
          <w:lang w:val="en-US"/>
        </w:rPr>
        <w:t>inklusi</w:t>
      </w:r>
      <w:proofErr w:type="spellEnd"/>
      <w:r>
        <w:rPr>
          <w:lang w:val="en-US"/>
        </w:rPr>
        <w:t xml:space="preserve">, tidak </w:t>
      </w:r>
      <w:proofErr w:type="spellStart"/>
      <w:r>
        <w:rPr>
          <w:lang w:val="en-US"/>
        </w:rPr>
        <w:t>termasuk</w:t>
      </w:r>
      <w:proofErr w:type="spellEnd"/>
      <w:r>
        <w:rPr>
          <w:lang w:val="en-US"/>
        </w:rPr>
        <w:t xml:space="preserve"> </w:t>
      </w:r>
      <w:proofErr w:type="spellStart"/>
      <w:r>
        <w:rPr>
          <w:lang w:val="en-US"/>
        </w:rPr>
        <w:t>studi</w:t>
      </w:r>
      <w:proofErr w:type="spellEnd"/>
      <w:r>
        <w:rPr>
          <w:lang w:val="en-US"/>
        </w:rPr>
        <w:t xml:space="preserve"> yang </w:t>
      </w:r>
      <w:proofErr w:type="spellStart"/>
      <w:r>
        <w:rPr>
          <w:lang w:val="en-US"/>
        </w:rPr>
        <w:t>meneliti</w:t>
      </w:r>
      <w:proofErr w:type="spellEnd"/>
      <w:r>
        <w:rPr>
          <w:lang w:val="en-US"/>
        </w:rPr>
        <w:t xml:space="preserve"> </w:t>
      </w:r>
      <w:proofErr w:type="spellStart"/>
      <w:r>
        <w:rPr>
          <w:lang w:val="en-US"/>
        </w:rPr>
        <w:t>teknik</w:t>
      </w:r>
      <w:proofErr w:type="spellEnd"/>
      <w:r>
        <w:rPr>
          <w:lang w:val="en-US"/>
        </w:rPr>
        <w:t xml:space="preserve"> </w:t>
      </w:r>
      <w:proofErr w:type="spellStart"/>
      <w:r>
        <w:rPr>
          <w:lang w:val="en-US"/>
        </w:rPr>
        <w:t>bedah</w:t>
      </w:r>
      <w:proofErr w:type="spellEnd"/>
      <w:r>
        <w:rPr>
          <w:lang w:val="en-US"/>
        </w:rPr>
        <w:t xml:space="preserve">. </w:t>
      </w:r>
      <w:proofErr w:type="spellStart"/>
      <w:r>
        <w:rPr>
          <w:lang w:val="en-US"/>
        </w:rPr>
        <w:t>Intervensi</w:t>
      </w:r>
      <w:proofErr w:type="spellEnd"/>
      <w:r>
        <w:rPr>
          <w:lang w:val="en-US"/>
        </w:rPr>
        <w:t xml:space="preserve"> prabedah dan </w:t>
      </w:r>
      <w:proofErr w:type="spellStart"/>
      <w:r>
        <w:rPr>
          <w:lang w:val="en-US"/>
        </w:rPr>
        <w:t>intrabedah</w:t>
      </w:r>
      <w:proofErr w:type="spellEnd"/>
      <w:r>
        <w:rPr>
          <w:lang w:val="en-US"/>
        </w:rPr>
        <w:t xml:space="preserve"> yang </w:t>
      </w:r>
      <w:proofErr w:type="spellStart"/>
      <w:r>
        <w:rPr>
          <w:lang w:val="en-US"/>
        </w:rPr>
        <w:t>memperbaiki</w:t>
      </w:r>
      <w:proofErr w:type="spellEnd"/>
      <w:r>
        <w:rPr>
          <w:lang w:val="en-US"/>
        </w:rPr>
        <w:t xml:space="preserve"> </w:t>
      </w:r>
      <w:proofErr w:type="spellStart"/>
      <w:r>
        <w:rPr>
          <w:lang w:val="en-US"/>
        </w:rPr>
        <w:t>nyeri</w:t>
      </w:r>
      <w:proofErr w:type="spellEnd"/>
      <w:r>
        <w:rPr>
          <w:lang w:val="en-US"/>
        </w:rPr>
        <w:t xml:space="preserve"> </w:t>
      </w:r>
      <w:proofErr w:type="spellStart"/>
      <w:r>
        <w:rPr>
          <w:lang w:val="en-US"/>
        </w:rPr>
        <w:t>pascabedah</w:t>
      </w:r>
      <w:proofErr w:type="spellEnd"/>
      <w:r>
        <w:rPr>
          <w:lang w:val="en-US"/>
        </w:rPr>
        <w:t xml:space="preserve"> </w:t>
      </w:r>
      <w:proofErr w:type="spellStart"/>
      <w:r>
        <w:rPr>
          <w:lang w:val="en-US"/>
        </w:rPr>
        <w:t>adalah</w:t>
      </w:r>
      <w:proofErr w:type="spellEnd"/>
      <w:r>
        <w:rPr>
          <w:lang w:val="en-US"/>
        </w:rPr>
        <w:t xml:space="preserve"> </w:t>
      </w:r>
      <w:proofErr w:type="spellStart"/>
      <w:r>
        <w:rPr>
          <w:lang w:val="en-US"/>
        </w:rPr>
        <w:t>parasetamol</w:t>
      </w:r>
      <w:proofErr w:type="spellEnd"/>
      <w:r>
        <w:rPr>
          <w:lang w:val="id-ID"/>
        </w:rPr>
        <w:t>,</w:t>
      </w:r>
      <w:r>
        <w:rPr>
          <w:lang w:val="en-US"/>
        </w:rPr>
        <w:t xml:space="preserve"> </w:t>
      </w:r>
      <w:proofErr w:type="spellStart"/>
      <w:r>
        <w:rPr>
          <w:lang w:val="en-US"/>
        </w:rPr>
        <w:t>deksametason</w:t>
      </w:r>
      <w:proofErr w:type="spellEnd"/>
      <w:r>
        <w:rPr>
          <w:lang w:val="en-US"/>
        </w:rPr>
        <w:t xml:space="preserve"> </w:t>
      </w:r>
      <w:proofErr w:type="spellStart"/>
      <w:r>
        <w:rPr>
          <w:lang w:val="en-US"/>
        </w:rPr>
        <w:t>intravena</w:t>
      </w:r>
      <w:proofErr w:type="spellEnd"/>
      <w:r>
        <w:rPr>
          <w:lang w:val="id-ID"/>
        </w:rPr>
        <w:t>,</w:t>
      </w:r>
      <w:r>
        <w:rPr>
          <w:lang w:val="en-US"/>
        </w:rPr>
        <w:t xml:space="preserve"> </w:t>
      </w:r>
      <w:proofErr w:type="spellStart"/>
      <w:r>
        <w:rPr>
          <w:lang w:val="en-US"/>
        </w:rPr>
        <w:t>ketamin</w:t>
      </w:r>
      <w:proofErr w:type="spellEnd"/>
      <w:r>
        <w:rPr>
          <w:lang w:val="id-ID"/>
        </w:rPr>
        <w:t>,</w:t>
      </w:r>
      <w:r>
        <w:rPr>
          <w:lang w:val="en-US"/>
        </w:rPr>
        <w:t xml:space="preserve"> </w:t>
      </w:r>
      <w:proofErr w:type="spellStart"/>
      <w:r>
        <w:rPr>
          <w:lang w:val="en-US"/>
        </w:rPr>
        <w:t>gabapentinoid</w:t>
      </w:r>
      <w:proofErr w:type="spellEnd"/>
      <w:r>
        <w:rPr>
          <w:lang w:val="id-ID"/>
        </w:rPr>
        <w:t>,</w:t>
      </w:r>
      <w:r>
        <w:rPr>
          <w:lang w:val="en-US"/>
        </w:rPr>
        <w:t xml:space="preserve"> dexmedetomidine</w:t>
      </w:r>
      <w:r>
        <w:rPr>
          <w:lang w:val="id-ID"/>
        </w:rPr>
        <w:t xml:space="preserve"> </w:t>
      </w:r>
      <w:r>
        <w:rPr>
          <w:lang w:val="en-US"/>
        </w:rPr>
        <w:t xml:space="preserve">dan </w:t>
      </w:r>
      <w:proofErr w:type="spellStart"/>
      <w:r>
        <w:rPr>
          <w:lang w:val="en-US"/>
        </w:rPr>
        <w:t>akupunktur</w:t>
      </w:r>
      <w:proofErr w:type="spellEnd"/>
      <w:r>
        <w:rPr>
          <w:lang w:val="en-US"/>
        </w:rPr>
        <w:t xml:space="preserve">. Bukti yang tidak </w:t>
      </w:r>
      <w:proofErr w:type="spellStart"/>
      <w:r>
        <w:rPr>
          <w:lang w:val="en-US"/>
        </w:rPr>
        <w:t>konsisten</w:t>
      </w:r>
      <w:proofErr w:type="spellEnd"/>
      <w:r>
        <w:rPr>
          <w:lang w:val="en-US"/>
        </w:rPr>
        <w:t xml:space="preserve"> </w:t>
      </w:r>
      <w:proofErr w:type="spellStart"/>
      <w:r>
        <w:rPr>
          <w:lang w:val="en-US"/>
        </w:rPr>
        <w:t>ditemukan</w:t>
      </w:r>
      <w:proofErr w:type="spellEnd"/>
      <w:r>
        <w:rPr>
          <w:lang w:val="en-US"/>
        </w:rPr>
        <w:t xml:space="preserve"> untuk </w:t>
      </w:r>
      <w:proofErr w:type="spellStart"/>
      <w:r>
        <w:rPr>
          <w:lang w:val="en-US"/>
        </w:rPr>
        <w:t>anestesi</w:t>
      </w:r>
      <w:proofErr w:type="spellEnd"/>
      <w:r>
        <w:rPr>
          <w:lang w:val="en-US"/>
        </w:rPr>
        <w:t xml:space="preserve"> </w:t>
      </w:r>
      <w:proofErr w:type="spellStart"/>
      <w:r>
        <w:rPr>
          <w:lang w:val="en-US"/>
        </w:rPr>
        <w:t>lokal</w:t>
      </w:r>
      <w:proofErr w:type="spellEnd"/>
      <w:r>
        <w:rPr>
          <w:lang w:val="en-US"/>
        </w:rPr>
        <w:t xml:space="preserve"> </w:t>
      </w:r>
      <w:proofErr w:type="spellStart"/>
      <w:r>
        <w:rPr>
          <w:lang w:val="en-US"/>
        </w:rPr>
        <w:t>dififiltrasi</w:t>
      </w:r>
      <w:proofErr w:type="spellEnd"/>
      <w:r>
        <w:rPr>
          <w:lang w:val="id-ID"/>
        </w:rPr>
        <w:t>,</w:t>
      </w:r>
      <w:r>
        <w:rPr>
          <w:lang w:val="en-US"/>
        </w:rPr>
        <w:t xml:space="preserve"> </w:t>
      </w:r>
      <w:proofErr w:type="spellStart"/>
      <w:r>
        <w:rPr>
          <w:lang w:val="en-US"/>
        </w:rPr>
        <w:t>antibiotik</w:t>
      </w:r>
      <w:proofErr w:type="spellEnd"/>
      <w:r>
        <w:rPr>
          <w:lang w:val="id-ID"/>
        </w:rPr>
        <w:t>,</w:t>
      </w:r>
      <w:r>
        <w:rPr>
          <w:lang w:val="en-US"/>
        </w:rPr>
        <w:t xml:space="preserve"> dan magnesium sulfat.</w:t>
      </w:r>
      <w:r>
        <w:rPr>
          <w:lang w:val="en-US"/>
        </w:rPr>
        <w:fldChar w:fldCharType="begin" w:fldLock="1"/>
      </w:r>
      <w:r>
        <w:rPr>
          <w:lang w:val="en-US"/>
        </w:rPr>
        <w:instrText>ADDIN CSL_CITATION {"citationItems":[{"id":"ITEM-1","itemData":{"DOI":"10.1111/anae.15299","ISSN":"13652044","PMID":"33201518","abstract":"Tonsillectomy is one of the most frequently performed surgical procedures; however, pain management remains challenging. Procedure-specific efficacy as well as specific risks of treatment options should guide selection of pain management protocols based on evidence and should optimise analgesia without harm. The aims of this systematic review were to evaluate the available literature and develop recommendations for optimal pain management after tonsillectomy. A systematic review utilising preferred reporting items for systematic reviews and meta-analysis guidelines with procedure-specific postoperative pain management (PROSPECT) methodology was undertaken. Randomised controlled trials published in the English language up to November 2019 assessing postoperative pain using analgesic, anaesthetic or surgical interventions were identified. Out of the 719 potentially eligible studies identified, 226 randomised controlled trials met the inclusion criteria, excluding the studies examining surgical techniques. Pre-operative and intra-operative interventions that improved postoperative pain were paracetamol; non-steroidal anti-inflammatory drugs; intravenous dexamethasone; ketamine (only assessed in children); gabapentinoids; dexmedetomidine; honey; and acupuncture. Inconsistent evidence was found for local anaesthetic infiltration; antibiotics; and magnesium sulphate. Limited evidence was found for clonidine. The analgesic regimen for tonsillectomy should include paracetamol; non-steroidal anti-inflammatory drugs; and intravenous dexamethasone, with opioids as rescue analgesics. Analgesic adjuncts such as intra-operative and postoperative acupuncture as well as postoperative honey are also recommended. Ketamine (only for children); dexmedetomidine; or gabapentinoids may be considered when some of the first-line analgesics are contra-indicated. Further randomised controlled trials are required to define risk and combination of drugs most effective for postoperative pain relief after tonsillectomy.","author":[{"dropping-particle":"","family":"Aldamluji","given":"N.","non-dropping-particle":"","parse-names":false,"suffix":""},{"dropping-particle":"","family":"Burgess","given":"A.","non-dropping-particle":"","parse-names":false,"suffix":""},{"dropping-particle":"","family":"Pogatzki-Zahn","given":"E.","non-dropping-particle":"","parse-names":false,"suffix":""},{"dropping-particle":"","family":"Raeder","given":"J.","non-dropping-particle":"","parse-names":false,"suffix":""},{"dropping-particle":"","family":"Beloeil","given":"H.","non-dropping-particle":"","parse-names":false,"suffix":""},{"dropping-particle":"","family":"Albrecht","given":"E.","non-dropping-particle":"","parse-names":false,"suffix":""},{"dropping-particle":"","family":"Beloeil","given":"H.","non-dropping-particle":"","parse-names":false,"suffix":""},{"dropping-particle":"","family":"Bonnet","given":"F.","non-dropping-particle":"","parse-names":false,"suffix":""},{"dropping-particle":"","family":"Freys","given":"S.","non-dropping-particle":"","parse-names":false,"suffix":""},{"dropping-particle":"","family":"Joshi","given":"G. P.","non-dropping-particle":"","parse-names":false,"suffix":""},{"dropping-particle":"","family":"Kehlet","given":"H.","non-dropping-particle":"","parse-names":false,"suffix":""},{"dropping-particle":"","family":"Lavand’homme","given":"P.","non-dropping-particle":"","parse-names":false,"suffix":""},{"dropping-particle":"","family":"Lirk","given":"P.","non-dropping-particle":"","parse-names":false,"suffix":""},{"dropping-particle":"","family":"Lobo","given":"D.","non-dropping-particle":"","parse-names":false,"suffix":""},{"dropping-particle":"","family":"Pogatzki-Zahn","given":"E.","non-dropping-particle":"","parse-names":false,"suffix":""},{"dropping-particle":"","family":"Rawal","given":"N.","non-dropping-particle":"","parse-names":false,"suffix":""},{"dropping-particle":"","family":"Raeder","given":"J.","non-dropping-particle":"","parse-names":false,"suffix":""},{"dropping-particle":"","family":"Sauter","given":"A.","non-dropping-particle":"","parse-names":false,"suffix":""},{"dropping-particle":"","family":"Schug","given":"S.","non-dropping-particle":"","parse-names":false,"suffix":""},{"dropping-particle":"","family":"Velde","given":"M.","non-dropping-particle":"van de","parse-names":false,"suffix":""}],"container-title":"Anaesthesia","id":"ITEM-1","issue":"7","issued":{"date-parts":[["2021"]]},"page":"947-961","title":"PROSPECT guideline for tonsillectomy: systematic review and procedure-specific postoperative pain management recommendations","type":"article-journal","volume":"76"},"uris":["http://www.mendeley.com/documents/?uuid=e172f384-2a8d-461a-b40a-e6bf446587dd"]}],"mendeley":{"formattedCitation":"&lt;sup&gt;10&lt;/sup&gt;","plainTextFormattedCitation":"10","previouslyFormattedCitation":"&lt;sup&gt;10&lt;/sup&gt;"},"properties":{"noteIndex":0},"schema":"https://github.com/citation-style-language/schema/raw/master/csl-citation.json"}</w:instrText>
      </w:r>
      <w:r>
        <w:rPr>
          <w:lang w:val="en-US"/>
        </w:rPr>
        <w:fldChar w:fldCharType="separate"/>
      </w:r>
      <w:r>
        <w:rPr>
          <w:noProof/>
          <w:vertAlign w:val="superscript"/>
          <w:lang w:val="en-US"/>
        </w:rPr>
        <w:t>10</w:t>
      </w:r>
      <w:r>
        <w:rPr>
          <w:lang w:val="en-US"/>
        </w:rPr>
        <w:fldChar w:fldCharType="end"/>
      </w:r>
    </w:p>
    <w:p w14:paraId="382082A7" w14:textId="77777777" w:rsidR="003B79BC" w:rsidRDefault="00000000">
      <w:pPr>
        <w:spacing w:line="360" w:lineRule="auto"/>
        <w:ind w:firstLine="709"/>
        <w:jc w:val="both"/>
        <w:rPr>
          <w:rFonts w:eastAsiaTheme="minorEastAsia"/>
          <w:lang w:eastAsia="zh-CN"/>
        </w:rPr>
      </w:pPr>
      <w:proofErr w:type="spellStart"/>
      <w:r>
        <w:rPr>
          <w:lang w:val="en-US" w:eastAsia="zh-CN"/>
        </w:rPr>
        <w:t>Tonsilektomi</w:t>
      </w:r>
      <w:proofErr w:type="spellEnd"/>
      <w:r>
        <w:rPr>
          <w:lang w:val="en-US" w:eastAsia="zh-CN"/>
        </w:rPr>
        <w:t xml:space="preserve"> </w:t>
      </w:r>
      <w:proofErr w:type="spellStart"/>
      <w:r>
        <w:rPr>
          <w:lang w:val="en-US" w:eastAsia="zh-CN"/>
        </w:rPr>
        <w:t>unik</w:t>
      </w:r>
      <w:proofErr w:type="spellEnd"/>
      <w:r>
        <w:rPr>
          <w:lang w:val="en-US" w:eastAsia="zh-CN"/>
        </w:rPr>
        <w:t xml:space="preserve"> </w:t>
      </w:r>
      <w:proofErr w:type="spellStart"/>
      <w:r>
        <w:rPr>
          <w:lang w:val="en-US" w:eastAsia="zh-CN"/>
        </w:rPr>
        <w:t>karena</w:t>
      </w:r>
      <w:proofErr w:type="spellEnd"/>
      <w:r>
        <w:rPr>
          <w:lang w:val="en-US" w:eastAsia="zh-CN"/>
        </w:rPr>
        <w:t xml:space="preserve"> </w:t>
      </w:r>
      <w:proofErr w:type="spellStart"/>
      <w:r>
        <w:rPr>
          <w:lang w:val="en-US" w:eastAsia="zh-CN"/>
        </w:rPr>
        <w:t>beberapa</w:t>
      </w:r>
      <w:proofErr w:type="spellEnd"/>
      <w:r>
        <w:rPr>
          <w:lang w:val="en-US" w:eastAsia="zh-CN"/>
        </w:rPr>
        <w:t xml:space="preserve"> </w:t>
      </w:r>
      <w:proofErr w:type="spellStart"/>
      <w:r>
        <w:rPr>
          <w:lang w:val="en-US" w:eastAsia="zh-CN"/>
        </w:rPr>
        <w:t>alasan</w:t>
      </w:r>
      <w:proofErr w:type="spellEnd"/>
      <w:r>
        <w:rPr>
          <w:lang w:val="en-US" w:eastAsia="zh-CN"/>
        </w:rPr>
        <w:t xml:space="preserve"> </w:t>
      </w:r>
      <w:proofErr w:type="spellStart"/>
      <w:r>
        <w:rPr>
          <w:lang w:val="en-US" w:eastAsia="zh-CN"/>
        </w:rPr>
        <w:t>termasuk</w:t>
      </w:r>
      <w:proofErr w:type="spellEnd"/>
      <w:r>
        <w:rPr>
          <w:lang w:val="en-US" w:eastAsia="zh-CN"/>
        </w:rPr>
        <w:t xml:space="preserve"> </w:t>
      </w:r>
      <w:proofErr w:type="spellStart"/>
      <w:r>
        <w:rPr>
          <w:lang w:val="en-US" w:eastAsia="zh-CN"/>
        </w:rPr>
        <w:t>jenis</w:t>
      </w:r>
      <w:proofErr w:type="spellEnd"/>
      <w:r>
        <w:rPr>
          <w:lang w:val="en-US" w:eastAsia="zh-CN"/>
        </w:rPr>
        <w:t xml:space="preserve"> trauma </w:t>
      </w:r>
      <w:proofErr w:type="spellStart"/>
      <w:r>
        <w:rPr>
          <w:lang w:val="en-US" w:eastAsia="zh-CN"/>
        </w:rPr>
        <w:t>jaringan</w:t>
      </w:r>
      <w:proofErr w:type="spellEnd"/>
      <w:r>
        <w:rPr>
          <w:lang w:val="en-US" w:eastAsia="zh-CN"/>
        </w:rPr>
        <w:t xml:space="preserve">, </w:t>
      </w:r>
      <w:proofErr w:type="spellStart"/>
      <w:r>
        <w:rPr>
          <w:lang w:val="en-US" w:eastAsia="zh-CN"/>
        </w:rPr>
        <w:t>paparan</w:t>
      </w:r>
      <w:proofErr w:type="spellEnd"/>
      <w:r>
        <w:rPr>
          <w:lang w:val="en-US" w:eastAsia="zh-CN"/>
        </w:rPr>
        <w:t xml:space="preserve"> </w:t>
      </w:r>
      <w:proofErr w:type="spellStart"/>
      <w:r>
        <w:rPr>
          <w:lang w:val="en-US" w:eastAsia="zh-CN"/>
        </w:rPr>
        <w:t>luka</w:t>
      </w:r>
      <w:proofErr w:type="spellEnd"/>
      <w:r>
        <w:rPr>
          <w:lang w:val="en-US" w:eastAsia="zh-CN"/>
        </w:rPr>
        <w:t xml:space="preserve"> </w:t>
      </w:r>
      <w:proofErr w:type="spellStart"/>
      <w:r>
        <w:rPr>
          <w:lang w:val="en-US" w:eastAsia="zh-CN"/>
        </w:rPr>
        <w:t>penyembuhan</w:t>
      </w:r>
      <w:proofErr w:type="spellEnd"/>
      <w:r>
        <w:rPr>
          <w:lang w:val="en-US" w:eastAsia="zh-CN"/>
        </w:rPr>
        <w:t xml:space="preserve"> terhadap </w:t>
      </w:r>
      <w:proofErr w:type="spellStart"/>
      <w:r>
        <w:rPr>
          <w:lang w:val="en-US" w:eastAsia="zh-CN"/>
        </w:rPr>
        <w:t>pergerakan</w:t>
      </w:r>
      <w:proofErr w:type="spellEnd"/>
      <w:r>
        <w:rPr>
          <w:lang w:val="en-US" w:eastAsia="zh-CN"/>
        </w:rPr>
        <w:t xml:space="preserve"> faring selama </w:t>
      </w:r>
      <w:proofErr w:type="spellStart"/>
      <w:r>
        <w:rPr>
          <w:lang w:val="en-US" w:eastAsia="zh-CN"/>
        </w:rPr>
        <w:t>menelan</w:t>
      </w:r>
      <w:proofErr w:type="spellEnd"/>
      <w:r>
        <w:rPr>
          <w:lang w:val="en-US" w:eastAsia="zh-CN"/>
        </w:rPr>
        <w:t xml:space="preserve">, </w:t>
      </w:r>
      <w:proofErr w:type="spellStart"/>
      <w:r>
        <w:rPr>
          <w:lang w:val="en-US" w:eastAsia="zh-CN"/>
        </w:rPr>
        <w:t>risiko</w:t>
      </w:r>
      <w:proofErr w:type="spellEnd"/>
      <w:r>
        <w:rPr>
          <w:lang w:val="en-US" w:eastAsia="zh-CN"/>
        </w:rPr>
        <w:t xml:space="preserve"> </w:t>
      </w:r>
      <w:proofErr w:type="spellStart"/>
      <w:r>
        <w:rPr>
          <w:lang w:val="en-US" w:eastAsia="zh-CN"/>
        </w:rPr>
        <w:t>perdarahan</w:t>
      </w:r>
      <w:proofErr w:type="spellEnd"/>
      <w:r>
        <w:rPr>
          <w:lang w:val="en-US" w:eastAsia="zh-CN"/>
        </w:rPr>
        <w:t xml:space="preserve"> dan </w:t>
      </w:r>
      <w:proofErr w:type="spellStart"/>
      <w:r>
        <w:rPr>
          <w:lang w:val="en-US" w:eastAsia="zh-CN"/>
        </w:rPr>
        <w:t>keterbatasan</w:t>
      </w:r>
      <w:proofErr w:type="spellEnd"/>
      <w:r>
        <w:rPr>
          <w:lang w:val="en-US" w:eastAsia="zh-CN"/>
        </w:rPr>
        <w:t xml:space="preserve"> dalam </w:t>
      </w:r>
      <w:proofErr w:type="spellStart"/>
      <w:r>
        <w:rPr>
          <w:lang w:val="en-US" w:eastAsia="zh-CN"/>
        </w:rPr>
        <w:t>pemilihan</w:t>
      </w:r>
      <w:proofErr w:type="spellEnd"/>
      <w:r>
        <w:rPr>
          <w:lang w:val="en-US" w:eastAsia="zh-CN"/>
        </w:rPr>
        <w:t xml:space="preserve"> obat. </w:t>
      </w:r>
      <w:r>
        <w:rPr>
          <w:lang w:val="en-US"/>
        </w:rPr>
        <w:t xml:space="preserve">Dengan </w:t>
      </w:r>
      <w:proofErr w:type="spellStart"/>
      <w:r>
        <w:rPr>
          <w:lang w:val="en-US"/>
        </w:rPr>
        <w:t>demikian</w:t>
      </w:r>
      <w:proofErr w:type="spellEnd"/>
      <w:r>
        <w:rPr>
          <w:lang w:val="en-US"/>
        </w:rPr>
        <w:t xml:space="preserve">, </w:t>
      </w:r>
      <w:proofErr w:type="spellStart"/>
      <w:r>
        <w:rPr>
          <w:lang w:val="en-US"/>
        </w:rPr>
        <w:t>rejimen</w:t>
      </w:r>
      <w:proofErr w:type="spellEnd"/>
      <w:r>
        <w:rPr>
          <w:lang w:val="en-US"/>
        </w:rPr>
        <w:t xml:space="preserve"> yang ideal </w:t>
      </w:r>
      <w:proofErr w:type="spellStart"/>
      <w:r>
        <w:rPr>
          <w:lang w:val="en-US"/>
        </w:rPr>
        <w:t>memberikan</w:t>
      </w:r>
      <w:proofErr w:type="spellEnd"/>
      <w:r>
        <w:rPr>
          <w:lang w:val="en-US"/>
        </w:rPr>
        <w:t xml:space="preserve"> analgesia yang </w:t>
      </w:r>
      <w:proofErr w:type="spellStart"/>
      <w:r>
        <w:rPr>
          <w:lang w:val="en-US"/>
        </w:rPr>
        <w:t>memadai</w:t>
      </w:r>
      <w:proofErr w:type="spellEnd"/>
      <w:r>
        <w:rPr>
          <w:lang w:val="en-US"/>
        </w:rPr>
        <w:t xml:space="preserve"> dengan </w:t>
      </w:r>
      <w:proofErr w:type="spellStart"/>
      <w:r>
        <w:rPr>
          <w:lang w:val="en-US"/>
        </w:rPr>
        <w:t>sedikit</w:t>
      </w:r>
      <w:proofErr w:type="spellEnd"/>
      <w:r>
        <w:rPr>
          <w:lang w:val="en-US"/>
        </w:rPr>
        <w:t xml:space="preserve"> </w:t>
      </w:r>
      <w:proofErr w:type="spellStart"/>
      <w:r>
        <w:rPr>
          <w:lang w:val="en-US"/>
        </w:rPr>
        <w:t>efek</w:t>
      </w:r>
      <w:proofErr w:type="spellEnd"/>
      <w:r>
        <w:rPr>
          <w:lang w:val="en-US"/>
        </w:rPr>
        <w:t xml:space="preserve"> </w:t>
      </w:r>
      <w:proofErr w:type="spellStart"/>
      <w:r>
        <w:rPr>
          <w:lang w:val="en-US"/>
        </w:rPr>
        <w:t>samping</w:t>
      </w:r>
      <w:proofErr w:type="spellEnd"/>
      <w:r>
        <w:rPr>
          <w:lang w:val="en-US"/>
        </w:rPr>
        <w:t xml:space="preserve"> </w:t>
      </w:r>
      <w:proofErr w:type="spellStart"/>
      <w:r>
        <w:rPr>
          <w:lang w:val="en-US"/>
        </w:rPr>
        <w:t>setelah</w:t>
      </w:r>
      <w:proofErr w:type="spellEnd"/>
      <w:r>
        <w:rPr>
          <w:lang w:val="en-US"/>
        </w:rPr>
        <w:t xml:space="preserve"> </w:t>
      </w:r>
      <w:proofErr w:type="spellStart"/>
      <w:r>
        <w:rPr>
          <w:lang w:val="en-US"/>
        </w:rPr>
        <w:t>tonsilektomi</w:t>
      </w:r>
      <w:proofErr w:type="spellEnd"/>
      <w:r>
        <w:rPr>
          <w:lang w:val="en-US"/>
        </w:rPr>
        <w:t xml:space="preserve"> </w:t>
      </w:r>
      <w:proofErr w:type="spellStart"/>
      <w:r>
        <w:rPr>
          <w:lang w:val="en-US"/>
        </w:rPr>
        <w:t>masih</w:t>
      </w:r>
      <w:proofErr w:type="spellEnd"/>
      <w:r>
        <w:rPr>
          <w:lang w:val="en-US"/>
        </w:rPr>
        <w:t xml:space="preserve"> </w:t>
      </w:r>
      <w:proofErr w:type="spellStart"/>
      <w:r>
        <w:rPr>
          <w:lang w:val="en-US"/>
        </w:rPr>
        <w:t>belum</w:t>
      </w:r>
      <w:proofErr w:type="spellEnd"/>
      <w:r>
        <w:rPr>
          <w:lang w:val="en-US"/>
        </w:rPr>
        <w:t xml:space="preserve"> ditentukan.</w:t>
      </w:r>
      <w:r>
        <w:rPr>
          <w:lang w:val="en-US"/>
        </w:rPr>
        <w:fldChar w:fldCharType="begin" w:fldLock="1"/>
      </w:r>
      <w:r>
        <w:rPr>
          <w:lang w:val="en-US"/>
        </w:rPr>
        <w:instrText>ADDIN CSL_CITATION {"citationItems":[{"id":"ITEM-1","itemData":{"DOI":"10.1111/anae.15299","ISSN":"13652044","PMID":"33201518","abstract":"Tonsillectomy is one of the most frequently performed surgical procedures; however, pain management remains challenging. Procedure-specific efficacy as well as specific risks of treatment options should guide selection of pain management protocols based on evidence and should optimise analgesia without harm. The aims of this systematic review were to evaluate the available literature and develop recommendations for optimal pain management after tonsillectomy. A systematic review utilising preferred reporting items for systematic reviews and meta-analysis guidelines with procedure-specific postoperative pain management (PROSPECT) methodology was undertaken. Randomised controlled trials published in the English language up to November 2019 assessing postoperative pain using analgesic, anaesthetic or surgical interventions were identified. Out of the 719 potentially eligible studies identified, 226 randomised controlled trials met the inclusion criteria, excluding the studies examining surgical techniques. Pre-operative and intra-operative interventions that improved postoperative pain were paracetamol; non-steroidal anti-inflammatory drugs; intravenous dexamethasone; ketamine (only assessed in children); gabapentinoids; dexmedetomidine; honey; and acupuncture. Inconsistent evidence was found for local anaesthetic infiltration; antibiotics; and magnesium sulphate. Limited evidence was found for clonidine. The analgesic regimen for tonsillectomy should include paracetamol; non-steroidal anti-inflammatory drugs; and intravenous dexamethasone, with opioids as rescue analgesics. Analgesic adjuncts such as intra-operative and postoperative acupuncture as well as postoperative honey are also recommended. Ketamine (only for children); dexmedetomidine; or gabapentinoids may be considered when some of the first-line analgesics are contra-indicated. Further randomised controlled trials are required to define risk and combination of drugs most effective for postoperative pain relief after tonsillectomy.","author":[{"dropping-particle":"","family":"Aldamluji","given":"N.","non-dropping-particle":"","parse-names":false,"suffix":""},{"dropping-particle":"","family":"Burgess","given":"A.","non-dropping-particle":"","parse-names":false,"suffix":""},{"dropping-particle":"","family":"Pogatzki-Zahn","given":"E.","non-dropping-particle":"","parse-names":false,"suffix":""},{"dropping-particle":"","family":"Raeder","given":"J.","non-dropping-particle":"","parse-names":false,"suffix":""},{"dropping-particle":"","family":"Beloeil","given":"H.","non-dropping-particle":"","parse-names":false,"suffix":""},{"dropping-particle":"","family":"Albrecht","given":"E.","non-dropping-particle":"","parse-names":false,"suffix":""},{"dropping-particle":"","family":"Beloeil","given":"H.","non-dropping-particle":"","parse-names":false,"suffix":""},{"dropping-particle":"","family":"Bonnet","given":"F.","non-dropping-particle":"","parse-names":false,"suffix":""},{"dropping-particle":"","family":"Freys","given":"S.","non-dropping-particle":"","parse-names":false,"suffix":""},{"dropping-particle":"","family":"Joshi","given":"G. P.","non-dropping-particle":"","parse-names":false,"suffix":""},{"dropping-particle":"","family":"Kehlet","given":"H.","non-dropping-particle":"","parse-names":false,"suffix":""},{"dropping-particle":"","family":"Lavand’homme","given":"P.","non-dropping-particle":"","parse-names":false,"suffix":""},{"dropping-particle":"","family":"Lirk","given":"P.","non-dropping-particle":"","parse-names":false,"suffix":""},{"dropping-particle":"","family":"Lobo","given":"D.","non-dropping-particle":"","parse-names":false,"suffix":""},{"dropping-particle":"","family":"Pogatzki-Zahn","given":"E.","non-dropping-particle":"","parse-names":false,"suffix":""},{"dropping-particle":"","family":"Rawal","given":"N.","non-dropping-particle":"","parse-names":false,"suffix":""},{"dropping-particle":"","family":"Raeder","given":"J.","non-dropping-particle":"","parse-names":false,"suffix":""},{"dropping-particle":"","family":"Sauter","given":"A.","non-dropping-particle":"","parse-names":false,"suffix":""},{"dropping-particle":"","family":"Schug","given":"S.","non-dropping-particle":"","parse-names":false,"suffix":""},{"dropping-particle":"","family":"Velde","given":"M.","non-dropping-particle":"van de","parse-names":false,"suffix":""}],"container-title":"Anaesthesia","id":"ITEM-1","issue":"7","issued":{"date-parts":[["2021"]]},"page":"947-961","title":"PROSPECT guideline for tonsillectomy: systematic review and procedure-specific postoperative pain management recommendations","type":"article-journal","volume":"76"},"uris":["http://www.mendeley.com/documents/?uuid=e172f384-2a8d-461a-b40a-e6bf446587dd"]}],"mendeley":{"formattedCitation":"&lt;sup&gt;10&lt;/sup&gt;","plainTextFormattedCitation":"10","previouslyFormattedCitation":"&lt;sup&gt;10&lt;/sup&gt;"},"properties":{"noteIndex":0},"schema":"https://github.com/citation-style-language/schema/raw/master/csl-citation.json"}</w:instrText>
      </w:r>
      <w:r>
        <w:rPr>
          <w:lang w:val="en-US"/>
        </w:rPr>
        <w:fldChar w:fldCharType="separate"/>
      </w:r>
      <w:r>
        <w:rPr>
          <w:noProof/>
          <w:vertAlign w:val="superscript"/>
          <w:lang w:val="en-US"/>
        </w:rPr>
        <w:t>10</w:t>
      </w:r>
      <w:r>
        <w:rPr>
          <w:lang w:val="en-US"/>
        </w:rPr>
        <w:fldChar w:fldCharType="end"/>
      </w:r>
      <w:r>
        <w:t xml:space="preserve"> </w:t>
      </w:r>
      <w:r>
        <w:rPr>
          <w:rFonts w:eastAsiaTheme="minorEastAsia" w:hint="eastAsia"/>
          <w:lang w:eastAsia="zh-CN"/>
        </w:rPr>
        <w:t>K</w:t>
      </w:r>
      <w:r>
        <w:rPr>
          <w:rFonts w:eastAsiaTheme="minorEastAsia"/>
          <w:lang w:val="id-ID" w:eastAsia="zh-CN"/>
        </w:rPr>
        <w:t xml:space="preserve">elompok </w:t>
      </w:r>
      <w:r>
        <w:rPr>
          <w:i/>
          <w:iCs/>
          <w:lang w:val="en-US"/>
        </w:rPr>
        <w:t>procedure specific post-operative pain management</w:t>
      </w:r>
      <w:r>
        <w:rPr>
          <w:lang w:val="id-ID"/>
        </w:rPr>
        <w:t xml:space="preserve"> (</w:t>
      </w:r>
      <w:r>
        <w:rPr>
          <w:lang w:val="en-US"/>
        </w:rPr>
        <w:t xml:space="preserve">PROSPECT) </w:t>
      </w:r>
      <w:r>
        <w:rPr>
          <w:lang w:val="id-ID"/>
        </w:rPr>
        <w:t xml:space="preserve">yang merupakan </w:t>
      </w:r>
      <w:proofErr w:type="spellStart"/>
      <w:r>
        <w:rPr>
          <w:lang w:val="en-US"/>
        </w:rPr>
        <w:t>kolaborasi</w:t>
      </w:r>
      <w:proofErr w:type="spellEnd"/>
      <w:r>
        <w:rPr>
          <w:lang w:val="en-US"/>
        </w:rPr>
        <w:t xml:space="preserve"> </w:t>
      </w:r>
      <w:proofErr w:type="spellStart"/>
      <w:r>
        <w:rPr>
          <w:lang w:val="en-US"/>
        </w:rPr>
        <w:t>ahli</w:t>
      </w:r>
      <w:proofErr w:type="spellEnd"/>
      <w:r>
        <w:rPr>
          <w:lang w:val="en-US"/>
        </w:rPr>
        <w:t xml:space="preserve"> </w:t>
      </w:r>
      <w:proofErr w:type="spellStart"/>
      <w:r>
        <w:rPr>
          <w:lang w:val="en-US"/>
        </w:rPr>
        <w:t>anestesi</w:t>
      </w:r>
      <w:proofErr w:type="spellEnd"/>
      <w:r>
        <w:rPr>
          <w:lang w:val="en-US"/>
        </w:rPr>
        <w:t xml:space="preserve"> dan </w:t>
      </w:r>
      <w:proofErr w:type="spellStart"/>
      <w:r>
        <w:rPr>
          <w:lang w:val="en-US"/>
        </w:rPr>
        <w:t>ahli</w:t>
      </w:r>
      <w:proofErr w:type="spellEnd"/>
      <w:r>
        <w:rPr>
          <w:lang w:val="en-US"/>
        </w:rPr>
        <w:t xml:space="preserve"> </w:t>
      </w:r>
      <w:proofErr w:type="spellStart"/>
      <w:r>
        <w:rPr>
          <w:lang w:val="en-US"/>
        </w:rPr>
        <w:t>bedah</w:t>
      </w:r>
      <w:proofErr w:type="spellEnd"/>
      <w:r>
        <w:rPr>
          <w:lang w:val="en-US"/>
        </w:rPr>
        <w:t xml:space="preserve"> yang </w:t>
      </w:r>
      <w:proofErr w:type="spellStart"/>
      <w:r>
        <w:rPr>
          <w:lang w:val="en-US"/>
        </w:rPr>
        <w:t>bekerja</w:t>
      </w:r>
      <w:proofErr w:type="spellEnd"/>
      <w:r>
        <w:rPr>
          <w:lang w:val="en-US"/>
        </w:rPr>
        <w:t xml:space="preserve"> untuk </w:t>
      </w:r>
      <w:proofErr w:type="spellStart"/>
      <w:r>
        <w:rPr>
          <w:lang w:val="en-US"/>
        </w:rPr>
        <w:t>membuat</w:t>
      </w:r>
      <w:proofErr w:type="spellEnd"/>
      <w:r>
        <w:rPr>
          <w:lang w:val="en-US"/>
        </w:rPr>
        <w:t xml:space="preserve"> </w:t>
      </w:r>
      <w:proofErr w:type="spellStart"/>
      <w:r>
        <w:rPr>
          <w:lang w:val="en-US"/>
        </w:rPr>
        <w:t>rekomendasi</w:t>
      </w:r>
      <w:proofErr w:type="spellEnd"/>
      <w:r>
        <w:rPr>
          <w:lang w:val="en-US"/>
        </w:rPr>
        <w:t xml:space="preserve"> </w:t>
      </w:r>
      <w:proofErr w:type="spellStart"/>
      <w:r>
        <w:rPr>
          <w:lang w:val="en-US"/>
        </w:rPr>
        <w:t>spesifik</w:t>
      </w:r>
      <w:proofErr w:type="spellEnd"/>
      <w:r>
        <w:rPr>
          <w:lang w:val="en-US"/>
        </w:rPr>
        <w:t xml:space="preserve"> </w:t>
      </w:r>
      <w:proofErr w:type="spellStart"/>
      <w:r>
        <w:rPr>
          <w:lang w:val="en-US"/>
        </w:rPr>
        <w:t>prosedur</w:t>
      </w:r>
      <w:proofErr w:type="spellEnd"/>
      <w:r>
        <w:rPr>
          <w:lang w:val="en-US"/>
        </w:rPr>
        <w:t xml:space="preserve"> untuk </w:t>
      </w:r>
      <w:proofErr w:type="spellStart"/>
      <w:r>
        <w:rPr>
          <w:lang w:val="en-US"/>
        </w:rPr>
        <w:t>manajemen</w:t>
      </w:r>
      <w:proofErr w:type="spellEnd"/>
      <w:r>
        <w:rPr>
          <w:lang w:val="en-US"/>
        </w:rPr>
        <w:t xml:space="preserve"> </w:t>
      </w:r>
      <w:proofErr w:type="spellStart"/>
      <w:r>
        <w:rPr>
          <w:lang w:val="en-US"/>
        </w:rPr>
        <w:t>nyeri</w:t>
      </w:r>
      <w:proofErr w:type="spellEnd"/>
      <w:r>
        <w:rPr>
          <w:lang w:val="en-US"/>
        </w:rPr>
        <w:t xml:space="preserve"> </w:t>
      </w:r>
      <w:proofErr w:type="spellStart"/>
      <w:r>
        <w:rPr>
          <w:lang w:val="en-US"/>
        </w:rPr>
        <w:t>setelah</w:t>
      </w:r>
      <w:proofErr w:type="spellEnd"/>
      <w:r>
        <w:rPr>
          <w:lang w:val="en-US"/>
        </w:rPr>
        <w:t xml:space="preserve"> </w:t>
      </w:r>
      <w:proofErr w:type="spellStart"/>
      <w:r>
        <w:rPr>
          <w:lang w:val="en-US"/>
        </w:rPr>
        <w:t>prosedur</w:t>
      </w:r>
      <w:proofErr w:type="spellEnd"/>
      <w:r>
        <w:rPr>
          <w:lang w:val="en-US"/>
        </w:rPr>
        <w:t xml:space="preserve"> </w:t>
      </w:r>
      <w:proofErr w:type="spellStart"/>
      <w:r>
        <w:rPr>
          <w:lang w:val="en-US"/>
        </w:rPr>
        <w:t>pembedahan</w:t>
      </w:r>
      <w:proofErr w:type="spellEnd"/>
      <w:r>
        <w:rPr>
          <w:lang w:val="en-US"/>
        </w:rPr>
        <w:t xml:space="preserve"> yang </w:t>
      </w:r>
      <w:proofErr w:type="spellStart"/>
      <w:r>
        <w:rPr>
          <w:lang w:val="en-US"/>
        </w:rPr>
        <w:t>menyakitkan</w:t>
      </w:r>
      <w:proofErr w:type="spellEnd"/>
      <w:r>
        <w:rPr>
          <w:lang w:val="en-US"/>
        </w:rPr>
        <w:t xml:space="preserve">. </w:t>
      </w:r>
      <w:proofErr w:type="spellStart"/>
      <w:r>
        <w:rPr>
          <w:lang w:val="en-US"/>
        </w:rPr>
        <w:t>Rekomendasi</w:t>
      </w:r>
      <w:proofErr w:type="spellEnd"/>
      <w:r>
        <w:rPr>
          <w:lang w:val="en-US"/>
        </w:rPr>
        <w:t xml:space="preserve"> </w:t>
      </w:r>
      <w:proofErr w:type="spellStart"/>
      <w:r>
        <w:rPr>
          <w:lang w:val="en-US"/>
        </w:rPr>
        <w:t>tersebut</w:t>
      </w:r>
      <w:proofErr w:type="spellEnd"/>
      <w:r>
        <w:rPr>
          <w:lang w:val="en-US"/>
        </w:rPr>
        <w:t xml:space="preserve"> </w:t>
      </w:r>
      <w:proofErr w:type="spellStart"/>
      <w:r>
        <w:rPr>
          <w:lang w:val="en-US"/>
        </w:rPr>
        <w:t>ditetapkan</w:t>
      </w:r>
      <w:proofErr w:type="spellEnd"/>
      <w:r>
        <w:rPr>
          <w:lang w:val="en-US"/>
        </w:rPr>
        <w:t xml:space="preserve"> </w:t>
      </w:r>
      <w:proofErr w:type="spellStart"/>
      <w:r>
        <w:rPr>
          <w:lang w:val="en-US"/>
        </w:rPr>
        <w:t>berdasarkan</w:t>
      </w:r>
      <w:proofErr w:type="spellEnd"/>
      <w:r>
        <w:rPr>
          <w:lang w:val="en-US"/>
        </w:rPr>
        <w:t xml:space="preserve"> </w:t>
      </w:r>
      <w:proofErr w:type="spellStart"/>
      <w:r>
        <w:rPr>
          <w:lang w:val="en-US"/>
        </w:rPr>
        <w:t>tinjauan</w:t>
      </w:r>
      <w:proofErr w:type="spellEnd"/>
      <w:r>
        <w:rPr>
          <w:lang w:val="en-US"/>
        </w:rPr>
        <w:t xml:space="preserve"> </w:t>
      </w:r>
      <w:proofErr w:type="spellStart"/>
      <w:r>
        <w:rPr>
          <w:lang w:val="en-US"/>
        </w:rPr>
        <w:t>sistematik</w:t>
      </w:r>
      <w:proofErr w:type="spellEnd"/>
      <w:r>
        <w:rPr>
          <w:lang w:val="en-US"/>
        </w:rPr>
        <w:t xml:space="preserve"> </w:t>
      </w:r>
      <w:proofErr w:type="spellStart"/>
      <w:r>
        <w:rPr>
          <w:lang w:val="en-US"/>
        </w:rPr>
        <w:t>prosedurspesifik</w:t>
      </w:r>
      <w:proofErr w:type="spellEnd"/>
      <w:r>
        <w:rPr>
          <w:lang w:val="en-US"/>
        </w:rPr>
        <w:t xml:space="preserve"> </w:t>
      </w:r>
      <w:proofErr w:type="spellStart"/>
      <w:r>
        <w:rPr>
          <w:lang w:val="en-US"/>
        </w:rPr>
        <w:t>dari</w:t>
      </w:r>
      <w:proofErr w:type="spellEnd"/>
      <w:r>
        <w:rPr>
          <w:lang w:val="en-US"/>
        </w:rPr>
        <w:t xml:space="preserve"> uji klinis </w:t>
      </w:r>
      <w:proofErr w:type="spellStart"/>
      <w:r>
        <w:rPr>
          <w:lang w:val="en-US"/>
        </w:rPr>
        <w:t>terkontrol</w:t>
      </w:r>
      <w:proofErr w:type="spellEnd"/>
      <w:r>
        <w:rPr>
          <w:lang w:val="en-US"/>
        </w:rPr>
        <w:t xml:space="preserve"> </w:t>
      </w:r>
      <w:proofErr w:type="spellStart"/>
      <w:r>
        <w:rPr>
          <w:lang w:val="en-US"/>
        </w:rPr>
        <w:t>acak</w:t>
      </w:r>
      <w:proofErr w:type="spellEnd"/>
      <w:r>
        <w:rPr>
          <w:lang w:val="en-US"/>
        </w:rPr>
        <w:t xml:space="preserve">, </w:t>
      </w:r>
      <w:proofErr w:type="spellStart"/>
      <w:r>
        <w:rPr>
          <w:lang w:val="en-US"/>
        </w:rPr>
        <w:t>bukti</w:t>
      </w:r>
      <w:proofErr w:type="spellEnd"/>
      <w:r>
        <w:rPr>
          <w:lang w:val="en-US"/>
        </w:rPr>
        <w:t xml:space="preserve"> </w:t>
      </w:r>
      <w:proofErr w:type="spellStart"/>
      <w:r>
        <w:rPr>
          <w:lang w:val="en-US"/>
        </w:rPr>
        <w:t>praktik</w:t>
      </w:r>
      <w:proofErr w:type="spellEnd"/>
      <w:r>
        <w:rPr>
          <w:lang w:val="en-US"/>
        </w:rPr>
        <w:t xml:space="preserve"> klinis, </w:t>
      </w:r>
      <w:proofErr w:type="spellStart"/>
      <w:r>
        <w:rPr>
          <w:lang w:val="en-US"/>
        </w:rPr>
        <w:t>kemanjuran</w:t>
      </w:r>
      <w:proofErr w:type="spellEnd"/>
      <w:r>
        <w:rPr>
          <w:lang w:val="en-US"/>
        </w:rPr>
        <w:t xml:space="preserve"> dan </w:t>
      </w:r>
      <w:proofErr w:type="spellStart"/>
      <w:r>
        <w:rPr>
          <w:lang w:val="en-US"/>
        </w:rPr>
        <w:t>efek</w:t>
      </w:r>
      <w:proofErr w:type="spellEnd"/>
      <w:r>
        <w:rPr>
          <w:lang w:val="en-US"/>
        </w:rPr>
        <w:t xml:space="preserve"> </w:t>
      </w:r>
      <w:proofErr w:type="spellStart"/>
      <w:r>
        <w:rPr>
          <w:lang w:val="en-US"/>
        </w:rPr>
        <w:t>merugikan</w:t>
      </w:r>
      <w:proofErr w:type="spellEnd"/>
      <w:r>
        <w:rPr>
          <w:lang w:val="en-US"/>
        </w:rPr>
        <w:t xml:space="preserve"> </w:t>
      </w:r>
      <w:proofErr w:type="spellStart"/>
      <w:r>
        <w:rPr>
          <w:lang w:val="en-US"/>
        </w:rPr>
        <w:t>dari</w:t>
      </w:r>
      <w:proofErr w:type="spellEnd"/>
      <w:r>
        <w:rPr>
          <w:lang w:val="en-US"/>
        </w:rPr>
        <w:t xml:space="preserve"> </w:t>
      </w:r>
      <w:proofErr w:type="spellStart"/>
      <w:r>
        <w:rPr>
          <w:lang w:val="en-US"/>
        </w:rPr>
        <w:t>teknik</w:t>
      </w:r>
      <w:proofErr w:type="spellEnd"/>
      <w:r>
        <w:rPr>
          <w:lang w:val="en-US"/>
        </w:rPr>
        <w:t xml:space="preserve"> </w:t>
      </w:r>
      <w:proofErr w:type="spellStart"/>
      <w:r>
        <w:rPr>
          <w:lang w:val="en-US"/>
        </w:rPr>
        <w:t>analgesik</w:t>
      </w:r>
      <w:proofErr w:type="spellEnd"/>
      <w:r>
        <w:rPr>
          <w:lang w:val="en-US"/>
        </w:rPr>
        <w:t>.</w:t>
      </w:r>
      <w:r>
        <w:rPr>
          <w:rFonts w:eastAsiaTheme="minorEastAsia" w:hint="eastAsia"/>
          <w:lang w:eastAsia="zh-CN"/>
        </w:rPr>
        <w:t xml:space="preserve"> </w:t>
      </w:r>
      <w:proofErr w:type="spellStart"/>
      <w:r>
        <w:rPr>
          <w:lang w:val="en-US"/>
        </w:rPr>
        <w:t>Rekomendasi</w:t>
      </w:r>
      <w:proofErr w:type="spellEnd"/>
      <w:r>
        <w:rPr>
          <w:lang w:val="en-US"/>
        </w:rPr>
        <w:t xml:space="preserve"> PROSPECT saat ini untuk </w:t>
      </w:r>
      <w:proofErr w:type="spellStart"/>
      <w:r>
        <w:rPr>
          <w:lang w:val="en-US"/>
        </w:rPr>
        <w:t>tonsilektomi</w:t>
      </w:r>
      <w:proofErr w:type="spellEnd"/>
      <w:r>
        <w:rPr>
          <w:lang w:val="en-US"/>
        </w:rPr>
        <w:t xml:space="preserve"> </w:t>
      </w:r>
      <w:r>
        <w:rPr>
          <w:lang w:val="id-ID"/>
        </w:rPr>
        <w:t>yaitu</w:t>
      </w:r>
      <w:r>
        <w:rPr>
          <w:lang w:val="en-US"/>
        </w:rPr>
        <w:fldChar w:fldCharType="begin" w:fldLock="1"/>
      </w:r>
      <w:r>
        <w:rPr>
          <w:lang w:val="en-US"/>
        </w:rPr>
        <w:instrText>ADDIN CSL_CITATION {"citationItems":[{"id":"ITEM-1","itemData":{"DOI":"10.53350/pjmhs20221611358","abstract":"Introduction: Tonsillectomy is a painful surgical procedure accompanied by moderate to severe pain several days after surgery. Despite the often severe pain after tonsillectomy, under-treatment of pain has been consistently reported. The cause of this under-treatment is inadequate education of health care professionals regarding pain management. Objectives: The aim of this study was to assess perioperative pain treatment given to tonsillectomy patients in otorhinolaryngology departments of tertiary care Hospitals using Procedure specific post-operative pain management (PROSPECT) guidelines for tonsillectomy. Methodology: It was an observational study with prospective data inclusion. A questionnaire was designed and filled by investigators on three different occasions (pre-operative, intra-operative and post-operative). Questionaire was comprised of Patient’s demographic details, surgical indication, surgical technique used, post-operative complications and details of analgesics used during pre-operative, intra-operative and post-operative settings. Results: NSAIDs (Ibuprofen, ketorolac, Flurbiprofen) were predominantly used class for perioperative analgesia alone or in combination with each other among tonsillectomy patients. Dexamethasone injection was given intra-operatively to 97% of the patient regardless of age. Nelbuphin an opioid analgesic was used only in 7% of the patients intra-operatively. Conclusion: Current study indicates that perioperative pain management for tonsillectomy in two tertiary care hospitals of Punjab was in conformity with PROSPECT guidelines for tonsillectomy patients. Patients were given standard pain treatment. However, study needs a further evaluation with larger data from different hospitals. Keywords: PROSPECT, Analgesic, Tonsillectomy, NSAIDS, Opioids","author":[{"dropping-particle":"","family":"Nazish","given":"Gul E","non-dropping-particle":"","parse-names":false,"suffix":""},{"dropping-particle":"","family":"Afridi","given":"Arshadullah","non-dropping-particle":"","parse-names":false,"suffix":""},{"dropping-particle":"","family":"Inam","given":"Asma","non-dropping-particle":"","parse-names":false,"suffix":""},{"dropping-particle":"","family":"Sanawar","given":"Maniha","non-dropping-particle":"","parse-names":false,"suffix":""},{"dropping-particle":"","family":"Akhtar","given":"Mahreen","non-dropping-particle":"","parse-names":false,"suffix":""},{"dropping-particle":"","family":"Arshad","given":"Waleed","non-dropping-particle":"","parse-names":false,"suffix":""}],"container-title":"Pakistan Journal of Medical and Health Sciences","id":"ITEM-1","issue":"11","issued":{"date-parts":[["2022"]]},"page":"358-360","title":"Evaluation of Perioperative Pain Treatment of Tonsillectomy Patients Using Prospect Recommendations in Tertiary Hospitals","type":"article-journal","volume":"16"},"uris":["http://www.mendeley.com/documents/?uuid=2daf29d6-2688-48a0-b032-5240facb393c"]}],"mendeley":{"formattedCitation":"&lt;sup&gt;2&lt;/sup&gt;","plainTextFormattedCitation":"2","previouslyFormattedCitation":"&lt;sup&gt;2&lt;/sup&gt;"},"properties":{"noteIndex":0},"schema":"https://github.com/citation-style-language/schema/raw/master/csl-citation.json"}</w:instrText>
      </w:r>
      <w:r>
        <w:rPr>
          <w:lang w:val="en-US"/>
        </w:rPr>
        <w:fldChar w:fldCharType="separate"/>
      </w:r>
      <w:r>
        <w:rPr>
          <w:noProof/>
          <w:vertAlign w:val="superscript"/>
          <w:lang w:val="en-US"/>
        </w:rPr>
        <w:t>2</w:t>
      </w:r>
      <w:r>
        <w:rPr>
          <w:lang w:val="en-US"/>
        </w:rPr>
        <w:fldChar w:fldCharType="end"/>
      </w:r>
    </w:p>
    <w:p w14:paraId="52410D05" w14:textId="77777777" w:rsidR="003B79BC" w:rsidRDefault="00000000">
      <w:pPr>
        <w:pStyle w:val="ListParagraph"/>
        <w:numPr>
          <w:ilvl w:val="6"/>
          <w:numId w:val="6"/>
        </w:numPr>
        <w:spacing w:line="360" w:lineRule="auto"/>
        <w:ind w:left="426"/>
        <w:jc w:val="both"/>
        <w:rPr>
          <w:lang w:eastAsia="zh-CN"/>
        </w:rPr>
      </w:pPr>
      <w:proofErr w:type="spellStart"/>
      <w:r>
        <w:rPr>
          <w:lang w:val="en-US" w:eastAsia="zh-CN"/>
        </w:rPr>
        <w:t>Rejimen</w:t>
      </w:r>
      <w:proofErr w:type="spellEnd"/>
      <w:r>
        <w:rPr>
          <w:lang w:val="en-US" w:eastAsia="zh-CN"/>
        </w:rPr>
        <w:t xml:space="preserve"> </w:t>
      </w:r>
      <w:proofErr w:type="spellStart"/>
      <w:r>
        <w:rPr>
          <w:lang w:val="en-US" w:eastAsia="zh-CN"/>
        </w:rPr>
        <w:t>analgesik</w:t>
      </w:r>
      <w:proofErr w:type="spellEnd"/>
      <w:r>
        <w:rPr>
          <w:lang w:val="en-US" w:eastAsia="zh-CN"/>
        </w:rPr>
        <w:t xml:space="preserve"> </w:t>
      </w:r>
      <w:proofErr w:type="spellStart"/>
      <w:r>
        <w:rPr>
          <w:lang w:val="en-US" w:eastAsia="zh-CN"/>
        </w:rPr>
        <w:t>dasar</w:t>
      </w:r>
      <w:proofErr w:type="spellEnd"/>
      <w:r>
        <w:rPr>
          <w:lang w:val="en-US" w:eastAsia="zh-CN"/>
        </w:rPr>
        <w:t xml:space="preserve"> </w:t>
      </w:r>
      <w:proofErr w:type="spellStart"/>
      <w:r>
        <w:rPr>
          <w:lang w:val="en-US" w:eastAsia="zh-CN"/>
        </w:rPr>
        <w:t>harus</w:t>
      </w:r>
      <w:proofErr w:type="spellEnd"/>
      <w:r>
        <w:rPr>
          <w:lang w:val="en-US" w:eastAsia="zh-CN"/>
        </w:rPr>
        <w:t xml:space="preserve"> </w:t>
      </w:r>
      <w:proofErr w:type="spellStart"/>
      <w:r>
        <w:rPr>
          <w:lang w:val="en-US" w:eastAsia="zh-CN"/>
        </w:rPr>
        <w:t>mencakup</w:t>
      </w:r>
      <w:proofErr w:type="spellEnd"/>
      <w:r>
        <w:rPr>
          <w:lang w:val="en-US" w:eastAsia="zh-CN"/>
        </w:rPr>
        <w:t xml:space="preserve"> </w:t>
      </w:r>
      <w:proofErr w:type="spellStart"/>
      <w:r>
        <w:rPr>
          <w:lang w:val="en-US" w:eastAsia="zh-CN"/>
        </w:rPr>
        <w:t>parasetamol</w:t>
      </w:r>
      <w:proofErr w:type="spellEnd"/>
      <w:r>
        <w:rPr>
          <w:lang w:val="en-US" w:eastAsia="zh-CN"/>
        </w:rPr>
        <w:t xml:space="preserve"> dan obat </w:t>
      </w:r>
      <w:proofErr w:type="spellStart"/>
      <w:r>
        <w:rPr>
          <w:lang w:val="en-US" w:eastAsia="zh-CN"/>
        </w:rPr>
        <w:t>antiinflamasi</w:t>
      </w:r>
      <w:proofErr w:type="spellEnd"/>
      <w:r>
        <w:rPr>
          <w:lang w:val="en-US" w:eastAsia="zh-CN"/>
        </w:rPr>
        <w:t xml:space="preserve"> nonsteroid (NSAID) yang </w:t>
      </w:r>
      <w:proofErr w:type="spellStart"/>
      <w:r>
        <w:rPr>
          <w:lang w:val="en-US" w:eastAsia="zh-CN"/>
        </w:rPr>
        <w:t>diberikan</w:t>
      </w:r>
      <w:proofErr w:type="spellEnd"/>
      <w:r>
        <w:rPr>
          <w:lang w:val="en-US" w:eastAsia="zh-CN"/>
        </w:rPr>
        <w:t xml:space="preserve"> </w:t>
      </w:r>
      <w:proofErr w:type="spellStart"/>
      <w:r>
        <w:rPr>
          <w:lang w:val="en-US" w:eastAsia="zh-CN"/>
        </w:rPr>
        <w:t>sebelum</w:t>
      </w:r>
      <w:proofErr w:type="spellEnd"/>
      <w:r>
        <w:rPr>
          <w:lang w:val="en-US" w:eastAsia="zh-CN"/>
        </w:rPr>
        <w:t xml:space="preserve"> </w:t>
      </w:r>
      <w:proofErr w:type="spellStart"/>
      <w:r>
        <w:rPr>
          <w:lang w:val="en-US" w:eastAsia="zh-CN"/>
        </w:rPr>
        <w:t>bedah</w:t>
      </w:r>
      <w:proofErr w:type="spellEnd"/>
      <w:r>
        <w:rPr>
          <w:lang w:val="en-US" w:eastAsia="zh-CN"/>
        </w:rPr>
        <w:t xml:space="preserve"> atau </w:t>
      </w:r>
      <w:proofErr w:type="spellStart"/>
      <w:r>
        <w:rPr>
          <w:lang w:val="en-US" w:eastAsia="zh-CN"/>
        </w:rPr>
        <w:t>intraoperatif</w:t>
      </w:r>
      <w:proofErr w:type="spellEnd"/>
      <w:r>
        <w:rPr>
          <w:lang w:val="en-US" w:eastAsia="zh-CN"/>
        </w:rPr>
        <w:t xml:space="preserve"> dan </w:t>
      </w:r>
      <w:proofErr w:type="spellStart"/>
      <w:r>
        <w:rPr>
          <w:lang w:val="en-US" w:eastAsia="zh-CN"/>
        </w:rPr>
        <w:t>dilanjutkan</w:t>
      </w:r>
      <w:proofErr w:type="spellEnd"/>
      <w:r>
        <w:rPr>
          <w:lang w:val="en-US" w:eastAsia="zh-CN"/>
        </w:rPr>
        <w:t xml:space="preserve"> </w:t>
      </w:r>
      <w:proofErr w:type="spellStart"/>
      <w:r>
        <w:rPr>
          <w:lang w:val="en-US" w:eastAsia="zh-CN"/>
        </w:rPr>
        <w:t>pascabedah</w:t>
      </w:r>
      <w:proofErr w:type="spellEnd"/>
      <w:r>
        <w:rPr>
          <w:lang w:val="en-US" w:eastAsia="zh-CN"/>
        </w:rPr>
        <w:t>.</w:t>
      </w:r>
    </w:p>
    <w:p w14:paraId="249D562E" w14:textId="77777777" w:rsidR="003B79BC" w:rsidRDefault="00000000">
      <w:pPr>
        <w:pStyle w:val="ListParagraph"/>
        <w:numPr>
          <w:ilvl w:val="6"/>
          <w:numId w:val="6"/>
        </w:numPr>
        <w:spacing w:line="360" w:lineRule="auto"/>
        <w:ind w:left="426"/>
        <w:jc w:val="both"/>
      </w:pPr>
      <w:r>
        <w:rPr>
          <w:lang w:val="en-US"/>
        </w:rPr>
        <w:t xml:space="preserve">Dosis </w:t>
      </w:r>
      <w:proofErr w:type="spellStart"/>
      <w:r>
        <w:rPr>
          <w:lang w:val="en-US"/>
        </w:rPr>
        <w:t>tunggal</w:t>
      </w:r>
      <w:proofErr w:type="spellEnd"/>
      <w:r>
        <w:rPr>
          <w:lang w:val="en-US"/>
        </w:rPr>
        <w:t xml:space="preserve"> </w:t>
      </w:r>
      <w:proofErr w:type="spellStart"/>
      <w:r>
        <w:rPr>
          <w:lang w:val="en-US"/>
        </w:rPr>
        <w:t>deksametason</w:t>
      </w:r>
      <w:proofErr w:type="spellEnd"/>
      <w:r>
        <w:rPr>
          <w:lang w:val="en-US"/>
        </w:rPr>
        <w:t xml:space="preserve"> </w:t>
      </w:r>
      <w:proofErr w:type="spellStart"/>
      <w:r>
        <w:rPr>
          <w:lang w:val="en-US"/>
        </w:rPr>
        <w:t>intravena</w:t>
      </w:r>
      <w:proofErr w:type="spellEnd"/>
      <w:r>
        <w:rPr>
          <w:lang w:val="en-US"/>
        </w:rPr>
        <w:t xml:space="preserve"> (</w:t>
      </w:r>
      <w:r>
        <w:rPr>
          <w:lang w:val="id-ID"/>
        </w:rPr>
        <w:t>IV</w:t>
      </w:r>
      <w:r>
        <w:rPr>
          <w:lang w:val="en-US"/>
        </w:rPr>
        <w:t xml:space="preserve">) </w:t>
      </w:r>
      <w:proofErr w:type="spellStart"/>
      <w:r>
        <w:rPr>
          <w:lang w:val="en-US"/>
        </w:rPr>
        <w:t>direkomendasikan</w:t>
      </w:r>
      <w:proofErr w:type="spellEnd"/>
      <w:r>
        <w:rPr>
          <w:lang w:val="en-US"/>
        </w:rPr>
        <w:t xml:space="preserve"> untuk </w:t>
      </w:r>
      <w:proofErr w:type="spellStart"/>
      <w:r>
        <w:rPr>
          <w:lang w:val="en-US"/>
        </w:rPr>
        <w:t>efek</w:t>
      </w:r>
      <w:proofErr w:type="spellEnd"/>
      <w:r>
        <w:rPr>
          <w:lang w:val="en-US"/>
        </w:rPr>
        <w:t xml:space="preserve"> </w:t>
      </w:r>
      <w:proofErr w:type="spellStart"/>
      <w:r>
        <w:rPr>
          <w:lang w:val="en-US"/>
        </w:rPr>
        <w:t>analgesik</w:t>
      </w:r>
      <w:proofErr w:type="spellEnd"/>
      <w:r>
        <w:rPr>
          <w:lang w:val="en-US"/>
        </w:rPr>
        <w:t xml:space="preserve"> dan </w:t>
      </w:r>
      <w:proofErr w:type="spellStart"/>
      <w:r>
        <w:rPr>
          <w:lang w:val="en-US"/>
        </w:rPr>
        <w:t>antiemetiknya</w:t>
      </w:r>
      <w:proofErr w:type="spellEnd"/>
      <w:r>
        <w:rPr>
          <w:lang w:val="en-US"/>
        </w:rPr>
        <w:t>.</w:t>
      </w:r>
    </w:p>
    <w:p w14:paraId="42FFE2A0" w14:textId="77777777" w:rsidR="003B79BC" w:rsidRDefault="00000000">
      <w:pPr>
        <w:pStyle w:val="ListParagraph"/>
        <w:numPr>
          <w:ilvl w:val="6"/>
          <w:numId w:val="6"/>
        </w:numPr>
        <w:spacing w:line="360" w:lineRule="auto"/>
        <w:ind w:left="426"/>
        <w:jc w:val="both"/>
        <w:rPr>
          <w:lang w:eastAsia="zh-CN"/>
        </w:rPr>
      </w:pPr>
      <w:proofErr w:type="spellStart"/>
      <w:r>
        <w:rPr>
          <w:lang w:val="en-US" w:eastAsia="zh-CN"/>
        </w:rPr>
        <w:t>Gabapentinoid</w:t>
      </w:r>
      <w:proofErr w:type="spellEnd"/>
      <w:r>
        <w:rPr>
          <w:lang w:val="en-US" w:eastAsia="zh-CN"/>
        </w:rPr>
        <w:t xml:space="preserve"> </w:t>
      </w:r>
      <w:proofErr w:type="spellStart"/>
      <w:r>
        <w:rPr>
          <w:lang w:val="en-US" w:eastAsia="zh-CN"/>
        </w:rPr>
        <w:t>pra-bedah</w:t>
      </w:r>
      <w:proofErr w:type="spellEnd"/>
      <w:r>
        <w:rPr>
          <w:lang w:val="en-US" w:eastAsia="zh-CN"/>
        </w:rPr>
        <w:t xml:space="preserve">, </w:t>
      </w:r>
      <w:proofErr w:type="spellStart"/>
      <w:r>
        <w:rPr>
          <w:lang w:val="en-US" w:eastAsia="zh-CN"/>
        </w:rPr>
        <w:t>ketamin</w:t>
      </w:r>
      <w:proofErr w:type="spellEnd"/>
      <w:r>
        <w:rPr>
          <w:lang w:val="en-US" w:eastAsia="zh-CN"/>
        </w:rPr>
        <w:t xml:space="preserve"> intra-</w:t>
      </w:r>
      <w:proofErr w:type="spellStart"/>
      <w:r>
        <w:rPr>
          <w:lang w:val="en-US" w:eastAsia="zh-CN"/>
        </w:rPr>
        <w:t>bedah</w:t>
      </w:r>
      <w:proofErr w:type="spellEnd"/>
      <w:r>
        <w:rPr>
          <w:lang w:val="en-US" w:eastAsia="zh-CN"/>
        </w:rPr>
        <w:t xml:space="preserve"> (</w:t>
      </w:r>
      <w:proofErr w:type="spellStart"/>
      <w:r>
        <w:rPr>
          <w:lang w:val="en-US" w:eastAsia="zh-CN"/>
        </w:rPr>
        <w:t>hanya</w:t>
      </w:r>
      <w:proofErr w:type="spellEnd"/>
      <w:r>
        <w:rPr>
          <w:lang w:val="en-US" w:eastAsia="zh-CN"/>
        </w:rPr>
        <w:t xml:space="preserve"> pada </w:t>
      </w:r>
      <w:proofErr w:type="spellStart"/>
      <w:r>
        <w:rPr>
          <w:lang w:val="en-US" w:eastAsia="zh-CN"/>
        </w:rPr>
        <w:t>anak-anak</w:t>
      </w:r>
      <w:proofErr w:type="spellEnd"/>
      <w:r>
        <w:rPr>
          <w:lang w:val="en-US" w:eastAsia="zh-CN"/>
        </w:rPr>
        <w:t xml:space="preserve">) dan dexmedetomidine </w:t>
      </w:r>
      <w:proofErr w:type="spellStart"/>
      <w:r>
        <w:rPr>
          <w:lang w:val="en-US" w:eastAsia="zh-CN"/>
        </w:rPr>
        <w:t>direkomendasikan</w:t>
      </w:r>
      <w:proofErr w:type="spellEnd"/>
      <w:r>
        <w:rPr>
          <w:lang w:val="en-US" w:eastAsia="zh-CN"/>
        </w:rPr>
        <w:t xml:space="preserve"> pada pasien dengan </w:t>
      </w:r>
      <w:proofErr w:type="spellStart"/>
      <w:r>
        <w:rPr>
          <w:lang w:val="en-US" w:eastAsia="zh-CN"/>
        </w:rPr>
        <w:t>kontraindikasi</w:t>
      </w:r>
      <w:proofErr w:type="spellEnd"/>
      <w:r>
        <w:rPr>
          <w:lang w:val="en-US" w:eastAsia="zh-CN"/>
        </w:rPr>
        <w:t xml:space="preserve"> terhadap </w:t>
      </w:r>
      <w:proofErr w:type="spellStart"/>
      <w:r>
        <w:rPr>
          <w:lang w:val="en-US" w:eastAsia="zh-CN"/>
        </w:rPr>
        <w:t>rejimen</w:t>
      </w:r>
      <w:proofErr w:type="spellEnd"/>
      <w:r>
        <w:rPr>
          <w:lang w:val="en-US" w:eastAsia="zh-CN"/>
        </w:rPr>
        <w:t xml:space="preserve"> </w:t>
      </w:r>
      <w:proofErr w:type="spellStart"/>
      <w:r>
        <w:rPr>
          <w:lang w:val="en-US" w:eastAsia="zh-CN"/>
        </w:rPr>
        <w:t>analgesik</w:t>
      </w:r>
      <w:proofErr w:type="spellEnd"/>
      <w:r>
        <w:rPr>
          <w:lang w:val="en-US" w:eastAsia="zh-CN"/>
        </w:rPr>
        <w:t xml:space="preserve"> </w:t>
      </w:r>
      <w:proofErr w:type="spellStart"/>
      <w:r>
        <w:rPr>
          <w:lang w:val="en-US" w:eastAsia="zh-CN"/>
        </w:rPr>
        <w:t>dasar</w:t>
      </w:r>
      <w:proofErr w:type="spellEnd"/>
      <w:r>
        <w:rPr>
          <w:lang w:val="id-ID" w:eastAsia="zh-CN"/>
        </w:rPr>
        <w:t>.</w:t>
      </w:r>
    </w:p>
    <w:p w14:paraId="6DA5EBA4" w14:textId="77777777" w:rsidR="003B79BC" w:rsidRDefault="00000000">
      <w:pPr>
        <w:pStyle w:val="ListParagraph"/>
        <w:numPr>
          <w:ilvl w:val="6"/>
          <w:numId w:val="6"/>
        </w:numPr>
        <w:spacing w:line="360" w:lineRule="auto"/>
        <w:ind w:left="426"/>
        <w:jc w:val="both"/>
        <w:rPr>
          <w:lang w:eastAsia="zh-CN"/>
        </w:rPr>
      </w:pPr>
      <w:proofErr w:type="spellStart"/>
      <w:r>
        <w:rPr>
          <w:lang w:val="en-US" w:eastAsia="zh-CN"/>
        </w:rPr>
        <w:lastRenderedPageBreak/>
        <w:t>Tambahan</w:t>
      </w:r>
      <w:proofErr w:type="spellEnd"/>
      <w:r>
        <w:rPr>
          <w:lang w:val="en-US" w:eastAsia="zh-CN"/>
        </w:rPr>
        <w:t xml:space="preserve"> </w:t>
      </w:r>
      <w:proofErr w:type="spellStart"/>
      <w:r>
        <w:rPr>
          <w:lang w:val="en-US" w:eastAsia="zh-CN"/>
        </w:rPr>
        <w:t>analgesik</w:t>
      </w:r>
      <w:proofErr w:type="spellEnd"/>
      <w:r>
        <w:rPr>
          <w:lang w:val="en-US" w:eastAsia="zh-CN"/>
        </w:rPr>
        <w:t xml:space="preserve"> </w:t>
      </w:r>
      <w:proofErr w:type="spellStart"/>
      <w:r>
        <w:rPr>
          <w:lang w:val="en-US" w:eastAsia="zh-CN"/>
        </w:rPr>
        <w:t>seperti</w:t>
      </w:r>
      <w:proofErr w:type="spellEnd"/>
      <w:r>
        <w:rPr>
          <w:lang w:val="en-US" w:eastAsia="zh-CN"/>
        </w:rPr>
        <w:t xml:space="preserve"> </w:t>
      </w:r>
      <w:proofErr w:type="spellStart"/>
      <w:r>
        <w:rPr>
          <w:lang w:val="en-US" w:eastAsia="zh-CN"/>
        </w:rPr>
        <w:t>akupunktur</w:t>
      </w:r>
      <w:proofErr w:type="spellEnd"/>
      <w:r>
        <w:rPr>
          <w:lang w:val="en-US" w:eastAsia="zh-CN"/>
        </w:rPr>
        <w:t xml:space="preserve"> intra-</w:t>
      </w:r>
      <w:proofErr w:type="spellStart"/>
      <w:r>
        <w:rPr>
          <w:lang w:val="en-US" w:eastAsia="zh-CN"/>
        </w:rPr>
        <w:t>bedah</w:t>
      </w:r>
      <w:proofErr w:type="spellEnd"/>
      <w:r>
        <w:rPr>
          <w:lang w:val="en-US" w:eastAsia="zh-CN"/>
        </w:rPr>
        <w:t xml:space="preserve"> dan </w:t>
      </w:r>
      <w:proofErr w:type="spellStart"/>
      <w:r>
        <w:rPr>
          <w:lang w:val="en-US" w:eastAsia="zh-CN"/>
        </w:rPr>
        <w:t>pascabedah</w:t>
      </w:r>
      <w:proofErr w:type="spellEnd"/>
      <w:r>
        <w:rPr>
          <w:lang w:val="en-US" w:eastAsia="zh-CN"/>
        </w:rPr>
        <w:t xml:space="preserve"> dan </w:t>
      </w:r>
      <w:proofErr w:type="spellStart"/>
      <w:r>
        <w:rPr>
          <w:lang w:val="en-US" w:eastAsia="zh-CN"/>
        </w:rPr>
        <w:t>madu</w:t>
      </w:r>
      <w:proofErr w:type="spellEnd"/>
      <w:r>
        <w:rPr>
          <w:lang w:val="en-US" w:eastAsia="zh-CN"/>
        </w:rPr>
        <w:t xml:space="preserve"> </w:t>
      </w:r>
      <w:proofErr w:type="spellStart"/>
      <w:r>
        <w:rPr>
          <w:lang w:val="en-US" w:eastAsia="zh-CN"/>
        </w:rPr>
        <w:t>pascabedah</w:t>
      </w:r>
      <w:proofErr w:type="spellEnd"/>
      <w:r>
        <w:rPr>
          <w:lang w:val="en-US" w:eastAsia="zh-CN"/>
        </w:rPr>
        <w:t xml:space="preserve"> </w:t>
      </w:r>
      <w:proofErr w:type="spellStart"/>
      <w:r>
        <w:rPr>
          <w:lang w:val="en-US" w:eastAsia="zh-CN"/>
        </w:rPr>
        <w:t>direkomendasikan</w:t>
      </w:r>
      <w:proofErr w:type="spellEnd"/>
      <w:r>
        <w:rPr>
          <w:lang w:val="en-US" w:eastAsia="zh-CN"/>
        </w:rPr>
        <w:t>.</w:t>
      </w:r>
    </w:p>
    <w:p w14:paraId="114DD26A" w14:textId="77777777" w:rsidR="003B79BC" w:rsidRDefault="00000000">
      <w:pPr>
        <w:pStyle w:val="ListParagraph"/>
        <w:numPr>
          <w:ilvl w:val="6"/>
          <w:numId w:val="6"/>
        </w:numPr>
        <w:spacing w:line="360" w:lineRule="auto"/>
        <w:ind w:left="426"/>
        <w:jc w:val="both"/>
      </w:pPr>
      <w:r>
        <w:rPr>
          <w:lang w:val="en-US"/>
        </w:rPr>
        <w:t xml:space="preserve">Opioid </w:t>
      </w:r>
      <w:proofErr w:type="spellStart"/>
      <w:r>
        <w:rPr>
          <w:lang w:val="en-US"/>
        </w:rPr>
        <w:t>harus</w:t>
      </w:r>
      <w:proofErr w:type="spellEnd"/>
      <w:r>
        <w:rPr>
          <w:lang w:val="en-US"/>
        </w:rPr>
        <w:t xml:space="preserve"> </w:t>
      </w:r>
      <w:proofErr w:type="spellStart"/>
      <w:r>
        <w:rPr>
          <w:lang w:val="en-US"/>
        </w:rPr>
        <w:t>disediakan</w:t>
      </w:r>
      <w:proofErr w:type="spellEnd"/>
      <w:r>
        <w:rPr>
          <w:lang w:val="en-US"/>
        </w:rPr>
        <w:t xml:space="preserve"> </w:t>
      </w:r>
      <w:proofErr w:type="spellStart"/>
      <w:r>
        <w:rPr>
          <w:lang w:val="en-US"/>
        </w:rPr>
        <w:t>sebagai</w:t>
      </w:r>
      <w:proofErr w:type="spellEnd"/>
      <w:r>
        <w:rPr>
          <w:lang w:val="en-US"/>
        </w:rPr>
        <w:t xml:space="preserve"> </w:t>
      </w:r>
      <w:proofErr w:type="spellStart"/>
      <w:r>
        <w:rPr>
          <w:lang w:val="en-US"/>
        </w:rPr>
        <w:t>analgesik</w:t>
      </w:r>
      <w:proofErr w:type="spellEnd"/>
      <w:r>
        <w:rPr>
          <w:lang w:val="en-US"/>
        </w:rPr>
        <w:t xml:space="preserve"> </w:t>
      </w:r>
      <w:proofErr w:type="spellStart"/>
      <w:r>
        <w:rPr>
          <w:lang w:val="en-US"/>
        </w:rPr>
        <w:t>penyelamat</w:t>
      </w:r>
      <w:proofErr w:type="spellEnd"/>
      <w:r>
        <w:rPr>
          <w:lang w:val="en-US"/>
        </w:rPr>
        <w:t xml:space="preserve"> pada </w:t>
      </w:r>
      <w:proofErr w:type="spellStart"/>
      <w:r>
        <w:rPr>
          <w:lang w:val="en-US"/>
        </w:rPr>
        <w:t>periode</w:t>
      </w:r>
      <w:proofErr w:type="spellEnd"/>
      <w:r>
        <w:rPr>
          <w:lang w:val="en-US"/>
        </w:rPr>
        <w:t xml:space="preserve"> </w:t>
      </w:r>
      <w:proofErr w:type="spellStart"/>
      <w:r>
        <w:rPr>
          <w:lang w:val="en-US"/>
        </w:rPr>
        <w:t>pascabedah</w:t>
      </w:r>
      <w:proofErr w:type="spellEnd"/>
      <w:r>
        <w:rPr>
          <w:lang w:val="id-ID"/>
        </w:rPr>
        <w:t>.</w:t>
      </w:r>
    </w:p>
    <w:p w14:paraId="718DEC45" w14:textId="77777777" w:rsidR="003B79BC" w:rsidRDefault="00000000">
      <w:pPr>
        <w:pStyle w:val="ListParagraph"/>
        <w:numPr>
          <w:ilvl w:val="6"/>
          <w:numId w:val="6"/>
        </w:numPr>
        <w:spacing w:line="360" w:lineRule="auto"/>
        <w:ind w:left="426"/>
        <w:jc w:val="both"/>
      </w:pPr>
      <w:proofErr w:type="spellStart"/>
      <w:r>
        <w:rPr>
          <w:lang w:val="en-US" w:eastAsia="zh-CN"/>
        </w:rPr>
        <w:t>Analgesik</w:t>
      </w:r>
      <w:proofErr w:type="spellEnd"/>
      <w:r>
        <w:rPr>
          <w:lang w:val="en-US" w:eastAsia="zh-CN"/>
        </w:rPr>
        <w:t xml:space="preserve"> yang saat ini </w:t>
      </w:r>
      <w:proofErr w:type="spellStart"/>
      <w:r>
        <w:rPr>
          <w:lang w:val="en-US" w:eastAsia="zh-CN"/>
        </w:rPr>
        <w:t>digunakan</w:t>
      </w:r>
      <w:proofErr w:type="spellEnd"/>
      <w:r>
        <w:rPr>
          <w:lang w:val="en-US" w:eastAsia="zh-CN"/>
        </w:rPr>
        <w:t xml:space="preserve"> dalam </w:t>
      </w:r>
      <w:proofErr w:type="spellStart"/>
      <w:r>
        <w:rPr>
          <w:lang w:val="en-US" w:eastAsia="zh-CN"/>
        </w:rPr>
        <w:t>praktik</w:t>
      </w:r>
      <w:proofErr w:type="spellEnd"/>
      <w:r>
        <w:rPr>
          <w:lang w:val="en-US" w:eastAsia="zh-CN"/>
        </w:rPr>
        <w:t xml:space="preserve"> otorhinolaryngology </w:t>
      </w:r>
      <w:proofErr w:type="spellStart"/>
      <w:r>
        <w:rPr>
          <w:lang w:val="en-US" w:eastAsia="zh-CN"/>
        </w:rPr>
        <w:t>umum</w:t>
      </w:r>
      <w:proofErr w:type="spellEnd"/>
      <w:r>
        <w:rPr>
          <w:lang w:val="en-US" w:eastAsia="zh-CN"/>
        </w:rPr>
        <w:t xml:space="preserve"> </w:t>
      </w:r>
      <w:proofErr w:type="spellStart"/>
      <w:r>
        <w:rPr>
          <w:lang w:val="en-US" w:eastAsia="zh-CN"/>
        </w:rPr>
        <w:t>adalah</w:t>
      </w:r>
      <w:proofErr w:type="spellEnd"/>
      <w:r>
        <w:rPr>
          <w:lang w:val="en-US" w:eastAsia="zh-CN"/>
        </w:rPr>
        <w:t xml:space="preserve"> </w:t>
      </w:r>
      <w:proofErr w:type="spellStart"/>
      <w:r>
        <w:rPr>
          <w:lang w:val="en-US" w:eastAsia="zh-CN"/>
        </w:rPr>
        <w:t>asetaminofen</w:t>
      </w:r>
      <w:proofErr w:type="spellEnd"/>
      <w:r>
        <w:rPr>
          <w:lang w:val="en-US" w:eastAsia="zh-CN"/>
        </w:rPr>
        <w:t xml:space="preserve">, NSAID, opioid, </w:t>
      </w:r>
      <w:proofErr w:type="spellStart"/>
      <w:r>
        <w:rPr>
          <w:lang w:val="en-US" w:eastAsia="zh-CN"/>
        </w:rPr>
        <w:t>kortikosteroid</w:t>
      </w:r>
      <w:proofErr w:type="spellEnd"/>
      <w:r>
        <w:rPr>
          <w:lang w:val="en-US" w:eastAsia="zh-CN"/>
        </w:rPr>
        <w:t xml:space="preserve">, clonidine, gabapentin, IV Ketamine </w:t>
      </w:r>
      <w:proofErr w:type="spellStart"/>
      <w:r>
        <w:rPr>
          <w:lang w:val="en-US" w:eastAsia="zh-CN"/>
        </w:rPr>
        <w:t>dll</w:t>
      </w:r>
      <w:proofErr w:type="spellEnd"/>
      <w:r>
        <w:rPr>
          <w:lang w:val="en-US" w:eastAsia="zh-CN"/>
        </w:rPr>
        <w:t xml:space="preserve"> </w:t>
      </w:r>
      <w:proofErr w:type="spellStart"/>
      <w:r>
        <w:rPr>
          <w:lang w:val="en-US" w:eastAsia="zh-CN"/>
        </w:rPr>
        <w:t>sesuai</w:t>
      </w:r>
      <w:proofErr w:type="spellEnd"/>
      <w:r>
        <w:rPr>
          <w:lang w:val="en-US" w:eastAsia="zh-CN"/>
        </w:rPr>
        <w:t xml:space="preserve"> </w:t>
      </w:r>
      <w:proofErr w:type="spellStart"/>
      <w:r>
        <w:rPr>
          <w:lang w:val="en-US" w:eastAsia="zh-CN"/>
        </w:rPr>
        <w:t>tinjauan</w:t>
      </w:r>
      <w:proofErr w:type="spellEnd"/>
      <w:r>
        <w:rPr>
          <w:lang w:val="en-US" w:eastAsia="zh-CN"/>
        </w:rPr>
        <w:t xml:space="preserve"> </w:t>
      </w:r>
      <w:proofErr w:type="spellStart"/>
      <w:r>
        <w:rPr>
          <w:lang w:val="en-US" w:eastAsia="zh-CN"/>
        </w:rPr>
        <w:t>literatur</w:t>
      </w:r>
      <w:proofErr w:type="spellEnd"/>
      <w:r>
        <w:rPr>
          <w:lang w:val="en-US" w:eastAsia="zh-CN"/>
        </w:rPr>
        <w:t xml:space="preserve">. </w:t>
      </w:r>
      <w:r>
        <w:rPr>
          <w:lang w:val="en-US"/>
        </w:rPr>
        <w:t xml:space="preserve">Obat-obat ini </w:t>
      </w:r>
      <w:proofErr w:type="spellStart"/>
      <w:r>
        <w:rPr>
          <w:lang w:val="en-US"/>
        </w:rPr>
        <w:t>digunakan</w:t>
      </w:r>
      <w:proofErr w:type="spellEnd"/>
      <w:r>
        <w:rPr>
          <w:lang w:val="en-US"/>
        </w:rPr>
        <w:t xml:space="preserve"> </w:t>
      </w:r>
      <w:proofErr w:type="spellStart"/>
      <w:r>
        <w:rPr>
          <w:lang w:val="en-US"/>
        </w:rPr>
        <w:t>sebagai</w:t>
      </w:r>
      <w:proofErr w:type="spellEnd"/>
      <w:r>
        <w:rPr>
          <w:lang w:val="en-US"/>
        </w:rPr>
        <w:t xml:space="preserve"> obat </w:t>
      </w:r>
      <w:proofErr w:type="spellStart"/>
      <w:r>
        <w:rPr>
          <w:lang w:val="en-US"/>
        </w:rPr>
        <w:t>tunggal</w:t>
      </w:r>
      <w:proofErr w:type="spellEnd"/>
      <w:r>
        <w:rPr>
          <w:lang w:val="en-US"/>
        </w:rPr>
        <w:t xml:space="preserve"> atau </w:t>
      </w:r>
      <w:proofErr w:type="spellStart"/>
      <w:r>
        <w:rPr>
          <w:lang w:val="en-US"/>
        </w:rPr>
        <w:t>sebagai</w:t>
      </w:r>
      <w:proofErr w:type="spellEnd"/>
      <w:r>
        <w:rPr>
          <w:lang w:val="en-US"/>
        </w:rPr>
        <w:t xml:space="preserve"> </w:t>
      </w:r>
      <w:proofErr w:type="spellStart"/>
      <w:r>
        <w:rPr>
          <w:lang w:val="en-US"/>
        </w:rPr>
        <w:t>pelengkap</w:t>
      </w:r>
      <w:proofErr w:type="spellEnd"/>
      <w:r>
        <w:rPr>
          <w:lang w:val="en-US"/>
        </w:rPr>
        <w:t xml:space="preserve"> </w:t>
      </w:r>
      <w:proofErr w:type="spellStart"/>
      <w:r>
        <w:rPr>
          <w:lang w:val="en-US"/>
        </w:rPr>
        <w:t>protokol</w:t>
      </w:r>
      <w:proofErr w:type="spellEnd"/>
      <w:r>
        <w:rPr>
          <w:lang w:val="en-US"/>
        </w:rPr>
        <w:t xml:space="preserve"> </w:t>
      </w:r>
      <w:proofErr w:type="spellStart"/>
      <w:r>
        <w:rPr>
          <w:lang w:val="en-US"/>
        </w:rPr>
        <w:t>penatalaksanaan</w:t>
      </w:r>
      <w:proofErr w:type="spellEnd"/>
      <w:r>
        <w:rPr>
          <w:lang w:val="en-US"/>
        </w:rPr>
        <w:t xml:space="preserve"> </w:t>
      </w:r>
      <w:proofErr w:type="spellStart"/>
      <w:r>
        <w:rPr>
          <w:lang w:val="en-US"/>
        </w:rPr>
        <w:t>nyeri</w:t>
      </w:r>
      <w:proofErr w:type="spellEnd"/>
      <w:r>
        <w:rPr>
          <w:lang w:val="en-US"/>
        </w:rPr>
        <w:t xml:space="preserve"> </w:t>
      </w:r>
      <w:proofErr w:type="spellStart"/>
      <w:r>
        <w:rPr>
          <w:lang w:val="en-US"/>
        </w:rPr>
        <w:t>sebagai</w:t>
      </w:r>
      <w:proofErr w:type="spellEnd"/>
      <w:r>
        <w:rPr>
          <w:lang w:val="en-US"/>
        </w:rPr>
        <w:t xml:space="preserve"> </w:t>
      </w:r>
      <w:proofErr w:type="spellStart"/>
      <w:r>
        <w:rPr>
          <w:lang w:val="en-US"/>
        </w:rPr>
        <w:t>bagian</w:t>
      </w:r>
      <w:proofErr w:type="spellEnd"/>
      <w:r>
        <w:rPr>
          <w:lang w:val="en-US"/>
        </w:rPr>
        <w:t xml:space="preserve"> </w:t>
      </w:r>
      <w:proofErr w:type="spellStart"/>
      <w:r>
        <w:rPr>
          <w:lang w:val="en-US"/>
        </w:rPr>
        <w:t>dari</w:t>
      </w:r>
      <w:proofErr w:type="spellEnd"/>
      <w:r>
        <w:rPr>
          <w:lang w:val="en-US"/>
        </w:rPr>
        <w:t xml:space="preserve"> analgesia multimodal.</w:t>
      </w:r>
      <w:r>
        <w:rPr>
          <w:lang w:val="en-US"/>
        </w:rPr>
        <w:fldChar w:fldCharType="begin" w:fldLock="1"/>
      </w:r>
      <w:r>
        <w:rPr>
          <w:lang w:val="en-US"/>
        </w:rPr>
        <w:instrText>ADDIN CSL_CITATION {"citationItems":[{"id":"ITEM-1","itemData":{"DOI":"10.53350/pjmhs20221611358","abstract":"Introduction: Tonsillectomy is a painful surgical procedure accompanied by moderate to severe pain several days after surgery. Despite the often severe pain after tonsillectomy, under-treatment of pain has been consistently reported. The cause of this under-treatment is inadequate education of health care professionals regarding pain management. Objectives: The aim of this study was to assess perioperative pain treatment given to tonsillectomy patients in otorhinolaryngology departments of tertiary care Hospitals using Procedure specific post-operative pain management (PROSPECT) guidelines for tonsillectomy. Methodology: It was an observational study with prospective data inclusion. A questionnaire was designed and filled by investigators on three different occasions (pre-operative, intra-operative and post-operative). Questionaire was comprised of Patient’s demographic details, surgical indication, surgical technique used, post-operative complications and details of analgesics used during pre-operative, intra-operative and post-operative settings. Results: NSAIDs (Ibuprofen, ketorolac, Flurbiprofen) were predominantly used class for perioperative analgesia alone or in combination with each other among tonsillectomy patients. Dexamethasone injection was given intra-operatively to 97% of the patient regardless of age. Nelbuphin an opioid analgesic was used only in 7% of the patients intra-operatively. Conclusion: Current study indicates that perioperative pain management for tonsillectomy in two tertiary care hospitals of Punjab was in conformity with PROSPECT guidelines for tonsillectomy patients. Patients were given standard pain treatment. However, study needs a further evaluation with larger data from different hospitals. Keywords: PROSPECT, Analgesic, Tonsillectomy, NSAIDS, Opioids","author":[{"dropping-particle":"","family":"Nazish","given":"Gul E","non-dropping-particle":"","parse-names":false,"suffix":""},{"dropping-particle":"","family":"Afridi","given":"Arshadullah","non-dropping-particle":"","parse-names":false,"suffix":""},{"dropping-particle":"","family":"Inam","given":"Asma","non-dropping-particle":"","parse-names":false,"suffix":""},{"dropping-particle":"","family":"Sanawar","given":"Maniha","non-dropping-particle":"","parse-names":false,"suffix":""},{"dropping-particle":"","family":"Akhtar","given":"Mahreen","non-dropping-particle":"","parse-names":false,"suffix":""},{"dropping-particle":"","family":"Arshad","given":"Waleed","non-dropping-particle":"","parse-names":false,"suffix":""}],"container-title":"Pakistan Journal of Medical and Health Sciences","id":"ITEM-1","issue":"11","issued":{"date-parts":[["2022"]]},"page":"358-360","title":"Evaluation of Perioperative Pain Treatment of Tonsillectomy Patients Using Prospect Recommendations in Tertiary Hospitals","type":"article-journal","volume":"16"},"uris":["http://www.mendeley.com/documents/?uuid=2daf29d6-2688-48a0-b032-5240facb393c"]}],"mendeley":{"formattedCitation":"&lt;sup&gt;2&lt;/sup&gt;","plainTextFormattedCitation":"2","previouslyFormattedCitation":"&lt;sup&gt;2&lt;/sup&gt;"},"properties":{"noteIndex":0},"schema":"https://github.com/citation-style-language/schema/raw/master/csl-citation.json"}</w:instrText>
      </w:r>
      <w:r>
        <w:rPr>
          <w:lang w:val="en-US"/>
        </w:rPr>
        <w:fldChar w:fldCharType="separate"/>
      </w:r>
      <w:r>
        <w:rPr>
          <w:noProof/>
          <w:vertAlign w:val="superscript"/>
          <w:lang w:val="en-US"/>
        </w:rPr>
        <w:t>2</w:t>
      </w:r>
      <w:r>
        <w:rPr>
          <w:lang w:val="en-US"/>
        </w:rPr>
        <w:fldChar w:fldCharType="end"/>
      </w:r>
    </w:p>
    <w:p w14:paraId="6CAE0302" w14:textId="77777777" w:rsidR="003B79BC" w:rsidRDefault="003B79BC">
      <w:pPr>
        <w:spacing w:line="360" w:lineRule="auto"/>
        <w:ind w:left="66"/>
        <w:jc w:val="both"/>
        <w:rPr>
          <w:rFonts w:eastAsiaTheme="minorEastAsia"/>
          <w:lang w:eastAsia="zh-CN"/>
        </w:rPr>
      </w:pPr>
    </w:p>
    <w:p w14:paraId="6AB64BF3" w14:textId="77777777" w:rsidR="003B79BC" w:rsidRDefault="00000000">
      <w:pPr>
        <w:pStyle w:val="Heading2"/>
        <w:numPr>
          <w:ilvl w:val="0"/>
          <w:numId w:val="6"/>
        </w:numPr>
        <w:spacing w:after="0"/>
        <w:ind w:left="709" w:hanging="709"/>
        <w:rPr>
          <w:szCs w:val="24"/>
        </w:rPr>
      </w:pPr>
      <w:bookmarkStart w:id="26" w:name="_Toc158290241"/>
      <w:r>
        <w:rPr>
          <w:szCs w:val="24"/>
          <w:lang w:val="id-ID"/>
        </w:rPr>
        <w:t xml:space="preserve">Nyeri </w:t>
      </w:r>
      <w:r>
        <w:rPr>
          <w:szCs w:val="24"/>
          <w:lang w:val="en-US"/>
        </w:rPr>
        <w:t>P</w:t>
      </w:r>
      <w:r>
        <w:rPr>
          <w:szCs w:val="24"/>
          <w:lang w:val="id-ID"/>
        </w:rPr>
        <w:t>embedahan</w:t>
      </w:r>
      <w:bookmarkEnd w:id="26"/>
    </w:p>
    <w:p w14:paraId="6E8C9C97" w14:textId="77777777" w:rsidR="003B79BC" w:rsidRDefault="00000000">
      <w:pPr>
        <w:pStyle w:val="Heading3"/>
        <w:numPr>
          <w:ilvl w:val="0"/>
          <w:numId w:val="7"/>
        </w:numPr>
        <w:spacing w:before="0" w:after="0" w:line="360" w:lineRule="auto"/>
        <w:ind w:left="709" w:hanging="709"/>
        <w:rPr>
          <w:rFonts w:cs="Times New Roman"/>
        </w:rPr>
      </w:pPr>
      <w:bookmarkStart w:id="27" w:name="_Toc158290242"/>
      <w:r>
        <w:rPr>
          <w:rFonts w:cs="Times New Roman"/>
          <w:lang w:val="id-ID"/>
        </w:rPr>
        <w:t>Pengertian Nyeri</w:t>
      </w:r>
      <w:bookmarkEnd w:id="27"/>
    </w:p>
    <w:p w14:paraId="23603B9A" w14:textId="77777777" w:rsidR="003B79BC" w:rsidRDefault="00000000">
      <w:pPr>
        <w:spacing w:line="360" w:lineRule="auto"/>
        <w:ind w:firstLine="709"/>
        <w:jc w:val="both"/>
        <w:rPr>
          <w:color w:val="000000"/>
          <w:lang w:val="en-US"/>
        </w:rPr>
      </w:pPr>
      <w:r>
        <w:rPr>
          <w:lang w:val="en-US" w:eastAsia="zh-CN"/>
        </w:rPr>
        <w:t>Milton Cohen, John Quintner, dan Simon van Rysewyk</w:t>
      </w:r>
      <w:r>
        <w:rPr>
          <w:lang w:val="id-ID" w:eastAsia="zh-CN"/>
        </w:rPr>
        <w:t xml:space="preserve"> mendefinisikan n</w:t>
      </w:r>
      <w:proofErr w:type="spellStart"/>
      <w:r>
        <w:rPr>
          <w:lang w:val="en-US" w:eastAsia="zh-CN"/>
        </w:rPr>
        <w:t>yeri</w:t>
      </w:r>
      <w:proofErr w:type="spellEnd"/>
      <w:r>
        <w:rPr>
          <w:lang w:val="en-US" w:eastAsia="zh-CN"/>
        </w:rPr>
        <w:t xml:space="preserve"> </w:t>
      </w:r>
      <w:r>
        <w:rPr>
          <w:lang w:val="id-ID" w:eastAsia="zh-CN"/>
        </w:rPr>
        <w:t>sebagai</w:t>
      </w:r>
      <w:r>
        <w:rPr>
          <w:lang w:val="en-US" w:eastAsia="zh-CN"/>
        </w:rPr>
        <w:t xml:space="preserve"> </w:t>
      </w:r>
      <w:proofErr w:type="spellStart"/>
      <w:r>
        <w:rPr>
          <w:lang w:val="en-US" w:eastAsia="zh-CN"/>
        </w:rPr>
        <w:t>pengalaman</w:t>
      </w:r>
      <w:proofErr w:type="spellEnd"/>
      <w:r>
        <w:rPr>
          <w:lang w:val="en-US" w:eastAsia="zh-CN"/>
        </w:rPr>
        <w:t xml:space="preserve"> </w:t>
      </w:r>
      <w:proofErr w:type="spellStart"/>
      <w:r>
        <w:rPr>
          <w:lang w:val="en-US" w:eastAsia="zh-CN"/>
        </w:rPr>
        <w:t>somatik</w:t>
      </w:r>
      <w:proofErr w:type="spellEnd"/>
      <w:r>
        <w:rPr>
          <w:lang w:val="en-US" w:eastAsia="zh-CN"/>
        </w:rPr>
        <w:t xml:space="preserve"> yang dapat </w:t>
      </w:r>
      <w:proofErr w:type="spellStart"/>
      <w:r>
        <w:rPr>
          <w:lang w:val="en-US" w:eastAsia="zh-CN"/>
        </w:rPr>
        <w:t>dikenali</w:t>
      </w:r>
      <w:proofErr w:type="spellEnd"/>
      <w:r>
        <w:rPr>
          <w:lang w:val="en-US" w:eastAsia="zh-CN"/>
        </w:rPr>
        <w:t xml:space="preserve"> </w:t>
      </w:r>
      <w:proofErr w:type="spellStart"/>
      <w:r>
        <w:rPr>
          <w:lang w:val="en-US" w:eastAsia="zh-CN"/>
        </w:rPr>
        <w:t>satu</w:t>
      </w:r>
      <w:proofErr w:type="spellEnd"/>
      <w:r>
        <w:rPr>
          <w:lang w:val="en-US" w:eastAsia="zh-CN"/>
        </w:rPr>
        <w:t xml:space="preserve"> </w:t>
      </w:r>
      <w:proofErr w:type="spellStart"/>
      <w:r>
        <w:rPr>
          <w:lang w:val="en-US" w:eastAsia="zh-CN"/>
        </w:rPr>
        <w:t>sama</w:t>
      </w:r>
      <w:proofErr w:type="spellEnd"/>
      <w:r>
        <w:rPr>
          <w:lang w:val="en-US" w:eastAsia="zh-CN"/>
        </w:rPr>
        <w:t xml:space="preserve"> lain yang </w:t>
      </w:r>
      <w:proofErr w:type="spellStart"/>
      <w:r>
        <w:rPr>
          <w:lang w:val="en-US" w:eastAsia="zh-CN"/>
        </w:rPr>
        <w:t>mencerminkan</w:t>
      </w:r>
      <w:proofErr w:type="spellEnd"/>
      <w:r>
        <w:rPr>
          <w:lang w:val="en-US" w:eastAsia="zh-CN"/>
        </w:rPr>
        <w:t xml:space="preserve"> </w:t>
      </w:r>
      <w:proofErr w:type="spellStart"/>
      <w:r>
        <w:rPr>
          <w:lang w:val="en-US" w:eastAsia="zh-CN"/>
        </w:rPr>
        <w:t>ketakutan</w:t>
      </w:r>
      <w:proofErr w:type="spellEnd"/>
      <w:r>
        <w:rPr>
          <w:lang w:val="en-US" w:eastAsia="zh-CN"/>
        </w:rPr>
        <w:t xml:space="preserve"> </w:t>
      </w:r>
      <w:proofErr w:type="spellStart"/>
      <w:r>
        <w:rPr>
          <w:lang w:val="en-US" w:eastAsia="zh-CN"/>
        </w:rPr>
        <w:t>seseorang</w:t>
      </w:r>
      <w:proofErr w:type="spellEnd"/>
      <w:r>
        <w:rPr>
          <w:lang w:val="en-US" w:eastAsia="zh-CN"/>
        </w:rPr>
        <w:t xml:space="preserve"> </w:t>
      </w:r>
      <w:proofErr w:type="spellStart"/>
      <w:r>
        <w:rPr>
          <w:lang w:val="en-US" w:eastAsia="zh-CN"/>
        </w:rPr>
        <w:t>akan</w:t>
      </w:r>
      <w:proofErr w:type="spellEnd"/>
      <w:r>
        <w:rPr>
          <w:lang w:val="en-US" w:eastAsia="zh-CN"/>
        </w:rPr>
        <w:t xml:space="preserve"> </w:t>
      </w:r>
      <w:proofErr w:type="spellStart"/>
      <w:r>
        <w:rPr>
          <w:lang w:val="en-US" w:eastAsia="zh-CN"/>
        </w:rPr>
        <w:t>ancaman</w:t>
      </w:r>
      <w:proofErr w:type="spellEnd"/>
      <w:r>
        <w:rPr>
          <w:lang w:val="en-US" w:eastAsia="zh-CN"/>
        </w:rPr>
        <w:t xml:space="preserve"> terhadap </w:t>
      </w:r>
      <w:proofErr w:type="spellStart"/>
      <w:r>
        <w:rPr>
          <w:lang w:val="en-US" w:eastAsia="zh-CN"/>
        </w:rPr>
        <w:t>integritas</w:t>
      </w:r>
      <w:proofErr w:type="spellEnd"/>
      <w:r>
        <w:rPr>
          <w:lang w:val="en-US" w:eastAsia="zh-CN"/>
        </w:rPr>
        <w:t xml:space="preserve"> tubuh atau </w:t>
      </w:r>
      <w:proofErr w:type="spellStart"/>
      <w:r>
        <w:rPr>
          <w:lang w:val="en-US" w:eastAsia="zh-CN"/>
        </w:rPr>
        <w:t>eksistensial</w:t>
      </w:r>
      <w:proofErr w:type="spellEnd"/>
      <w:r>
        <w:rPr>
          <w:lang w:val="id-ID" w:eastAsia="zh-CN"/>
        </w:rPr>
        <w:t>.</w:t>
      </w:r>
      <w:r>
        <w:rPr>
          <w:lang w:val="en-US"/>
        </w:rPr>
        <w:fldChar w:fldCharType="begin" w:fldLock="1"/>
      </w:r>
      <w:r>
        <w:rPr>
          <w:lang w:val="en-US" w:eastAsia="zh-CN"/>
        </w:rPr>
        <w:instrText>ADDIN CSL_CITATION {"citationItems":[{"id":"ITEM-1","itemData":{"DOI":"10.1097/PR9.0000000000000643","ISBN":"0000000000000","ISSN":"24712531","PMID":"29756089","abstract":"Milton Cohen, John Quintner, and Simon van Rysewyk proposed a revision of the IASP definition of pain of 1979. This commentary summarizes, why this proposal is useful for guiding assessment of pain, but not its definition.","author":[{"dropping-particle":"","family":"Treede","given":"Rolf Detlef","non-dropping-particle":"","parse-names":false,"suffix":""}],"container-title":"Pain Reports","id":"ITEM-1","issue":"2","issued":{"date-parts":[["2018"]]},"page":"3-5","title":"The International Association for the Study of Pain definition of pain: As valid in 2018 as in 1979, but in need of regularly updated footnotes","type":"article-journal","volume":"3"},"uris":["http://www.mendeley.com/documents/?uuid=809616a4-1043-4a0d-ba7c-450f75d3049f"]}],"mendeley":{"formattedCitation":"&lt;sup&gt;34&lt;/sup&gt;","plainTextFormattedCitation":"34","previouslyFormattedCitation":"&lt;sup&gt;34&lt;/sup&gt;"},"properties":{"noteIndex":0},"schema":"https://github.com/citation-style-language/schema/raw/master/csl-citation.json"}</w:instrText>
      </w:r>
      <w:r>
        <w:rPr>
          <w:lang w:val="en-US"/>
        </w:rPr>
        <w:fldChar w:fldCharType="separate"/>
      </w:r>
      <w:r>
        <w:rPr>
          <w:noProof/>
          <w:vertAlign w:val="superscript"/>
          <w:lang w:val="en-US"/>
        </w:rPr>
        <w:t>34</w:t>
      </w:r>
      <w:r>
        <w:rPr>
          <w:lang w:val="en-US"/>
        </w:rPr>
        <w:fldChar w:fldCharType="end"/>
      </w:r>
      <w:r>
        <w:rPr>
          <w:lang w:val="id-ID"/>
        </w:rPr>
        <w:t xml:space="preserve"> </w:t>
      </w:r>
      <w:r>
        <w:rPr>
          <w:i/>
          <w:iCs/>
        </w:rPr>
        <w:t xml:space="preserve">The International Association for the Study of </w:t>
      </w:r>
      <w:r>
        <w:rPr>
          <w:rStyle w:val="Emphasis"/>
        </w:rPr>
        <w:t>Pain</w:t>
      </w:r>
      <w:r>
        <w:rPr>
          <w:color w:val="000000"/>
        </w:rPr>
        <w:t xml:space="preserve"> (IASP) telah memperbarui definisi nyeri sebagai </w:t>
      </w:r>
      <w:r>
        <w:rPr>
          <w:color w:val="000000"/>
          <w:lang w:val="id-ID"/>
        </w:rPr>
        <w:t>p</w:t>
      </w:r>
      <w:proofErr w:type="spellStart"/>
      <w:r>
        <w:rPr>
          <w:color w:val="000000"/>
          <w:lang w:val="en-US"/>
        </w:rPr>
        <w:t>engalaman</w:t>
      </w:r>
      <w:proofErr w:type="spellEnd"/>
      <w:r>
        <w:rPr>
          <w:color w:val="000000"/>
          <w:lang w:val="en-US"/>
        </w:rPr>
        <w:t xml:space="preserve"> </w:t>
      </w:r>
      <w:proofErr w:type="spellStart"/>
      <w:r>
        <w:rPr>
          <w:color w:val="000000"/>
          <w:lang w:val="en-US"/>
        </w:rPr>
        <w:t>sensorik</w:t>
      </w:r>
      <w:proofErr w:type="spellEnd"/>
      <w:r>
        <w:rPr>
          <w:color w:val="000000"/>
          <w:lang w:val="en-US"/>
        </w:rPr>
        <w:t xml:space="preserve"> dan </w:t>
      </w:r>
      <w:proofErr w:type="spellStart"/>
      <w:r>
        <w:rPr>
          <w:color w:val="000000"/>
          <w:lang w:val="en-US"/>
        </w:rPr>
        <w:t>emosional</w:t>
      </w:r>
      <w:proofErr w:type="spellEnd"/>
      <w:r>
        <w:rPr>
          <w:color w:val="000000"/>
          <w:lang w:val="en-US"/>
        </w:rPr>
        <w:t xml:space="preserve"> yang tidak </w:t>
      </w:r>
      <w:proofErr w:type="spellStart"/>
      <w:r>
        <w:rPr>
          <w:color w:val="000000"/>
          <w:lang w:val="en-US"/>
        </w:rPr>
        <w:t>menyenangkan</w:t>
      </w:r>
      <w:proofErr w:type="spellEnd"/>
      <w:r>
        <w:rPr>
          <w:color w:val="000000"/>
          <w:lang w:val="en-US"/>
        </w:rPr>
        <w:t xml:space="preserve"> yang </w:t>
      </w:r>
      <w:proofErr w:type="spellStart"/>
      <w:r>
        <w:rPr>
          <w:color w:val="000000"/>
          <w:lang w:val="en-US"/>
        </w:rPr>
        <w:t>terkait</w:t>
      </w:r>
      <w:proofErr w:type="spellEnd"/>
      <w:r>
        <w:rPr>
          <w:color w:val="000000"/>
          <w:lang w:val="en-US"/>
        </w:rPr>
        <w:t xml:space="preserve"> dengan, atau </w:t>
      </w:r>
      <w:proofErr w:type="spellStart"/>
      <w:r>
        <w:rPr>
          <w:color w:val="000000"/>
          <w:lang w:val="en-US"/>
        </w:rPr>
        <w:t>menyerupai</w:t>
      </w:r>
      <w:proofErr w:type="spellEnd"/>
      <w:r>
        <w:rPr>
          <w:color w:val="000000"/>
          <w:lang w:val="en-US"/>
        </w:rPr>
        <w:t xml:space="preserve"> yang </w:t>
      </w:r>
      <w:proofErr w:type="spellStart"/>
      <w:r>
        <w:rPr>
          <w:color w:val="000000"/>
          <w:lang w:val="en-US"/>
        </w:rPr>
        <w:t>terkait</w:t>
      </w:r>
      <w:proofErr w:type="spellEnd"/>
      <w:r>
        <w:rPr>
          <w:color w:val="000000"/>
          <w:lang w:val="en-US"/>
        </w:rPr>
        <w:t xml:space="preserve"> dengan, </w:t>
      </w:r>
      <w:proofErr w:type="spellStart"/>
      <w:r>
        <w:rPr>
          <w:color w:val="000000"/>
          <w:lang w:val="en-US"/>
        </w:rPr>
        <w:t>kerusakan</w:t>
      </w:r>
      <w:proofErr w:type="spellEnd"/>
      <w:r>
        <w:rPr>
          <w:color w:val="000000"/>
          <w:lang w:val="en-US"/>
        </w:rPr>
        <w:t xml:space="preserve"> </w:t>
      </w:r>
      <w:proofErr w:type="spellStart"/>
      <w:r>
        <w:rPr>
          <w:color w:val="000000"/>
          <w:lang w:val="en-US"/>
        </w:rPr>
        <w:t>jaringan</w:t>
      </w:r>
      <w:proofErr w:type="spellEnd"/>
      <w:r>
        <w:rPr>
          <w:color w:val="000000"/>
          <w:lang w:val="en-US"/>
        </w:rPr>
        <w:t xml:space="preserve"> </w:t>
      </w:r>
      <w:proofErr w:type="spellStart"/>
      <w:r>
        <w:rPr>
          <w:color w:val="000000"/>
          <w:lang w:val="en-US"/>
        </w:rPr>
        <w:t>aktual</w:t>
      </w:r>
      <w:proofErr w:type="spellEnd"/>
      <w:r>
        <w:rPr>
          <w:color w:val="000000"/>
          <w:lang w:val="en-US"/>
        </w:rPr>
        <w:t xml:space="preserve"> atau potensial.</w:t>
      </w:r>
      <w:r>
        <w:rPr>
          <w:color w:val="000000"/>
          <w:lang w:val="en-US"/>
        </w:rPr>
        <w:fldChar w:fldCharType="begin" w:fldLock="1"/>
      </w:r>
      <w:r>
        <w:rPr>
          <w:color w:val="000000"/>
          <w:lang w:val="en-US"/>
        </w:rPr>
        <w:instrText>ADDIN CSL_CITATION {"citationItems":[{"id":"ITEM-1","itemData":{"DOI":"10.1007/s40122-020-00217-w","ISSN":"2193651X","abstract":"Chronic pain is considered a public health priority by the World Health Organization and European health institutions. It has reached alarming proportions in terms of disability, consumption of health and social resources, and impact on primary and specialist care services. Primary care physicians are often called on to manage this condition. Chronic pain management can be challenging due to its complexity. It has traditionally been considered to include nociceptive pain that that persists longer than the normal healing time, neuropathic pain lasting more than 3 months, or a combination of these. More recently, a third descriptor, nociplastic (primary) pain, was added to classify patients with chronic pain conditions such as fibromyalgia, nonspecific back pain, or mixed pain that persists or other conditions in which altered central pain modulation results in central sensitization and chronic pain in the absence of actual or threatened damage to tissues, including in the somatosensory nervous system. This document provides an overview of pain types and their underlying mechanisms. Successful pain management is facilitated by identification of the pain type. A set of diagnostic tools and a pain algorithm are presented to guide the clinician toward the correct diagnosis. The algorithm identifies cases that may require referral to a pain specialist. Once the site of origin of the pain (the “pain generator”) is identified, or a primary pain syndrome is suspected, the accompanying article provides information and rationale to support treatment decisions based on patient characteristics.","author":[{"dropping-particle":"","family":"Bonezzi","given":"Cesare","non-dropping-particle":"","parse-names":false,"suffix":""},{"dropping-particle":"","family":"Fornasari","given":"Diego","non-dropping-particle":"","parse-names":false,"suffix":""},{"dropping-particle":"","family":"Cricelli","given":"Claudio","non-dropping-particle":"","parse-names":false,"suffix":""},{"dropping-particle":"","family":"Magni","given":"Alberto","non-dropping-particle":"","parse-names":false,"suffix":""},{"dropping-particle":"","family":"Ventriglia","given":"Giuseppe","non-dropping-particle":"","parse-names":false,"suffix":""}],"container-title":"Pain and Therapy","id":"ITEM-1","issue":"s1","issued":{"date-parts":[["2020"]]},"page":"1-15","publisher":"Springer Healthcare","title":"Not all pain is created equal: basic definitions and diagnostic work-up","type":"article-journal","volume":"9"},"uris":["http://www.mendeley.com/documents/?uuid=18005ee7-98f7-4cf2-95dc-cd524ea51bf0"]}],"mendeley":{"formattedCitation":"&lt;sup&gt;35&lt;/sup&gt;","plainTextFormattedCitation":"35","previouslyFormattedCitation":"&lt;sup&gt;35&lt;/sup&gt;"},"properties":{"noteIndex":0},"schema":"https://github.com/citation-style-language/schema/raw/master/csl-citation.json"}</w:instrText>
      </w:r>
      <w:r>
        <w:rPr>
          <w:color w:val="000000"/>
          <w:lang w:val="en-US"/>
        </w:rPr>
        <w:fldChar w:fldCharType="separate"/>
      </w:r>
      <w:r>
        <w:rPr>
          <w:noProof/>
          <w:color w:val="000000"/>
          <w:vertAlign w:val="superscript"/>
          <w:lang w:val="en-US"/>
        </w:rPr>
        <w:t>35</w:t>
      </w:r>
      <w:r>
        <w:rPr>
          <w:color w:val="000000"/>
          <w:lang w:val="en-US"/>
        </w:rPr>
        <w:fldChar w:fldCharType="end"/>
      </w:r>
      <w:r>
        <w:rPr>
          <w:color w:val="000000"/>
          <w:lang w:val="id-ID"/>
        </w:rPr>
        <w:t xml:space="preserve"> </w:t>
      </w:r>
      <w:r>
        <w:rPr>
          <w:color w:val="000000"/>
          <w:lang w:val="en-US"/>
        </w:rPr>
        <w:t xml:space="preserve">Nyeri </w:t>
      </w:r>
      <w:proofErr w:type="spellStart"/>
      <w:r>
        <w:rPr>
          <w:color w:val="000000"/>
          <w:lang w:val="en-US"/>
        </w:rPr>
        <w:t>adalah</w:t>
      </w:r>
      <w:proofErr w:type="spellEnd"/>
      <w:r>
        <w:rPr>
          <w:color w:val="000000"/>
          <w:lang w:val="en-US"/>
        </w:rPr>
        <w:t xml:space="preserve"> </w:t>
      </w:r>
      <w:proofErr w:type="spellStart"/>
      <w:r>
        <w:rPr>
          <w:color w:val="000000"/>
          <w:lang w:val="en-US"/>
        </w:rPr>
        <w:t>fenomena</w:t>
      </w:r>
      <w:proofErr w:type="spellEnd"/>
      <w:r>
        <w:rPr>
          <w:color w:val="000000"/>
          <w:lang w:val="en-US"/>
        </w:rPr>
        <w:t xml:space="preserve"> </w:t>
      </w:r>
      <w:proofErr w:type="spellStart"/>
      <w:r>
        <w:rPr>
          <w:color w:val="000000"/>
          <w:lang w:val="en-US"/>
        </w:rPr>
        <w:t>subyektif</w:t>
      </w:r>
      <w:proofErr w:type="spellEnd"/>
      <w:r>
        <w:rPr>
          <w:color w:val="000000"/>
          <w:lang w:val="en-US"/>
        </w:rPr>
        <w:t xml:space="preserve"> dan </w:t>
      </w:r>
      <w:proofErr w:type="spellStart"/>
      <w:r>
        <w:rPr>
          <w:color w:val="000000"/>
          <w:lang w:val="en-US"/>
        </w:rPr>
        <w:t>kompleks</w:t>
      </w:r>
      <w:proofErr w:type="spellEnd"/>
      <w:r>
        <w:rPr>
          <w:color w:val="000000"/>
          <w:lang w:val="en-US"/>
        </w:rPr>
        <w:t xml:space="preserve"> yang tidak </w:t>
      </w:r>
      <w:proofErr w:type="spellStart"/>
      <w:r>
        <w:rPr>
          <w:color w:val="000000"/>
          <w:lang w:val="en-US"/>
        </w:rPr>
        <w:t>menyenangkan</w:t>
      </w:r>
      <w:proofErr w:type="spellEnd"/>
      <w:r>
        <w:rPr>
          <w:color w:val="000000"/>
          <w:lang w:val="en-US"/>
        </w:rPr>
        <w:t xml:space="preserve"> dan </w:t>
      </w:r>
      <w:proofErr w:type="spellStart"/>
      <w:r>
        <w:rPr>
          <w:color w:val="000000"/>
          <w:lang w:val="en-US"/>
        </w:rPr>
        <w:t>menyusahkan</w:t>
      </w:r>
      <w:proofErr w:type="spellEnd"/>
      <w:r>
        <w:rPr>
          <w:color w:val="000000"/>
          <w:lang w:val="en-US"/>
        </w:rPr>
        <w:t xml:space="preserve"> dengan </w:t>
      </w:r>
      <w:proofErr w:type="spellStart"/>
      <w:r>
        <w:rPr>
          <w:color w:val="000000"/>
          <w:lang w:val="en-US"/>
        </w:rPr>
        <w:t>pengalaman</w:t>
      </w:r>
      <w:proofErr w:type="spellEnd"/>
      <w:r>
        <w:rPr>
          <w:color w:val="000000"/>
          <w:lang w:val="en-US"/>
        </w:rPr>
        <w:t xml:space="preserve"> </w:t>
      </w:r>
      <w:proofErr w:type="spellStart"/>
      <w:r>
        <w:rPr>
          <w:color w:val="000000"/>
          <w:lang w:val="en-US"/>
        </w:rPr>
        <w:t>emosional</w:t>
      </w:r>
      <w:proofErr w:type="spellEnd"/>
      <w:r>
        <w:rPr>
          <w:color w:val="000000"/>
          <w:lang w:val="en-US"/>
        </w:rPr>
        <w:t xml:space="preserve">. </w:t>
      </w:r>
      <w:proofErr w:type="spellStart"/>
      <w:r>
        <w:rPr>
          <w:color w:val="000000"/>
          <w:lang w:val="en-US"/>
        </w:rPr>
        <w:t>Perasaan</w:t>
      </w:r>
      <w:proofErr w:type="spellEnd"/>
      <w:r>
        <w:rPr>
          <w:color w:val="000000"/>
          <w:lang w:val="en-US"/>
        </w:rPr>
        <w:t xml:space="preserve"> </w:t>
      </w:r>
      <w:proofErr w:type="spellStart"/>
      <w:r>
        <w:rPr>
          <w:color w:val="000000"/>
          <w:lang w:val="en-US"/>
        </w:rPr>
        <w:t>sakit</w:t>
      </w:r>
      <w:proofErr w:type="spellEnd"/>
      <w:r>
        <w:rPr>
          <w:color w:val="000000"/>
          <w:lang w:val="en-US"/>
        </w:rPr>
        <w:t xml:space="preserve"> </w:t>
      </w:r>
      <w:proofErr w:type="spellStart"/>
      <w:r>
        <w:rPr>
          <w:color w:val="000000"/>
          <w:lang w:val="en-US"/>
        </w:rPr>
        <w:t>tergantung</w:t>
      </w:r>
      <w:proofErr w:type="spellEnd"/>
      <w:r>
        <w:rPr>
          <w:color w:val="000000"/>
          <w:lang w:val="en-US"/>
        </w:rPr>
        <w:t xml:space="preserve"> pada </w:t>
      </w:r>
      <w:proofErr w:type="spellStart"/>
      <w:r>
        <w:rPr>
          <w:color w:val="000000"/>
          <w:lang w:val="en-US"/>
        </w:rPr>
        <w:t>ambang</w:t>
      </w:r>
      <w:proofErr w:type="spellEnd"/>
      <w:r>
        <w:rPr>
          <w:color w:val="000000"/>
          <w:lang w:val="en-US"/>
        </w:rPr>
        <w:t xml:space="preserve"> rasa </w:t>
      </w:r>
      <w:proofErr w:type="spellStart"/>
      <w:r>
        <w:rPr>
          <w:color w:val="000000"/>
          <w:lang w:val="en-US"/>
        </w:rPr>
        <w:t>sakit</w:t>
      </w:r>
      <w:proofErr w:type="spellEnd"/>
      <w:r>
        <w:rPr>
          <w:color w:val="000000"/>
          <w:lang w:val="en-US"/>
        </w:rPr>
        <w:t xml:space="preserve"> orang </w:t>
      </w:r>
      <w:proofErr w:type="spellStart"/>
      <w:r>
        <w:rPr>
          <w:color w:val="000000"/>
          <w:lang w:val="en-US"/>
        </w:rPr>
        <w:t>tersebut</w:t>
      </w:r>
      <w:proofErr w:type="spellEnd"/>
      <w:r>
        <w:rPr>
          <w:color w:val="000000"/>
          <w:lang w:val="en-US"/>
        </w:rPr>
        <w:t xml:space="preserve">, </w:t>
      </w:r>
      <w:proofErr w:type="spellStart"/>
      <w:r>
        <w:rPr>
          <w:color w:val="000000"/>
          <w:lang w:val="en-US"/>
        </w:rPr>
        <w:t>kerusakan</w:t>
      </w:r>
      <w:proofErr w:type="spellEnd"/>
      <w:r>
        <w:rPr>
          <w:color w:val="000000"/>
          <w:lang w:val="en-US"/>
        </w:rPr>
        <w:t xml:space="preserve"> yang </w:t>
      </w:r>
      <w:proofErr w:type="spellStart"/>
      <w:r>
        <w:rPr>
          <w:color w:val="000000"/>
          <w:lang w:val="en-US"/>
        </w:rPr>
        <w:t>dilakukan</w:t>
      </w:r>
      <w:proofErr w:type="spellEnd"/>
      <w:r>
        <w:rPr>
          <w:color w:val="000000"/>
          <w:lang w:val="en-US"/>
        </w:rPr>
        <w:t xml:space="preserve"> dan </w:t>
      </w:r>
      <w:proofErr w:type="spellStart"/>
      <w:r>
        <w:rPr>
          <w:color w:val="000000"/>
          <w:lang w:val="en-US"/>
        </w:rPr>
        <w:t>pengaturan</w:t>
      </w:r>
      <w:proofErr w:type="spellEnd"/>
      <w:r>
        <w:rPr>
          <w:color w:val="000000"/>
          <w:lang w:val="en-US"/>
        </w:rPr>
        <w:t xml:space="preserve"> </w:t>
      </w:r>
      <w:proofErr w:type="spellStart"/>
      <w:r>
        <w:rPr>
          <w:color w:val="000000"/>
          <w:lang w:val="en-US"/>
        </w:rPr>
        <w:t>emosional</w:t>
      </w:r>
      <w:proofErr w:type="spellEnd"/>
      <w:r>
        <w:rPr>
          <w:color w:val="000000"/>
          <w:lang w:val="en-US"/>
        </w:rPr>
        <w:t xml:space="preserve"> dan </w:t>
      </w:r>
      <w:proofErr w:type="spellStart"/>
      <w:r>
        <w:rPr>
          <w:color w:val="000000"/>
          <w:lang w:val="en-US"/>
        </w:rPr>
        <w:t>psikologis</w:t>
      </w:r>
      <w:proofErr w:type="spellEnd"/>
      <w:r>
        <w:rPr>
          <w:color w:val="000000"/>
          <w:lang w:val="en-US"/>
        </w:rPr>
        <w:t xml:space="preserve">. Sebagian </w:t>
      </w:r>
      <w:proofErr w:type="spellStart"/>
      <w:r>
        <w:rPr>
          <w:color w:val="000000"/>
          <w:lang w:val="en-US"/>
        </w:rPr>
        <w:t>besar</w:t>
      </w:r>
      <w:proofErr w:type="spellEnd"/>
      <w:r>
        <w:rPr>
          <w:color w:val="000000"/>
          <w:lang w:val="en-US"/>
        </w:rPr>
        <w:t xml:space="preserve"> pasien yang </w:t>
      </w:r>
      <w:proofErr w:type="spellStart"/>
      <w:r>
        <w:rPr>
          <w:color w:val="000000"/>
          <w:lang w:val="en-US"/>
        </w:rPr>
        <w:t>stabil</w:t>
      </w:r>
      <w:proofErr w:type="spellEnd"/>
      <w:r>
        <w:rPr>
          <w:color w:val="000000"/>
          <w:lang w:val="en-US"/>
        </w:rPr>
        <w:t xml:space="preserve"> </w:t>
      </w:r>
      <w:proofErr w:type="spellStart"/>
      <w:r>
        <w:rPr>
          <w:color w:val="000000"/>
          <w:lang w:val="en-US"/>
        </w:rPr>
        <w:t>secara</w:t>
      </w:r>
      <w:proofErr w:type="spellEnd"/>
      <w:r>
        <w:rPr>
          <w:color w:val="000000"/>
          <w:lang w:val="en-US"/>
        </w:rPr>
        <w:t xml:space="preserve"> </w:t>
      </w:r>
      <w:proofErr w:type="spellStart"/>
      <w:r>
        <w:rPr>
          <w:color w:val="000000"/>
          <w:lang w:val="en-US"/>
        </w:rPr>
        <w:t>emosional</w:t>
      </w:r>
      <w:proofErr w:type="spellEnd"/>
      <w:r>
        <w:rPr>
          <w:color w:val="000000"/>
          <w:lang w:val="en-US"/>
        </w:rPr>
        <w:t xml:space="preserve"> dan </w:t>
      </w:r>
      <w:proofErr w:type="spellStart"/>
      <w:r>
        <w:rPr>
          <w:color w:val="000000"/>
          <w:lang w:val="en-US"/>
        </w:rPr>
        <w:t>psikologis</w:t>
      </w:r>
      <w:proofErr w:type="spellEnd"/>
      <w:r>
        <w:rPr>
          <w:color w:val="000000"/>
          <w:lang w:val="en-US"/>
        </w:rPr>
        <w:t xml:space="preserve"> </w:t>
      </w:r>
      <w:proofErr w:type="spellStart"/>
      <w:r>
        <w:rPr>
          <w:color w:val="000000"/>
          <w:lang w:val="en-US"/>
        </w:rPr>
        <w:t>memiliki</w:t>
      </w:r>
      <w:proofErr w:type="spellEnd"/>
      <w:r>
        <w:rPr>
          <w:color w:val="000000"/>
          <w:lang w:val="en-US"/>
        </w:rPr>
        <w:t xml:space="preserve"> </w:t>
      </w:r>
      <w:proofErr w:type="spellStart"/>
      <w:r>
        <w:rPr>
          <w:color w:val="000000"/>
          <w:lang w:val="en-US"/>
        </w:rPr>
        <w:t>tingkat</w:t>
      </w:r>
      <w:proofErr w:type="spellEnd"/>
      <w:r>
        <w:rPr>
          <w:color w:val="000000"/>
          <w:lang w:val="en-US"/>
        </w:rPr>
        <w:t xml:space="preserve"> </w:t>
      </w:r>
      <w:proofErr w:type="spellStart"/>
      <w:r>
        <w:rPr>
          <w:color w:val="000000"/>
          <w:lang w:val="en-US"/>
        </w:rPr>
        <w:t>ambang</w:t>
      </w:r>
      <w:proofErr w:type="spellEnd"/>
      <w:r>
        <w:rPr>
          <w:color w:val="000000"/>
          <w:lang w:val="en-US"/>
        </w:rPr>
        <w:t xml:space="preserve"> </w:t>
      </w:r>
      <w:proofErr w:type="spellStart"/>
      <w:r>
        <w:rPr>
          <w:color w:val="000000"/>
          <w:lang w:val="en-US"/>
        </w:rPr>
        <w:t>nyeri</w:t>
      </w:r>
      <w:proofErr w:type="spellEnd"/>
      <w:r>
        <w:rPr>
          <w:color w:val="000000"/>
          <w:lang w:val="en-US"/>
        </w:rPr>
        <w:t xml:space="preserve"> yang </w:t>
      </w:r>
      <w:proofErr w:type="spellStart"/>
      <w:r>
        <w:rPr>
          <w:color w:val="000000"/>
          <w:lang w:val="en-US"/>
        </w:rPr>
        <w:t>tinggi</w:t>
      </w:r>
      <w:proofErr w:type="spellEnd"/>
      <w:r>
        <w:rPr>
          <w:color w:val="000000"/>
          <w:lang w:val="en-US"/>
        </w:rPr>
        <w:t xml:space="preserve"> dan </w:t>
      </w:r>
      <w:proofErr w:type="spellStart"/>
      <w:r>
        <w:rPr>
          <w:color w:val="000000"/>
          <w:lang w:val="en-US"/>
        </w:rPr>
        <w:t>karenanya</w:t>
      </w:r>
      <w:proofErr w:type="spellEnd"/>
      <w:r>
        <w:rPr>
          <w:color w:val="000000"/>
          <w:lang w:val="en-US"/>
        </w:rPr>
        <w:t xml:space="preserve"> </w:t>
      </w:r>
      <w:proofErr w:type="spellStart"/>
      <w:r>
        <w:rPr>
          <w:color w:val="000000"/>
          <w:lang w:val="en-US"/>
        </w:rPr>
        <w:t>merasakan</w:t>
      </w:r>
      <w:proofErr w:type="spellEnd"/>
      <w:r>
        <w:rPr>
          <w:color w:val="000000"/>
          <w:lang w:val="en-US"/>
        </w:rPr>
        <w:t xml:space="preserve"> </w:t>
      </w:r>
      <w:proofErr w:type="spellStart"/>
      <w:r>
        <w:rPr>
          <w:color w:val="000000"/>
          <w:lang w:val="en-US"/>
        </w:rPr>
        <w:t>nyeri</w:t>
      </w:r>
      <w:proofErr w:type="spellEnd"/>
      <w:r>
        <w:rPr>
          <w:color w:val="000000"/>
          <w:lang w:val="en-US"/>
        </w:rPr>
        <w:t xml:space="preserve"> yang </w:t>
      </w:r>
      <w:proofErr w:type="spellStart"/>
      <w:r>
        <w:rPr>
          <w:color w:val="000000"/>
          <w:lang w:val="en-US"/>
        </w:rPr>
        <w:t>lebih</w:t>
      </w:r>
      <w:proofErr w:type="spellEnd"/>
      <w:r>
        <w:rPr>
          <w:color w:val="000000"/>
          <w:lang w:val="en-US"/>
        </w:rPr>
        <w:t xml:space="preserve"> </w:t>
      </w:r>
      <w:proofErr w:type="spellStart"/>
      <w:r>
        <w:rPr>
          <w:color w:val="000000"/>
          <w:lang w:val="en-US"/>
        </w:rPr>
        <w:t>sedikit</w:t>
      </w:r>
      <w:proofErr w:type="spellEnd"/>
      <w:r>
        <w:rPr>
          <w:color w:val="000000"/>
          <w:lang w:val="en-US"/>
        </w:rPr>
        <w:t xml:space="preserve">. Jika </w:t>
      </w:r>
      <w:proofErr w:type="spellStart"/>
      <w:r>
        <w:rPr>
          <w:color w:val="000000"/>
          <w:lang w:val="en-US"/>
        </w:rPr>
        <w:t>ujung</w:t>
      </w:r>
      <w:proofErr w:type="spellEnd"/>
      <w:r>
        <w:rPr>
          <w:color w:val="000000"/>
          <w:lang w:val="en-US"/>
        </w:rPr>
        <w:t xml:space="preserve"> </w:t>
      </w:r>
      <w:proofErr w:type="spellStart"/>
      <w:r>
        <w:rPr>
          <w:color w:val="000000"/>
          <w:lang w:val="en-US"/>
        </w:rPr>
        <w:t>saraf</w:t>
      </w:r>
      <w:proofErr w:type="spellEnd"/>
      <w:r>
        <w:rPr>
          <w:color w:val="000000"/>
          <w:lang w:val="en-US"/>
        </w:rPr>
        <w:t xml:space="preserve"> tidak </w:t>
      </w:r>
      <w:proofErr w:type="spellStart"/>
      <w:r>
        <w:rPr>
          <w:color w:val="000000"/>
          <w:lang w:val="en-US"/>
        </w:rPr>
        <w:t>terbuka</w:t>
      </w:r>
      <w:proofErr w:type="spellEnd"/>
      <w:r>
        <w:rPr>
          <w:color w:val="000000"/>
          <w:lang w:val="en-US"/>
        </w:rPr>
        <w:t xml:space="preserve">, </w:t>
      </w:r>
      <w:proofErr w:type="spellStart"/>
      <w:r>
        <w:rPr>
          <w:color w:val="000000"/>
          <w:lang w:val="en-US"/>
        </w:rPr>
        <w:t>vaskularisasi</w:t>
      </w:r>
      <w:proofErr w:type="spellEnd"/>
      <w:r>
        <w:rPr>
          <w:color w:val="000000"/>
          <w:lang w:val="en-US"/>
        </w:rPr>
        <w:t xml:space="preserve"> </w:t>
      </w:r>
      <w:proofErr w:type="spellStart"/>
      <w:r>
        <w:rPr>
          <w:color w:val="000000"/>
          <w:lang w:val="en-US"/>
        </w:rPr>
        <w:t>ujung</w:t>
      </w:r>
      <w:proofErr w:type="spellEnd"/>
      <w:r>
        <w:rPr>
          <w:color w:val="000000"/>
          <w:lang w:val="en-US"/>
        </w:rPr>
        <w:t xml:space="preserve"> </w:t>
      </w:r>
      <w:proofErr w:type="spellStart"/>
      <w:r>
        <w:rPr>
          <w:color w:val="000000"/>
          <w:lang w:val="en-US"/>
        </w:rPr>
        <w:t>saraf</w:t>
      </w:r>
      <w:proofErr w:type="spellEnd"/>
      <w:r>
        <w:rPr>
          <w:color w:val="000000"/>
          <w:lang w:val="en-US"/>
        </w:rPr>
        <w:t xml:space="preserve"> </w:t>
      </w:r>
      <w:proofErr w:type="spellStart"/>
      <w:r>
        <w:rPr>
          <w:color w:val="000000"/>
          <w:lang w:val="en-US"/>
        </w:rPr>
        <w:t>dipertahankan</w:t>
      </w:r>
      <w:proofErr w:type="spellEnd"/>
      <w:r>
        <w:rPr>
          <w:color w:val="000000"/>
          <w:lang w:val="en-US"/>
        </w:rPr>
        <w:t xml:space="preserve">, </w:t>
      </w:r>
      <w:proofErr w:type="spellStart"/>
      <w:r>
        <w:rPr>
          <w:color w:val="000000"/>
          <w:lang w:val="en-US"/>
        </w:rPr>
        <w:t>kemungkinan</w:t>
      </w:r>
      <w:proofErr w:type="spellEnd"/>
      <w:r>
        <w:rPr>
          <w:color w:val="000000"/>
          <w:lang w:val="en-US"/>
        </w:rPr>
        <w:t xml:space="preserve"> pasien </w:t>
      </w:r>
      <w:proofErr w:type="spellStart"/>
      <w:r>
        <w:rPr>
          <w:color w:val="000000"/>
          <w:lang w:val="en-US"/>
        </w:rPr>
        <w:t>akan</w:t>
      </w:r>
      <w:proofErr w:type="spellEnd"/>
      <w:r>
        <w:rPr>
          <w:color w:val="000000"/>
          <w:lang w:val="en-US"/>
        </w:rPr>
        <w:t xml:space="preserve"> </w:t>
      </w:r>
      <w:proofErr w:type="spellStart"/>
      <w:r>
        <w:rPr>
          <w:color w:val="000000"/>
          <w:lang w:val="en-US"/>
        </w:rPr>
        <w:t>merasakan</w:t>
      </w:r>
      <w:proofErr w:type="spellEnd"/>
      <w:r>
        <w:rPr>
          <w:color w:val="000000"/>
          <w:lang w:val="en-US"/>
        </w:rPr>
        <w:t xml:space="preserve"> </w:t>
      </w:r>
      <w:proofErr w:type="spellStart"/>
      <w:r>
        <w:rPr>
          <w:color w:val="000000"/>
          <w:lang w:val="en-US"/>
        </w:rPr>
        <w:t>nyeri</w:t>
      </w:r>
      <w:proofErr w:type="spellEnd"/>
      <w:r>
        <w:rPr>
          <w:color w:val="000000"/>
          <w:lang w:val="en-US"/>
        </w:rPr>
        <w:t xml:space="preserve"> yang </w:t>
      </w:r>
      <w:proofErr w:type="spellStart"/>
      <w:r>
        <w:rPr>
          <w:color w:val="000000"/>
          <w:lang w:val="en-US"/>
        </w:rPr>
        <w:t>berkurang</w:t>
      </w:r>
      <w:proofErr w:type="spellEnd"/>
      <w:r>
        <w:rPr>
          <w:color w:val="000000"/>
          <w:lang w:val="en-US"/>
        </w:rPr>
        <w:t>/minimal</w:t>
      </w:r>
      <w:r>
        <w:rPr>
          <w:color w:val="000000"/>
          <w:lang w:val="id-ID"/>
        </w:rPr>
        <w:t>.</w:t>
      </w:r>
      <w:r>
        <w:rPr>
          <w:color w:val="000000"/>
          <w:lang w:val="en-US"/>
        </w:rPr>
        <w:fldChar w:fldCharType="begin" w:fldLock="1"/>
      </w:r>
      <w:r>
        <w:rPr>
          <w:color w:val="000000"/>
          <w:lang w:val="en-US"/>
        </w:rPr>
        <w:instrText>ADDIN CSL_CITATION {"citationItems":[{"id":"ITEM-1","itemData":{"DOI":"10.1007/s12070-017-1190-6","ISSN":"09737707","abstract":"Tonsillectomy is a major surgical procedure in terms of volume in the general otolaryngological practice. It is a 3000-year-old surgical operation, referred in Hindu medicine. There has been a conceptual change in the indications and surgical technique in the last 40 years. A comparative study between the various methods of tonsillectomy was done. The study was carried out in the single institutional set up by the same surgeon but using different techniques. The study aimed at comparing the intra-operative factors (blood loss, time taken for surgery), postoperative results (pain, bleeding, dehydration, time taken for complete healing), and other complications like vomiting and hospitalization time between different groups of surgical methods. This study was done in 2500 patients undergoing tonsillectomy with or without adenoid removal in a period of 35 years (1979–2013). The majority of the patients (approximately 41%) in the first half of this period underwent cold steel tonsillectomy whereas 39% underwent microdebrider assisted tonsillectomy. Microdebrider assisted tonsil surgery was done as day care procedure in 90%. In 21% of the patients, other methods viz coblation, radio frequency and laser were used. Microdebrider intracapsular tonsillectomy is associated with lower mortality and morbidity as compared to cold steel, coblation, electrodissection, laser and radio frequency.","author":[{"dropping-particle":"","family":"Verma","given":"Ravinder","non-dropping-particle":"","parse-names":false,"suffix":""},{"dropping-particle":"","family":"Verma","given":"Ravneet Ravinder","non-dropping-particle":"","parse-names":false,"suffix":""},{"dropping-particle":"","family":"Verma","given":"Rohan Ravinder","non-dropping-particle":"","parse-names":false,"suffix":""}],"container-title":"Indian Journal of Otolaryngology and Head and Neck Surgery","id":"ITEM-1","issue":"4","issued":{"date-parts":[["2017"]]},"page":"549-558","publisher":"Springer India","title":"Tonsillectomy-Comparative Study of Various Techniques and Changing Trend","type":"article-journal","volume":"69"},"uris":["http://www.mendeley.com/documents/?uuid=ff9d1fb4-00e5-44d7-9a77-bb87c2bd92f4"]}],"mendeley":{"formattedCitation":"&lt;sup&gt;31&lt;/sup&gt;","plainTextFormattedCitation":"31","previouslyFormattedCitation":"&lt;sup&gt;31&lt;/sup&gt;"},"properties":{"noteIndex":0},"schema":"https://github.com/citation-style-language/schema/raw/master/csl-citation.json"}</w:instrText>
      </w:r>
      <w:r>
        <w:rPr>
          <w:color w:val="000000"/>
          <w:lang w:val="en-US"/>
        </w:rPr>
        <w:fldChar w:fldCharType="separate"/>
      </w:r>
      <w:r>
        <w:rPr>
          <w:noProof/>
          <w:color w:val="000000"/>
          <w:vertAlign w:val="superscript"/>
          <w:lang w:val="en-US"/>
        </w:rPr>
        <w:t>31</w:t>
      </w:r>
      <w:r>
        <w:rPr>
          <w:color w:val="000000"/>
          <w:lang w:val="en-US"/>
        </w:rPr>
        <w:fldChar w:fldCharType="end"/>
      </w:r>
      <w:r>
        <w:rPr>
          <w:color w:val="000000"/>
          <w:lang w:val="en-US"/>
        </w:rPr>
        <w:t xml:space="preserve"> </w:t>
      </w:r>
    </w:p>
    <w:p w14:paraId="3DDB4868" w14:textId="77777777" w:rsidR="003B79BC" w:rsidRDefault="00000000">
      <w:pPr>
        <w:spacing w:line="360" w:lineRule="auto"/>
        <w:ind w:firstLine="709"/>
        <w:jc w:val="both"/>
        <w:rPr>
          <w:color w:val="000000"/>
          <w:lang w:val="en-US"/>
        </w:rPr>
      </w:pPr>
      <w:r w:rsidRPr="00374F09">
        <w:rPr>
          <w:color w:val="000000"/>
          <w:lang w:val="en-US"/>
        </w:rPr>
        <w:t xml:space="preserve">Nyeri </w:t>
      </w:r>
      <w:proofErr w:type="spellStart"/>
      <w:r w:rsidRPr="00374F09">
        <w:rPr>
          <w:color w:val="000000"/>
          <w:lang w:val="en-US"/>
        </w:rPr>
        <w:t>setelah</w:t>
      </w:r>
      <w:proofErr w:type="spellEnd"/>
      <w:r w:rsidRPr="00374F09">
        <w:rPr>
          <w:color w:val="000000"/>
          <w:lang w:val="en-US"/>
        </w:rPr>
        <w:t xml:space="preserve"> </w:t>
      </w:r>
      <w:proofErr w:type="spellStart"/>
      <w:r w:rsidRPr="00374F09">
        <w:rPr>
          <w:color w:val="000000"/>
          <w:lang w:val="en-US"/>
        </w:rPr>
        <w:t>tonsilektomi</w:t>
      </w:r>
      <w:proofErr w:type="spellEnd"/>
      <w:r w:rsidRPr="00374F09">
        <w:rPr>
          <w:color w:val="000000"/>
          <w:lang w:val="en-US"/>
        </w:rPr>
        <w:t xml:space="preserve"> </w:t>
      </w:r>
      <w:proofErr w:type="spellStart"/>
      <w:r w:rsidRPr="00374F09">
        <w:rPr>
          <w:color w:val="000000"/>
          <w:lang w:val="en-US"/>
        </w:rPr>
        <w:t>relatif</w:t>
      </w:r>
      <w:proofErr w:type="spellEnd"/>
      <w:r w:rsidRPr="00374F09">
        <w:rPr>
          <w:color w:val="000000"/>
          <w:lang w:val="en-US"/>
        </w:rPr>
        <w:t xml:space="preserve"> </w:t>
      </w:r>
      <w:proofErr w:type="spellStart"/>
      <w:r w:rsidRPr="00374F09">
        <w:rPr>
          <w:color w:val="000000"/>
          <w:lang w:val="en-US"/>
        </w:rPr>
        <w:t>lebih</w:t>
      </w:r>
      <w:proofErr w:type="spellEnd"/>
      <w:r w:rsidRPr="00374F09">
        <w:rPr>
          <w:color w:val="000000"/>
          <w:lang w:val="en-US"/>
        </w:rPr>
        <w:t xml:space="preserve"> </w:t>
      </w:r>
      <w:proofErr w:type="spellStart"/>
      <w:r w:rsidRPr="00374F09">
        <w:rPr>
          <w:color w:val="000000"/>
          <w:lang w:val="en-US"/>
        </w:rPr>
        <w:t>sering</w:t>
      </w:r>
      <w:proofErr w:type="spellEnd"/>
      <w:r w:rsidRPr="00374F09">
        <w:rPr>
          <w:color w:val="000000"/>
          <w:lang w:val="en-US"/>
        </w:rPr>
        <w:t xml:space="preserve"> </w:t>
      </w:r>
      <w:proofErr w:type="spellStart"/>
      <w:r w:rsidRPr="00374F09">
        <w:rPr>
          <w:color w:val="000000"/>
          <w:lang w:val="en-US"/>
        </w:rPr>
        <w:t>terjadi</w:t>
      </w:r>
      <w:proofErr w:type="spellEnd"/>
      <w:r w:rsidRPr="00374F09">
        <w:rPr>
          <w:color w:val="000000"/>
          <w:lang w:val="en-US"/>
        </w:rPr>
        <w:t xml:space="preserve"> pada </w:t>
      </w:r>
      <w:proofErr w:type="spellStart"/>
      <w:r w:rsidRPr="00374F09">
        <w:rPr>
          <w:color w:val="000000"/>
          <w:lang w:val="en-US"/>
        </w:rPr>
        <w:t>anak</w:t>
      </w:r>
      <w:proofErr w:type="spellEnd"/>
      <w:r w:rsidRPr="00374F09">
        <w:rPr>
          <w:color w:val="000000"/>
          <w:lang w:val="en-US"/>
        </w:rPr>
        <w:t xml:space="preserve">. Ada </w:t>
      </w:r>
      <w:proofErr w:type="spellStart"/>
      <w:r w:rsidRPr="00374F09">
        <w:rPr>
          <w:color w:val="000000"/>
          <w:lang w:val="en-US"/>
        </w:rPr>
        <w:t>lebih</w:t>
      </w:r>
      <w:proofErr w:type="spellEnd"/>
      <w:r w:rsidRPr="00374F09">
        <w:rPr>
          <w:color w:val="000000"/>
          <w:lang w:val="en-US"/>
        </w:rPr>
        <w:t xml:space="preserve"> </w:t>
      </w:r>
      <w:proofErr w:type="spellStart"/>
      <w:r w:rsidRPr="00374F09">
        <w:rPr>
          <w:color w:val="000000"/>
          <w:lang w:val="en-US"/>
        </w:rPr>
        <w:t>banyak</w:t>
      </w:r>
      <w:proofErr w:type="spellEnd"/>
      <w:r w:rsidRPr="00374F09">
        <w:rPr>
          <w:color w:val="000000"/>
          <w:lang w:val="en-US"/>
        </w:rPr>
        <w:t xml:space="preserve"> </w:t>
      </w:r>
      <w:proofErr w:type="spellStart"/>
      <w:r w:rsidRPr="00374F09">
        <w:rPr>
          <w:color w:val="000000"/>
          <w:lang w:val="en-US"/>
        </w:rPr>
        <w:t>jaringan</w:t>
      </w:r>
      <w:proofErr w:type="spellEnd"/>
      <w:r w:rsidRPr="00374F09">
        <w:rPr>
          <w:color w:val="000000"/>
          <w:lang w:val="en-US"/>
        </w:rPr>
        <w:t xml:space="preserve"> </w:t>
      </w:r>
      <w:proofErr w:type="spellStart"/>
      <w:r w:rsidRPr="00374F09">
        <w:rPr>
          <w:color w:val="000000"/>
          <w:lang w:val="en-US"/>
        </w:rPr>
        <w:t>parut</w:t>
      </w:r>
      <w:proofErr w:type="spellEnd"/>
      <w:r w:rsidRPr="00374F09">
        <w:rPr>
          <w:color w:val="000000"/>
          <w:lang w:val="en-US"/>
        </w:rPr>
        <w:t xml:space="preserve">, </w:t>
      </w:r>
      <w:proofErr w:type="spellStart"/>
      <w:r w:rsidRPr="00374F09">
        <w:rPr>
          <w:color w:val="000000"/>
          <w:lang w:val="en-US"/>
        </w:rPr>
        <w:t>lebih</w:t>
      </w:r>
      <w:proofErr w:type="spellEnd"/>
      <w:r w:rsidRPr="00374F09">
        <w:rPr>
          <w:color w:val="000000"/>
          <w:lang w:val="en-US"/>
        </w:rPr>
        <w:t xml:space="preserve"> </w:t>
      </w:r>
      <w:proofErr w:type="spellStart"/>
      <w:r w:rsidRPr="00374F09">
        <w:rPr>
          <w:color w:val="000000"/>
          <w:lang w:val="en-US"/>
        </w:rPr>
        <w:t>banyak</w:t>
      </w:r>
      <w:proofErr w:type="spellEnd"/>
      <w:r w:rsidRPr="00374F09">
        <w:rPr>
          <w:color w:val="000000"/>
          <w:lang w:val="en-US"/>
        </w:rPr>
        <w:t xml:space="preserve"> </w:t>
      </w:r>
      <w:proofErr w:type="spellStart"/>
      <w:r w:rsidRPr="00374F09">
        <w:rPr>
          <w:color w:val="000000"/>
          <w:lang w:val="en-US"/>
        </w:rPr>
        <w:t>cedera</w:t>
      </w:r>
      <w:proofErr w:type="spellEnd"/>
      <w:r w:rsidRPr="00374F09">
        <w:rPr>
          <w:color w:val="000000"/>
          <w:lang w:val="en-US"/>
        </w:rPr>
        <w:t xml:space="preserve"> dan </w:t>
      </w:r>
      <w:proofErr w:type="spellStart"/>
      <w:r w:rsidRPr="00374F09">
        <w:rPr>
          <w:color w:val="000000"/>
          <w:lang w:val="en-US"/>
        </w:rPr>
        <w:t>karenanya</w:t>
      </w:r>
      <w:proofErr w:type="spellEnd"/>
      <w:r w:rsidRPr="00374F09">
        <w:rPr>
          <w:color w:val="000000"/>
          <w:lang w:val="en-US"/>
        </w:rPr>
        <w:t xml:space="preserve"> </w:t>
      </w:r>
      <w:proofErr w:type="spellStart"/>
      <w:r w:rsidRPr="00374F09">
        <w:rPr>
          <w:color w:val="000000"/>
          <w:lang w:val="en-US"/>
        </w:rPr>
        <w:t>lebih</w:t>
      </w:r>
      <w:proofErr w:type="spellEnd"/>
      <w:r w:rsidRPr="00374F09">
        <w:rPr>
          <w:color w:val="000000"/>
          <w:lang w:val="en-US"/>
        </w:rPr>
        <w:t xml:space="preserve"> </w:t>
      </w:r>
      <w:proofErr w:type="spellStart"/>
      <w:r w:rsidRPr="00374F09">
        <w:rPr>
          <w:color w:val="000000"/>
          <w:lang w:val="en-US"/>
        </w:rPr>
        <w:t>banyak</w:t>
      </w:r>
      <w:proofErr w:type="spellEnd"/>
      <w:r w:rsidRPr="00374F09">
        <w:rPr>
          <w:color w:val="000000"/>
          <w:lang w:val="en-US"/>
        </w:rPr>
        <w:t xml:space="preserve"> rasa </w:t>
      </w:r>
      <w:proofErr w:type="spellStart"/>
      <w:r w:rsidRPr="00374F09">
        <w:rPr>
          <w:color w:val="000000"/>
          <w:lang w:val="en-US"/>
        </w:rPr>
        <w:t>sakit</w:t>
      </w:r>
      <w:proofErr w:type="spellEnd"/>
      <w:r w:rsidRPr="00374F09">
        <w:rPr>
          <w:color w:val="000000"/>
          <w:lang w:val="en-US"/>
        </w:rPr>
        <w:t xml:space="preserve"> pada orang </w:t>
      </w:r>
      <w:proofErr w:type="spellStart"/>
      <w:r w:rsidRPr="00374F09">
        <w:rPr>
          <w:color w:val="000000"/>
          <w:lang w:val="en-US"/>
        </w:rPr>
        <w:t>dewasa</w:t>
      </w:r>
      <w:proofErr w:type="spellEnd"/>
      <w:r w:rsidRPr="00374F09">
        <w:rPr>
          <w:color w:val="000000"/>
          <w:lang w:val="en-US"/>
        </w:rPr>
        <w:t xml:space="preserve">. </w:t>
      </w:r>
      <w:proofErr w:type="spellStart"/>
      <w:r>
        <w:rPr>
          <w:color w:val="000000"/>
          <w:lang w:val="en-US"/>
        </w:rPr>
        <w:t>Mual</w:t>
      </w:r>
      <w:proofErr w:type="spellEnd"/>
      <w:r>
        <w:rPr>
          <w:color w:val="000000"/>
          <w:lang w:val="en-US"/>
        </w:rPr>
        <w:t xml:space="preserve"> dan </w:t>
      </w:r>
      <w:proofErr w:type="spellStart"/>
      <w:r>
        <w:rPr>
          <w:color w:val="000000"/>
          <w:lang w:val="en-US"/>
        </w:rPr>
        <w:t>muntah</w:t>
      </w:r>
      <w:proofErr w:type="spellEnd"/>
      <w:r>
        <w:rPr>
          <w:color w:val="000000"/>
          <w:lang w:val="en-US"/>
        </w:rPr>
        <w:t xml:space="preserve"> </w:t>
      </w:r>
      <w:proofErr w:type="spellStart"/>
      <w:r>
        <w:rPr>
          <w:color w:val="000000"/>
          <w:lang w:val="en-US"/>
        </w:rPr>
        <w:t>pascabedah</w:t>
      </w:r>
      <w:proofErr w:type="spellEnd"/>
      <w:r>
        <w:rPr>
          <w:color w:val="000000"/>
          <w:lang w:val="en-US"/>
        </w:rPr>
        <w:t xml:space="preserve"> dapat </w:t>
      </w:r>
      <w:proofErr w:type="spellStart"/>
      <w:r>
        <w:rPr>
          <w:color w:val="000000"/>
          <w:lang w:val="en-US"/>
        </w:rPr>
        <w:t>dikurangi</w:t>
      </w:r>
      <w:proofErr w:type="spellEnd"/>
      <w:r>
        <w:rPr>
          <w:color w:val="000000"/>
          <w:lang w:val="en-US"/>
        </w:rPr>
        <w:t xml:space="preserve"> dengan </w:t>
      </w:r>
      <w:proofErr w:type="spellStart"/>
      <w:r>
        <w:rPr>
          <w:color w:val="000000"/>
          <w:lang w:val="en-US"/>
        </w:rPr>
        <w:t>pemberian</w:t>
      </w:r>
      <w:proofErr w:type="spellEnd"/>
      <w:r>
        <w:rPr>
          <w:color w:val="000000"/>
          <w:lang w:val="en-US"/>
        </w:rPr>
        <w:t xml:space="preserve"> </w:t>
      </w:r>
      <w:proofErr w:type="spellStart"/>
      <w:r>
        <w:rPr>
          <w:color w:val="000000"/>
          <w:lang w:val="en-US"/>
        </w:rPr>
        <w:t>deksametason</w:t>
      </w:r>
      <w:proofErr w:type="spellEnd"/>
      <w:r>
        <w:rPr>
          <w:color w:val="000000"/>
          <w:lang w:val="en-US"/>
        </w:rPr>
        <w:t xml:space="preserve"> prabedah. Dexamethasone </w:t>
      </w:r>
      <w:proofErr w:type="spellStart"/>
      <w:r>
        <w:rPr>
          <w:color w:val="000000"/>
          <w:lang w:val="en-US"/>
        </w:rPr>
        <w:t>bertindak</w:t>
      </w:r>
      <w:proofErr w:type="spellEnd"/>
      <w:r>
        <w:rPr>
          <w:color w:val="000000"/>
          <w:lang w:val="en-US"/>
        </w:rPr>
        <w:t xml:space="preserve"> </w:t>
      </w:r>
      <w:proofErr w:type="spellStart"/>
      <w:r>
        <w:rPr>
          <w:color w:val="000000"/>
          <w:lang w:val="en-US"/>
        </w:rPr>
        <w:t>sebagai</w:t>
      </w:r>
      <w:proofErr w:type="spellEnd"/>
      <w:r>
        <w:rPr>
          <w:color w:val="000000"/>
          <w:lang w:val="en-US"/>
        </w:rPr>
        <w:t xml:space="preserve"> </w:t>
      </w:r>
      <w:proofErr w:type="spellStart"/>
      <w:r>
        <w:rPr>
          <w:color w:val="000000"/>
          <w:lang w:val="en-US"/>
        </w:rPr>
        <w:t>agen</w:t>
      </w:r>
      <w:proofErr w:type="spellEnd"/>
      <w:r>
        <w:rPr>
          <w:color w:val="000000"/>
          <w:lang w:val="en-US"/>
        </w:rPr>
        <w:t xml:space="preserve"> </w:t>
      </w:r>
      <w:proofErr w:type="spellStart"/>
      <w:r>
        <w:rPr>
          <w:color w:val="000000"/>
          <w:lang w:val="en-US"/>
        </w:rPr>
        <w:t>antiemetik</w:t>
      </w:r>
      <w:proofErr w:type="spellEnd"/>
      <w:r>
        <w:rPr>
          <w:color w:val="000000"/>
          <w:lang w:val="en-US"/>
        </w:rPr>
        <w:t xml:space="preserve"> dan anti </w:t>
      </w:r>
      <w:proofErr w:type="spellStart"/>
      <w:r>
        <w:rPr>
          <w:color w:val="000000"/>
          <w:lang w:val="en-US"/>
        </w:rPr>
        <w:t>inflamasi</w:t>
      </w:r>
      <w:proofErr w:type="spellEnd"/>
      <w:r>
        <w:rPr>
          <w:color w:val="000000"/>
          <w:lang w:val="en-US"/>
        </w:rPr>
        <w:t xml:space="preserve"> untuk </w:t>
      </w:r>
      <w:proofErr w:type="spellStart"/>
      <w:r>
        <w:rPr>
          <w:color w:val="000000"/>
          <w:lang w:val="en-US"/>
        </w:rPr>
        <w:t>mengurangi</w:t>
      </w:r>
      <w:proofErr w:type="spellEnd"/>
      <w:r>
        <w:rPr>
          <w:color w:val="000000"/>
          <w:lang w:val="en-US"/>
        </w:rPr>
        <w:t xml:space="preserve"> edema dan </w:t>
      </w:r>
      <w:proofErr w:type="spellStart"/>
      <w:r>
        <w:rPr>
          <w:color w:val="000000"/>
          <w:lang w:val="en-US"/>
        </w:rPr>
        <w:t>pelepasan</w:t>
      </w:r>
      <w:proofErr w:type="spellEnd"/>
      <w:r>
        <w:rPr>
          <w:color w:val="000000"/>
          <w:lang w:val="en-US"/>
        </w:rPr>
        <w:t xml:space="preserve"> </w:t>
      </w:r>
      <w:proofErr w:type="spellStart"/>
      <w:r>
        <w:rPr>
          <w:color w:val="000000"/>
          <w:lang w:val="en-US"/>
        </w:rPr>
        <w:t>bradikinin</w:t>
      </w:r>
      <w:proofErr w:type="spellEnd"/>
      <w:r>
        <w:rPr>
          <w:color w:val="000000"/>
          <w:lang w:val="en-US"/>
        </w:rPr>
        <w:t xml:space="preserve">, </w:t>
      </w:r>
      <w:r>
        <w:rPr>
          <w:color w:val="000000"/>
          <w:lang w:val="en-US"/>
        </w:rPr>
        <w:lastRenderedPageBreak/>
        <w:t>prostaglandin dan leukotrien.</w:t>
      </w:r>
      <w:r>
        <w:rPr>
          <w:color w:val="000000"/>
          <w:lang w:val="en-US"/>
        </w:rPr>
        <w:fldChar w:fldCharType="begin" w:fldLock="1"/>
      </w:r>
      <w:r>
        <w:rPr>
          <w:color w:val="000000"/>
          <w:lang w:val="en-US"/>
        </w:rPr>
        <w:instrText>ADDIN CSL_CITATION {"citationItems":[{"id":"ITEM-1","itemData":{"DOI":"10.1007/s12070-017-1190-6","ISSN":"09737707","abstract":"Tonsillectomy is a major surgical procedure in terms of volume in the general otolaryngological practice. It is a 3000-year-old surgical operation, referred in Hindu medicine. There has been a conceptual change in the indications and surgical technique in the last 40 years. A comparative study between the various methods of tonsillectomy was done. The study was carried out in the single institutional set up by the same surgeon but using different techniques. The study aimed at comparing the intra-operative factors (blood loss, time taken for surgery), postoperative results (pain, bleeding, dehydration, time taken for complete healing), and other complications like vomiting and hospitalization time between different groups of surgical methods. This study was done in 2500 patients undergoing tonsillectomy with or without adenoid removal in a period of 35 years (1979–2013). The majority of the patients (approximately 41%) in the first half of this period underwent cold steel tonsillectomy whereas 39% underwent microdebrider assisted tonsillectomy. Microdebrider assisted tonsil surgery was done as day care procedure in 90%. In 21% of the patients, other methods viz coblation, radio frequency and laser were used. Microdebrider intracapsular tonsillectomy is associated with lower mortality and morbidity as compared to cold steel, coblation, electrodissection, laser and radio frequency.","author":[{"dropping-particle":"","family":"Verma","given":"Ravinder","non-dropping-particle":"","parse-names":false,"suffix":""},{"dropping-particle":"","family":"Verma","given":"Ravneet Ravinder","non-dropping-particle":"","parse-names":false,"suffix":""},{"dropping-particle":"","family":"Verma","given":"Rohan Ravinder","non-dropping-particle":"","parse-names":false,"suffix":""}],"container-title":"Indian Journal of Otolaryngology and Head and Neck Surgery","id":"ITEM-1","issue":"4","issued":{"date-parts":[["2017"]]},"page":"549-558","publisher":"Springer India","title":"Tonsillectomy-Comparative Study of Various Techniques and Changing Trend","type":"article-journal","volume":"69"},"uris":["http://www.mendeley.com/documents/?uuid=ff9d1fb4-00e5-44d7-9a77-bb87c2bd92f4"]}],"mendeley":{"formattedCitation":"&lt;sup&gt;31&lt;/sup&gt;","plainTextFormattedCitation":"31","previouslyFormattedCitation":"&lt;sup&gt;31&lt;/sup&gt;"},"properties":{"noteIndex":0},"schema":"https://github.com/citation-style-language/schema/raw/master/csl-citation.json"}</w:instrText>
      </w:r>
      <w:r>
        <w:rPr>
          <w:color w:val="000000"/>
          <w:lang w:val="en-US"/>
        </w:rPr>
        <w:fldChar w:fldCharType="separate"/>
      </w:r>
      <w:r>
        <w:rPr>
          <w:noProof/>
          <w:color w:val="000000"/>
          <w:vertAlign w:val="superscript"/>
          <w:lang w:val="en-US"/>
        </w:rPr>
        <w:t>31</w:t>
      </w:r>
      <w:r>
        <w:rPr>
          <w:color w:val="000000"/>
          <w:lang w:val="en-US"/>
        </w:rPr>
        <w:fldChar w:fldCharType="end"/>
      </w:r>
      <w:r>
        <w:rPr>
          <w:color w:val="000000"/>
          <w:lang w:val="id-ID"/>
        </w:rPr>
        <w:t xml:space="preserve"> </w:t>
      </w:r>
      <w:proofErr w:type="spellStart"/>
      <w:r>
        <w:rPr>
          <w:rFonts w:eastAsiaTheme="minorEastAsia"/>
          <w:lang w:val="en-US"/>
        </w:rPr>
        <w:t>Fisiologi</w:t>
      </w:r>
      <w:proofErr w:type="spellEnd"/>
      <w:r>
        <w:rPr>
          <w:rFonts w:eastAsiaTheme="minorEastAsia"/>
          <w:lang w:val="en-US"/>
        </w:rPr>
        <w:t xml:space="preserve"> </w:t>
      </w:r>
      <w:proofErr w:type="spellStart"/>
      <w:r>
        <w:rPr>
          <w:rFonts w:eastAsiaTheme="minorEastAsia"/>
          <w:lang w:val="en-US"/>
        </w:rPr>
        <w:t>nyeri</w:t>
      </w:r>
      <w:proofErr w:type="spellEnd"/>
      <w:r>
        <w:rPr>
          <w:rFonts w:eastAsiaTheme="minorEastAsia"/>
          <w:lang w:val="en-US"/>
        </w:rPr>
        <w:t xml:space="preserve"> dapat </w:t>
      </w:r>
      <w:proofErr w:type="spellStart"/>
      <w:r>
        <w:rPr>
          <w:rFonts w:eastAsiaTheme="minorEastAsia"/>
          <w:lang w:val="en-US"/>
        </w:rPr>
        <w:t>dibagi</w:t>
      </w:r>
      <w:proofErr w:type="spellEnd"/>
      <w:r>
        <w:rPr>
          <w:rFonts w:eastAsiaTheme="minorEastAsia"/>
          <w:lang w:val="en-US"/>
        </w:rPr>
        <w:t xml:space="preserve"> </w:t>
      </w:r>
      <w:proofErr w:type="spellStart"/>
      <w:r>
        <w:rPr>
          <w:rFonts w:eastAsiaTheme="minorEastAsia"/>
          <w:lang w:val="en-US"/>
        </w:rPr>
        <w:t>menjadi</w:t>
      </w:r>
      <w:proofErr w:type="spellEnd"/>
      <w:r>
        <w:rPr>
          <w:rFonts w:eastAsiaTheme="minorEastAsia"/>
          <w:lang w:val="en-US"/>
        </w:rPr>
        <w:t xml:space="preserve"> dua </w:t>
      </w:r>
      <w:proofErr w:type="spellStart"/>
      <w:r>
        <w:rPr>
          <w:rFonts w:eastAsiaTheme="minorEastAsia"/>
          <w:lang w:val="en-US"/>
        </w:rPr>
        <w:t>kategori</w:t>
      </w:r>
      <w:proofErr w:type="spellEnd"/>
      <w:r>
        <w:rPr>
          <w:rFonts w:eastAsiaTheme="minorEastAsia"/>
          <w:lang w:val="en-US"/>
        </w:rPr>
        <w:t xml:space="preserve"> </w:t>
      </w:r>
      <w:proofErr w:type="spellStart"/>
      <w:r>
        <w:rPr>
          <w:rFonts w:eastAsiaTheme="minorEastAsia"/>
          <w:lang w:val="en-US"/>
        </w:rPr>
        <w:t>nyeri</w:t>
      </w:r>
      <w:proofErr w:type="spellEnd"/>
      <w:r>
        <w:rPr>
          <w:rFonts w:eastAsiaTheme="minorEastAsia"/>
          <w:lang w:val="en-US"/>
        </w:rPr>
        <w:t xml:space="preserve"> yang </w:t>
      </w:r>
      <w:proofErr w:type="spellStart"/>
      <w:r>
        <w:rPr>
          <w:rFonts w:eastAsiaTheme="minorEastAsia"/>
          <w:lang w:val="en-US"/>
        </w:rPr>
        <w:t>berbeda</w:t>
      </w:r>
      <w:proofErr w:type="spellEnd"/>
      <w:r>
        <w:rPr>
          <w:rFonts w:eastAsiaTheme="minorEastAsia"/>
          <w:lang w:val="en-US"/>
        </w:rPr>
        <w:t xml:space="preserve"> </w:t>
      </w:r>
      <w:proofErr w:type="spellStart"/>
      <w:r>
        <w:rPr>
          <w:rFonts w:eastAsiaTheme="minorEastAsia"/>
          <w:lang w:val="en-US"/>
        </w:rPr>
        <w:t>berdasarkan</w:t>
      </w:r>
      <w:proofErr w:type="spellEnd"/>
      <w:r>
        <w:rPr>
          <w:rFonts w:eastAsiaTheme="minorEastAsia"/>
          <w:lang w:val="en-US"/>
        </w:rPr>
        <w:t xml:space="preserve"> </w:t>
      </w:r>
      <w:proofErr w:type="spellStart"/>
      <w:r>
        <w:rPr>
          <w:rFonts w:eastAsiaTheme="minorEastAsia"/>
          <w:lang w:val="en-US"/>
        </w:rPr>
        <w:t>asal</w:t>
      </w:r>
      <w:proofErr w:type="spellEnd"/>
      <w:r>
        <w:rPr>
          <w:rFonts w:eastAsiaTheme="minorEastAsia"/>
          <w:lang w:val="en-US"/>
        </w:rPr>
        <w:t xml:space="preserve"> </w:t>
      </w:r>
      <w:proofErr w:type="spellStart"/>
      <w:r>
        <w:rPr>
          <w:rFonts w:eastAsiaTheme="minorEastAsia"/>
          <w:lang w:val="en-US"/>
        </w:rPr>
        <w:t>pengalaman</w:t>
      </w:r>
      <w:proofErr w:type="spellEnd"/>
      <w:r>
        <w:rPr>
          <w:rFonts w:eastAsiaTheme="minorEastAsia"/>
          <w:lang w:val="en-US"/>
        </w:rPr>
        <w:t xml:space="preserve"> </w:t>
      </w:r>
      <w:proofErr w:type="spellStart"/>
      <w:r>
        <w:rPr>
          <w:rFonts w:eastAsiaTheme="minorEastAsia"/>
          <w:lang w:val="en-US"/>
        </w:rPr>
        <w:t>sensorik</w:t>
      </w:r>
      <w:proofErr w:type="spellEnd"/>
      <w:r>
        <w:rPr>
          <w:rFonts w:eastAsiaTheme="minorEastAsia"/>
          <w:lang w:val="en-US"/>
        </w:rPr>
        <w:t xml:space="preserve">. Jenis </w:t>
      </w:r>
      <w:proofErr w:type="spellStart"/>
      <w:r>
        <w:rPr>
          <w:rFonts w:eastAsiaTheme="minorEastAsia"/>
          <w:lang w:val="en-US"/>
        </w:rPr>
        <w:t>nyeri</w:t>
      </w:r>
      <w:proofErr w:type="spellEnd"/>
      <w:r>
        <w:rPr>
          <w:rFonts w:eastAsiaTheme="minorEastAsia"/>
          <w:lang w:val="en-US"/>
        </w:rPr>
        <w:t xml:space="preserve"> </w:t>
      </w:r>
      <w:proofErr w:type="spellStart"/>
      <w:r>
        <w:rPr>
          <w:rFonts w:eastAsiaTheme="minorEastAsia"/>
          <w:lang w:val="en-US"/>
        </w:rPr>
        <w:t>digambarkan</w:t>
      </w:r>
      <w:proofErr w:type="spellEnd"/>
      <w:r>
        <w:rPr>
          <w:rFonts w:eastAsiaTheme="minorEastAsia"/>
          <w:lang w:val="en-US"/>
        </w:rPr>
        <w:t xml:space="preserve"> </w:t>
      </w:r>
      <w:proofErr w:type="spellStart"/>
      <w:r>
        <w:rPr>
          <w:rFonts w:eastAsiaTheme="minorEastAsia"/>
          <w:lang w:val="en-US"/>
        </w:rPr>
        <w:t>sebagai</w:t>
      </w:r>
      <w:proofErr w:type="spellEnd"/>
      <w:r>
        <w:rPr>
          <w:rFonts w:eastAsiaTheme="minorEastAsia"/>
          <w:lang w:val="en-US"/>
        </w:rPr>
        <w:t xml:space="preserve"> </w:t>
      </w:r>
      <w:proofErr w:type="spellStart"/>
      <w:r>
        <w:rPr>
          <w:rFonts w:eastAsiaTheme="minorEastAsia"/>
          <w:lang w:val="en-US"/>
        </w:rPr>
        <w:t>nyeri</w:t>
      </w:r>
      <w:proofErr w:type="spellEnd"/>
      <w:r>
        <w:rPr>
          <w:rFonts w:eastAsiaTheme="minorEastAsia"/>
          <w:lang w:val="en-US"/>
        </w:rPr>
        <w:t xml:space="preserve"> </w:t>
      </w:r>
      <w:proofErr w:type="spellStart"/>
      <w:r>
        <w:rPr>
          <w:rFonts w:eastAsiaTheme="minorEastAsia"/>
          <w:lang w:val="en-US"/>
        </w:rPr>
        <w:t>nosiseptif</w:t>
      </w:r>
      <w:proofErr w:type="spellEnd"/>
      <w:r>
        <w:rPr>
          <w:rFonts w:eastAsiaTheme="minorEastAsia"/>
          <w:lang w:val="en-US"/>
        </w:rPr>
        <w:t xml:space="preserve"> dan neuropatik.</w:t>
      </w:r>
      <w:r>
        <w:rPr>
          <w:rFonts w:eastAsiaTheme="minorEastAsia"/>
          <w:lang w:val="en-US"/>
        </w:rPr>
        <w:fldChar w:fldCharType="begin" w:fldLock="1"/>
      </w:r>
      <w:r>
        <w:rPr>
          <w:rFonts w:eastAsiaTheme="minorEastAsia"/>
          <w:lang w:val="en-US"/>
        </w:rPr>
        <w:instrText>ADDIN CSL_CITATION {"citationItems":[{"id":"ITEM-1","itemData":{"DOI":"10.1177/1744629517708680","ISSN":"17446309","PMID":"28502222","abstract":"The issue of pain warrants attention as, by virtue of having an intellectual disability, a person may have associated medical or physical conditions and associated factors increasing their risk of pain disorders. People with intellectual disability experiencing pain need to be provided with the best possible care. The focus of this article is on the exploration of pain: physiology and types; manifestations and responses in the context of intellectual disability in order to promote effective, knowledgeable assessment and management of pain for this client group. Pain is a subjective, complex, physiological and psychological phenomenon that can be acute or chronic and may be classified according to its cause. Within the experience of pain, the concept of total pain describes the physical, psychological, social and spiritual factors that influence the experience of pain.","author":[{"dropping-particle":"","family":"Doody","given":"Owen","non-dropping-particle":"","parse-names":false,"suffix":""},{"dropping-particle":"","family":"Bailey","given":"Maria E.","non-dropping-particle":"","parse-names":false,"suffix":""}],"container-title":"Journal of Intellectual Disabilities","id":"ITEM-1","issue":"1","issued":{"date-parts":[["2019"]]},"page":"5-18","title":"Understanding pain physiology and its application to person with intellectual disability","type":"article-journal","volume":"23"},"uris":["http://www.mendeley.com/documents/?uuid=2f13d603-c83b-4d72-9755-c7d205d10486"]}],"mendeley":{"formattedCitation":"&lt;sup&gt;36&lt;/sup&gt;","plainTextFormattedCitation":"36","previouslyFormattedCitation":"&lt;sup&gt;36&lt;/sup&gt;"},"properties":{"noteIndex":0},"schema":"https://github.com/citation-style-language/schema/raw/master/csl-citation.json"}</w:instrText>
      </w:r>
      <w:r>
        <w:rPr>
          <w:rFonts w:eastAsiaTheme="minorEastAsia"/>
          <w:lang w:val="en-US"/>
        </w:rPr>
        <w:fldChar w:fldCharType="separate"/>
      </w:r>
      <w:r>
        <w:rPr>
          <w:rFonts w:eastAsiaTheme="minorEastAsia"/>
          <w:noProof/>
          <w:vertAlign w:val="superscript"/>
          <w:lang w:val="en-US"/>
        </w:rPr>
        <w:t>36</w:t>
      </w:r>
      <w:r>
        <w:rPr>
          <w:rFonts w:eastAsiaTheme="minorEastAsia"/>
          <w:lang w:val="en-US"/>
        </w:rPr>
        <w:fldChar w:fldCharType="end"/>
      </w:r>
      <w:r>
        <w:rPr>
          <w:rFonts w:eastAsiaTheme="minorEastAsia"/>
          <w:lang w:val="en-US"/>
        </w:rPr>
        <w:t xml:space="preserve"> </w:t>
      </w:r>
    </w:p>
    <w:p w14:paraId="20757FDF" w14:textId="77777777" w:rsidR="003B79BC" w:rsidRDefault="00000000">
      <w:pPr>
        <w:pStyle w:val="Heading3"/>
        <w:numPr>
          <w:ilvl w:val="0"/>
          <w:numId w:val="7"/>
        </w:numPr>
        <w:spacing w:before="0" w:after="0" w:line="360" w:lineRule="auto"/>
        <w:ind w:left="709" w:hanging="709"/>
        <w:rPr>
          <w:rFonts w:cs="Times New Roman"/>
        </w:rPr>
      </w:pPr>
      <w:bookmarkStart w:id="28" w:name="_Toc158290243"/>
      <w:r>
        <w:rPr>
          <w:rFonts w:cs="Times New Roman"/>
          <w:lang w:val="id-ID"/>
        </w:rPr>
        <w:t>Nyeri nosiseptif</w:t>
      </w:r>
      <w:bookmarkEnd w:id="28"/>
    </w:p>
    <w:p w14:paraId="56B7496E" w14:textId="77777777" w:rsidR="003B79BC" w:rsidRDefault="00000000">
      <w:pPr>
        <w:spacing w:line="360" w:lineRule="auto"/>
        <w:ind w:firstLine="709"/>
        <w:jc w:val="both"/>
        <w:rPr>
          <w:lang w:val="id-ID"/>
        </w:rPr>
      </w:pPr>
      <w:r>
        <w:rPr>
          <w:lang w:val="id-ID"/>
        </w:rPr>
        <w:t>Nosiseptif merupakan</w:t>
      </w:r>
      <w:r w:rsidRPr="00F426C1">
        <w:rPr>
          <w:lang w:val="pt-BR"/>
        </w:rPr>
        <w:t xml:space="preserve"> fungsi dari </w:t>
      </w:r>
      <w:r w:rsidRPr="00F426C1">
        <w:rPr>
          <w:color w:val="000000"/>
          <w:lang w:val="pt-BR"/>
        </w:rPr>
        <w:t>sistem</w:t>
      </w:r>
      <w:r w:rsidRPr="00F426C1">
        <w:rPr>
          <w:lang w:val="pt-BR"/>
        </w:rPr>
        <w:t xml:space="preserve"> sensorik tertentu. Sistem nosiseptif</w:t>
      </w:r>
      <w:r>
        <w:rPr>
          <w:lang w:val="id-ID"/>
        </w:rPr>
        <w:t xml:space="preserve"> yaitu</w:t>
      </w:r>
      <w:r w:rsidRPr="00F426C1">
        <w:rPr>
          <w:lang w:val="pt-BR"/>
        </w:rPr>
        <w:t xml:space="preserve"> sistem peringatan dengan stimulus yang memadai. Stimulus berbahaya</w:t>
      </w:r>
      <w:r>
        <w:rPr>
          <w:lang w:val="id-ID"/>
        </w:rPr>
        <w:t xml:space="preserve"> yaitu</w:t>
      </w:r>
      <w:r w:rsidRPr="00F426C1">
        <w:rPr>
          <w:lang w:val="pt-BR"/>
        </w:rPr>
        <w:t xml:space="preserve"> </w:t>
      </w:r>
      <w:r>
        <w:rPr>
          <w:lang w:val="id-ID"/>
        </w:rPr>
        <w:t>s</w:t>
      </w:r>
      <w:r w:rsidRPr="00F426C1">
        <w:rPr>
          <w:lang w:val="pt-BR"/>
        </w:rPr>
        <w:t>timulus yang merusak atau mengancam kerusakan jaringan normal.</w:t>
      </w:r>
      <w:r>
        <w:rPr>
          <w:lang w:val="en-US"/>
        </w:rPr>
        <w:fldChar w:fldCharType="begin" w:fldLock="1"/>
      </w:r>
      <w:r w:rsidRPr="00F426C1">
        <w:rPr>
          <w:lang w:val="pt-BR"/>
        </w:rPr>
        <w:instrText>ADDIN CSL_CITATION {"citationItems":[{"id":"ITEM-1","itemData":{"DOI":"10.1097/PR9.0000000000000643","ISBN":"0000000000000","ISSN":"24712531","PMID":"29756089","abstract":"Milton Cohen, John Quintner, and Simon van Rysewyk proposed a revision of the IASP definition of pain of 1979. This commentary summarizes, why this proposal is useful for guiding assessment of pain, but not its definition.","author":[{"dropping-particle":"","family":"Treede","given":"Rolf Detlef","non-dropping-particle":"","parse-names":false,"suffix":""}],"container-title":"Pain Reports","id":"ITEM-1","issue":"2","issued":{"date-parts":[["2018"]]},"page":"3-5","title":"The International Association for the Study of Pain definition of pain: As valid in 2018 as in 1979, but in need of regularly updated footnotes","type":"article-journal","volume":"3"},"uris":["http://www.mendeley.com/documents/?uuid=809616a4-1043-4a0d-ba7c-450f75d3049f"]}],"mendeley":{"formattedCitation":"&lt;sup&gt;34&lt;/sup&gt;","plainTextFormattedCitation":"34","previouslyFormattedCitation":"&lt;sup&gt;34&lt;/sup&gt;"},"properties":{"noteIndex":0},"schema":"https://github.com/citation-style-language/schema/raw/master/csl-citation.json"}</w:instrText>
      </w:r>
      <w:r>
        <w:rPr>
          <w:lang w:val="en-US"/>
        </w:rPr>
        <w:fldChar w:fldCharType="separate"/>
      </w:r>
      <w:r>
        <w:rPr>
          <w:noProof/>
          <w:vertAlign w:val="superscript"/>
          <w:lang w:val="en-US"/>
        </w:rPr>
        <w:t>34</w:t>
      </w:r>
      <w:r>
        <w:rPr>
          <w:lang w:val="en-US"/>
        </w:rPr>
        <w:fldChar w:fldCharType="end"/>
      </w:r>
      <w:r>
        <w:rPr>
          <w:lang w:val="id-ID"/>
        </w:rPr>
        <w:t xml:space="preserve"> </w:t>
      </w:r>
      <w:proofErr w:type="spellStart"/>
      <w:r>
        <w:rPr>
          <w:rFonts w:eastAsiaTheme="minorEastAsia"/>
          <w:lang w:val="en-US"/>
        </w:rPr>
        <w:t>Nosiseptor</w:t>
      </w:r>
      <w:proofErr w:type="spellEnd"/>
      <w:r>
        <w:rPr>
          <w:rFonts w:eastAsiaTheme="minorEastAsia"/>
          <w:lang w:val="en-US"/>
        </w:rPr>
        <w:t xml:space="preserve"> </w:t>
      </w:r>
      <w:proofErr w:type="spellStart"/>
      <w:r>
        <w:rPr>
          <w:rFonts w:eastAsiaTheme="minorEastAsia"/>
          <w:lang w:val="en-US"/>
        </w:rPr>
        <w:t>adalah</w:t>
      </w:r>
      <w:proofErr w:type="spellEnd"/>
      <w:r>
        <w:rPr>
          <w:rFonts w:eastAsiaTheme="minorEastAsia"/>
          <w:lang w:val="en-US"/>
        </w:rPr>
        <w:t xml:space="preserve"> </w:t>
      </w:r>
      <w:proofErr w:type="spellStart"/>
      <w:r>
        <w:rPr>
          <w:rFonts w:eastAsiaTheme="minorEastAsia"/>
          <w:lang w:val="en-US"/>
        </w:rPr>
        <w:t>ujung</w:t>
      </w:r>
      <w:proofErr w:type="spellEnd"/>
      <w:r>
        <w:rPr>
          <w:rFonts w:eastAsiaTheme="minorEastAsia"/>
          <w:lang w:val="en-US"/>
        </w:rPr>
        <w:t xml:space="preserve"> </w:t>
      </w:r>
      <w:proofErr w:type="spellStart"/>
      <w:r>
        <w:rPr>
          <w:rFonts w:eastAsiaTheme="minorEastAsia"/>
          <w:lang w:val="en-US"/>
        </w:rPr>
        <w:t>saraf</w:t>
      </w:r>
      <w:proofErr w:type="spellEnd"/>
      <w:r>
        <w:rPr>
          <w:rFonts w:eastAsiaTheme="minorEastAsia"/>
          <w:lang w:val="en-US"/>
        </w:rPr>
        <w:t xml:space="preserve"> </w:t>
      </w:r>
      <w:proofErr w:type="spellStart"/>
      <w:r>
        <w:rPr>
          <w:rFonts w:eastAsiaTheme="minorEastAsia"/>
          <w:lang w:val="en-US"/>
        </w:rPr>
        <w:t>sensorik</w:t>
      </w:r>
      <w:proofErr w:type="spellEnd"/>
      <w:r>
        <w:rPr>
          <w:rFonts w:eastAsiaTheme="minorEastAsia"/>
          <w:lang w:val="en-US"/>
        </w:rPr>
        <w:t xml:space="preserve"> (</w:t>
      </w:r>
      <w:proofErr w:type="spellStart"/>
      <w:r>
        <w:rPr>
          <w:rFonts w:eastAsiaTheme="minorEastAsia"/>
          <w:lang w:val="en-US"/>
        </w:rPr>
        <w:t>reseptor</w:t>
      </w:r>
      <w:proofErr w:type="spellEnd"/>
      <w:r>
        <w:rPr>
          <w:rFonts w:eastAsiaTheme="minorEastAsia"/>
          <w:lang w:val="en-US"/>
        </w:rPr>
        <w:t xml:space="preserve">) yang </w:t>
      </w:r>
      <w:proofErr w:type="spellStart"/>
      <w:r>
        <w:rPr>
          <w:rFonts w:eastAsiaTheme="minorEastAsia"/>
          <w:lang w:val="en-US"/>
        </w:rPr>
        <w:t>merespons</w:t>
      </w:r>
      <w:proofErr w:type="spellEnd"/>
      <w:r>
        <w:rPr>
          <w:rFonts w:eastAsiaTheme="minorEastAsia"/>
          <w:lang w:val="en-US"/>
        </w:rPr>
        <w:t xml:space="preserve"> </w:t>
      </w:r>
      <w:proofErr w:type="spellStart"/>
      <w:r>
        <w:rPr>
          <w:rFonts w:eastAsiaTheme="minorEastAsia"/>
          <w:lang w:val="en-US"/>
        </w:rPr>
        <w:t>rangsangan</w:t>
      </w:r>
      <w:proofErr w:type="spellEnd"/>
      <w:r>
        <w:rPr>
          <w:rFonts w:eastAsiaTheme="minorEastAsia"/>
          <w:lang w:val="en-US"/>
        </w:rPr>
        <w:t xml:space="preserve"> </w:t>
      </w:r>
      <w:proofErr w:type="spellStart"/>
      <w:r>
        <w:rPr>
          <w:rFonts w:eastAsiaTheme="minorEastAsia"/>
          <w:lang w:val="en-US"/>
        </w:rPr>
        <w:t>berbahaya</w:t>
      </w:r>
      <w:proofErr w:type="spellEnd"/>
      <w:r>
        <w:rPr>
          <w:rFonts w:eastAsiaTheme="minorEastAsia"/>
          <w:lang w:val="en-US"/>
        </w:rPr>
        <w:t xml:space="preserve"> (</w:t>
      </w:r>
      <w:proofErr w:type="spellStart"/>
      <w:r>
        <w:rPr>
          <w:rFonts w:eastAsiaTheme="minorEastAsia"/>
          <w:lang w:val="en-US"/>
        </w:rPr>
        <w:t>menyakitkan</w:t>
      </w:r>
      <w:proofErr w:type="spellEnd"/>
      <w:r>
        <w:rPr>
          <w:rFonts w:eastAsiaTheme="minorEastAsia"/>
          <w:lang w:val="en-US"/>
        </w:rPr>
        <w:t xml:space="preserve">). </w:t>
      </w:r>
      <w:r>
        <w:rPr>
          <w:rFonts w:eastAsiaTheme="minorEastAsia"/>
          <w:lang w:val="id-ID"/>
        </w:rPr>
        <w:t>Nosiseptif</w:t>
      </w:r>
      <w:r>
        <w:rPr>
          <w:rFonts w:eastAsiaTheme="minorEastAsia"/>
          <w:lang w:val="en-US"/>
        </w:rPr>
        <w:t xml:space="preserve"> </w:t>
      </w:r>
      <w:proofErr w:type="spellStart"/>
      <w:r>
        <w:rPr>
          <w:rFonts w:eastAsiaTheme="minorEastAsia"/>
          <w:lang w:val="en-US"/>
        </w:rPr>
        <w:t>mendeteksi</w:t>
      </w:r>
      <w:proofErr w:type="spellEnd"/>
      <w:r>
        <w:rPr>
          <w:rFonts w:eastAsiaTheme="minorEastAsia"/>
          <w:lang w:val="en-US"/>
        </w:rPr>
        <w:t xml:space="preserve"> </w:t>
      </w:r>
      <w:proofErr w:type="spellStart"/>
      <w:r>
        <w:rPr>
          <w:rFonts w:eastAsiaTheme="minorEastAsia"/>
          <w:lang w:val="en-US"/>
        </w:rPr>
        <w:t>kerusakan</w:t>
      </w:r>
      <w:proofErr w:type="spellEnd"/>
      <w:r>
        <w:rPr>
          <w:rFonts w:eastAsiaTheme="minorEastAsia"/>
          <w:lang w:val="en-US"/>
        </w:rPr>
        <w:t xml:space="preserve"> </w:t>
      </w:r>
      <w:proofErr w:type="spellStart"/>
      <w:r>
        <w:rPr>
          <w:rFonts w:eastAsiaTheme="minorEastAsia"/>
          <w:lang w:val="en-US"/>
        </w:rPr>
        <w:t>fisik</w:t>
      </w:r>
      <w:proofErr w:type="spellEnd"/>
      <w:r>
        <w:rPr>
          <w:rFonts w:eastAsiaTheme="minorEastAsia"/>
          <w:lang w:val="en-US"/>
        </w:rPr>
        <w:t xml:space="preserve"> dan </w:t>
      </w:r>
      <w:proofErr w:type="spellStart"/>
      <w:r>
        <w:rPr>
          <w:rFonts w:eastAsiaTheme="minorEastAsia"/>
          <w:lang w:val="en-US"/>
        </w:rPr>
        <w:t>kimia</w:t>
      </w:r>
      <w:proofErr w:type="spellEnd"/>
      <w:r>
        <w:rPr>
          <w:rFonts w:eastAsiaTheme="minorEastAsia"/>
          <w:lang w:val="en-US"/>
        </w:rPr>
        <w:t xml:space="preserve"> pada </w:t>
      </w:r>
      <w:proofErr w:type="spellStart"/>
      <w:r>
        <w:rPr>
          <w:rFonts w:eastAsiaTheme="minorEastAsia"/>
          <w:lang w:val="en-US"/>
        </w:rPr>
        <w:t>jaringan</w:t>
      </w:r>
      <w:proofErr w:type="spellEnd"/>
      <w:r>
        <w:rPr>
          <w:rFonts w:eastAsiaTheme="minorEastAsia"/>
          <w:lang w:val="en-US"/>
        </w:rPr>
        <w:t xml:space="preserve">. </w:t>
      </w:r>
      <w:proofErr w:type="spellStart"/>
      <w:r>
        <w:rPr>
          <w:rFonts w:eastAsiaTheme="minorEastAsia"/>
          <w:lang w:val="en-US"/>
        </w:rPr>
        <w:t>Kemungkinan</w:t>
      </w:r>
      <w:proofErr w:type="spellEnd"/>
      <w:r>
        <w:rPr>
          <w:rFonts w:eastAsiaTheme="minorEastAsia"/>
          <w:lang w:val="en-US"/>
        </w:rPr>
        <w:t xml:space="preserve"> </w:t>
      </w:r>
      <w:proofErr w:type="spellStart"/>
      <w:r>
        <w:rPr>
          <w:rFonts w:eastAsiaTheme="minorEastAsia"/>
          <w:lang w:val="en-US"/>
        </w:rPr>
        <w:t>penyebab</w:t>
      </w:r>
      <w:proofErr w:type="spellEnd"/>
      <w:r>
        <w:rPr>
          <w:rFonts w:eastAsiaTheme="minorEastAsia"/>
          <w:lang w:val="en-US"/>
        </w:rPr>
        <w:t xml:space="preserve"> </w:t>
      </w:r>
      <w:proofErr w:type="spellStart"/>
      <w:r>
        <w:rPr>
          <w:rFonts w:eastAsiaTheme="minorEastAsia"/>
          <w:lang w:val="en-US"/>
        </w:rPr>
        <w:t>nyeri</w:t>
      </w:r>
      <w:proofErr w:type="spellEnd"/>
      <w:r>
        <w:rPr>
          <w:rFonts w:eastAsiaTheme="minorEastAsia"/>
          <w:lang w:val="en-US"/>
        </w:rPr>
        <w:t xml:space="preserve"> </w:t>
      </w:r>
      <w:proofErr w:type="spellStart"/>
      <w:r>
        <w:rPr>
          <w:rFonts w:eastAsiaTheme="minorEastAsia"/>
          <w:lang w:val="en-US"/>
        </w:rPr>
        <w:t>nosiseptif</w:t>
      </w:r>
      <w:proofErr w:type="spellEnd"/>
      <w:r>
        <w:rPr>
          <w:rFonts w:eastAsiaTheme="minorEastAsia"/>
          <w:lang w:val="en-US"/>
        </w:rPr>
        <w:t xml:space="preserve"> </w:t>
      </w:r>
      <w:proofErr w:type="spellStart"/>
      <w:r>
        <w:rPr>
          <w:rFonts w:eastAsiaTheme="minorEastAsia"/>
          <w:lang w:val="en-US"/>
        </w:rPr>
        <w:t>termasuk</w:t>
      </w:r>
      <w:proofErr w:type="spellEnd"/>
      <w:r>
        <w:rPr>
          <w:rFonts w:eastAsiaTheme="minorEastAsia"/>
          <w:lang w:val="en-US"/>
        </w:rPr>
        <w:t xml:space="preserve"> </w:t>
      </w:r>
      <w:proofErr w:type="spellStart"/>
      <w:r>
        <w:rPr>
          <w:rFonts w:eastAsiaTheme="minorEastAsia"/>
          <w:lang w:val="en-US"/>
        </w:rPr>
        <w:t>penyakit</w:t>
      </w:r>
      <w:proofErr w:type="spellEnd"/>
      <w:r>
        <w:rPr>
          <w:rFonts w:eastAsiaTheme="minorEastAsia"/>
          <w:lang w:val="en-US"/>
        </w:rPr>
        <w:t xml:space="preserve">, trauma, </w:t>
      </w:r>
      <w:proofErr w:type="spellStart"/>
      <w:r>
        <w:rPr>
          <w:rFonts w:eastAsiaTheme="minorEastAsia"/>
          <w:lang w:val="en-US"/>
        </w:rPr>
        <w:t>intervensi</w:t>
      </w:r>
      <w:proofErr w:type="spellEnd"/>
      <w:r>
        <w:rPr>
          <w:rFonts w:eastAsiaTheme="minorEastAsia"/>
          <w:lang w:val="en-US"/>
        </w:rPr>
        <w:t xml:space="preserve"> </w:t>
      </w:r>
      <w:proofErr w:type="spellStart"/>
      <w:r>
        <w:rPr>
          <w:rFonts w:eastAsiaTheme="minorEastAsia"/>
          <w:lang w:val="en-US"/>
        </w:rPr>
        <w:t>bedah</w:t>
      </w:r>
      <w:proofErr w:type="spellEnd"/>
      <w:r>
        <w:rPr>
          <w:rFonts w:eastAsiaTheme="minorEastAsia"/>
          <w:lang w:val="en-US"/>
        </w:rPr>
        <w:t xml:space="preserve">, </w:t>
      </w:r>
      <w:r>
        <w:rPr>
          <w:rFonts w:eastAsiaTheme="minorEastAsia"/>
          <w:lang w:val="id-ID"/>
        </w:rPr>
        <w:t xml:space="preserve">dan </w:t>
      </w:r>
      <w:r>
        <w:rPr>
          <w:rFonts w:eastAsiaTheme="minorEastAsia"/>
          <w:lang w:val="en-US"/>
        </w:rPr>
        <w:t>prosedural.</w:t>
      </w:r>
      <w:r>
        <w:rPr>
          <w:rFonts w:eastAsiaTheme="minorEastAsia"/>
          <w:lang w:val="en-US"/>
        </w:rPr>
        <w:fldChar w:fldCharType="begin" w:fldLock="1"/>
      </w:r>
      <w:r>
        <w:rPr>
          <w:rFonts w:eastAsiaTheme="minorEastAsia"/>
          <w:lang w:val="en-US"/>
        </w:rPr>
        <w:instrText>ADDIN CSL_CITATION {"citationItems":[{"id":"ITEM-1","itemData":{"DOI":"10.1177/1744629517708680","ISSN":"17446309","PMID":"28502222","abstract":"The issue of pain warrants attention as, by virtue of having an intellectual disability, a person may have associated medical or physical conditions and associated factors increasing their risk of pain disorders. People with intellectual disability experiencing pain need to be provided with the best possible care. The focus of this article is on the exploration of pain: physiology and types; manifestations and responses in the context of intellectual disability in order to promote effective, knowledgeable assessment and management of pain for this client group. Pain is a subjective, complex, physiological and psychological phenomenon that can be acute or chronic and may be classified according to its cause. Within the experience of pain, the concept of total pain describes the physical, psychological, social and spiritual factors that influence the experience of pain.","author":[{"dropping-particle":"","family":"Doody","given":"Owen","non-dropping-particle":"","parse-names":false,"suffix":""},{"dropping-particle":"","family":"Bailey","given":"Maria E.","non-dropping-particle":"","parse-names":false,"suffix":""}],"container-title":"Journal of Intellectual Disabilities","id":"ITEM-1","issue":"1","issued":{"date-parts":[["2019"]]},"page":"5-18","title":"Understanding pain physiology and its application to person with intellectual disability","type":"article-journal","volume":"23"},"uris":["http://www.mendeley.com/documents/?uuid=2f13d603-c83b-4d72-9755-c7d205d10486"]}],"mendeley":{"formattedCitation":"&lt;sup&gt;36&lt;/sup&gt;","plainTextFormattedCitation":"36","previouslyFormattedCitation":"&lt;sup&gt;36&lt;/sup&gt;"},"properties":{"noteIndex":0},"schema":"https://github.com/citation-style-language/schema/raw/master/csl-citation.json"}</w:instrText>
      </w:r>
      <w:r>
        <w:rPr>
          <w:rFonts w:eastAsiaTheme="minorEastAsia"/>
          <w:lang w:val="en-US"/>
        </w:rPr>
        <w:fldChar w:fldCharType="separate"/>
      </w:r>
      <w:r>
        <w:rPr>
          <w:rFonts w:eastAsiaTheme="minorEastAsia"/>
          <w:noProof/>
          <w:vertAlign w:val="superscript"/>
          <w:lang w:val="en-US"/>
        </w:rPr>
        <w:t>36</w:t>
      </w:r>
      <w:r>
        <w:rPr>
          <w:rFonts w:eastAsiaTheme="minorEastAsia"/>
          <w:lang w:val="en-US"/>
        </w:rPr>
        <w:fldChar w:fldCharType="end"/>
      </w:r>
    </w:p>
    <w:p w14:paraId="5088DC5F" w14:textId="77777777" w:rsidR="003B79BC" w:rsidRDefault="00000000">
      <w:pPr>
        <w:spacing w:line="360" w:lineRule="auto"/>
        <w:ind w:firstLine="709"/>
        <w:jc w:val="both"/>
        <w:rPr>
          <w:rFonts w:eastAsiaTheme="minorEastAsia"/>
          <w:lang w:val="en-US"/>
        </w:rPr>
      </w:pPr>
      <w:r w:rsidRPr="00374F09">
        <w:rPr>
          <w:rFonts w:eastAsiaTheme="minorEastAsia"/>
          <w:lang w:val="id-ID"/>
        </w:rPr>
        <w:t xml:space="preserve">Sistem nosiseptif tubuh terdiri dari nosiseptor, jalur nosiseptif </w:t>
      </w:r>
      <w:r>
        <w:rPr>
          <w:rFonts w:eastAsiaTheme="minorEastAsia"/>
          <w:i/>
          <w:iCs/>
          <w:lang w:val="id-ID"/>
        </w:rPr>
        <w:t>ascending</w:t>
      </w:r>
      <w:r w:rsidRPr="00374F09">
        <w:rPr>
          <w:rFonts w:eastAsiaTheme="minorEastAsia"/>
          <w:lang w:val="id-ID"/>
        </w:rPr>
        <w:t xml:space="preserve">, dan jalur nosiseptif </w:t>
      </w:r>
      <w:r>
        <w:rPr>
          <w:rFonts w:eastAsiaTheme="minorEastAsia"/>
          <w:i/>
          <w:iCs/>
          <w:lang w:val="id-ID"/>
        </w:rPr>
        <w:t>descending</w:t>
      </w:r>
      <w:r w:rsidRPr="00374F09">
        <w:rPr>
          <w:rFonts w:eastAsiaTheme="minorEastAsia"/>
          <w:lang w:val="id-ID"/>
        </w:rPr>
        <w:t xml:space="preserve"> (Gambar </w:t>
      </w:r>
      <w:r>
        <w:rPr>
          <w:rFonts w:eastAsiaTheme="minorEastAsia"/>
          <w:lang w:val="id-ID"/>
        </w:rPr>
        <w:t>2</w:t>
      </w:r>
      <w:r w:rsidRPr="00374F09">
        <w:rPr>
          <w:rFonts w:eastAsiaTheme="minorEastAsia"/>
          <w:lang w:val="id-ID"/>
        </w:rPr>
        <w:t xml:space="preserve">). Nosiseptor tidak terspesialisasi, ujung sel saraf telanjang terletak di jaringan perifer dan di visera yang memulai nosisepsi atau nyeri (Gambar </w:t>
      </w:r>
      <w:r>
        <w:rPr>
          <w:rFonts w:eastAsiaTheme="minorEastAsia"/>
          <w:lang w:val="id-ID"/>
        </w:rPr>
        <w:t>2</w:t>
      </w:r>
      <w:r w:rsidRPr="00374F09">
        <w:rPr>
          <w:rFonts w:eastAsiaTheme="minorEastAsia"/>
          <w:lang w:val="id-ID"/>
        </w:rPr>
        <w:t xml:space="preserve">A). Badan sel muncul di tanduk dorsal sumsum tulang belakang dan mengirimkan satu prosesus aksonal ke perifer dan yang lainnya ke sumsum tulang belakang atau batang otak. Jalur </w:t>
      </w:r>
      <w:r>
        <w:rPr>
          <w:rFonts w:eastAsiaTheme="minorEastAsia"/>
          <w:i/>
          <w:iCs/>
          <w:lang w:val="id-ID"/>
        </w:rPr>
        <w:t>ascending</w:t>
      </w:r>
      <w:r w:rsidRPr="00374F09">
        <w:rPr>
          <w:rFonts w:eastAsiaTheme="minorEastAsia"/>
          <w:lang w:val="id-ID"/>
        </w:rPr>
        <w:t xml:space="preserve"> mengirimkan rangsangan nosiseptif dari perifer ke sumsum tulang belakang ke batang otak (medula dan otak tengah), amigdala, thalamus, dan ke korteks sensorik primer dan sekunder. Jalur </w:t>
      </w:r>
      <w:r>
        <w:rPr>
          <w:rFonts w:eastAsiaTheme="minorEastAsia"/>
          <w:lang w:val="id-ID"/>
        </w:rPr>
        <w:t>nosiseptif</w:t>
      </w:r>
      <w:r w:rsidRPr="00374F09">
        <w:rPr>
          <w:rFonts w:eastAsiaTheme="minorEastAsia"/>
          <w:lang w:val="id-ID"/>
        </w:rPr>
        <w:t xml:space="preserve"> </w:t>
      </w:r>
      <w:r w:rsidRPr="00374F09">
        <w:rPr>
          <w:rFonts w:eastAsiaTheme="minorEastAsia"/>
          <w:i/>
          <w:iCs/>
          <w:lang w:val="id-ID"/>
        </w:rPr>
        <w:t>descending</w:t>
      </w:r>
      <w:r w:rsidRPr="00374F09">
        <w:rPr>
          <w:rFonts w:eastAsiaTheme="minorEastAsia"/>
          <w:lang w:val="id-ID"/>
        </w:rPr>
        <w:t xml:space="preserve"> dimulai di korteks sensorik dan diproyeksikan ke hipotalamus dan amigdala. Proyeksi dari sinaps hipotalamus dan amigdala di periaqueductal abu-abu di otak tengah, dan nukleus traktus solitarius dan medula ventral rostral di medula. </w:t>
      </w:r>
      <w:r w:rsidRPr="00F426C1">
        <w:rPr>
          <w:rFonts w:eastAsiaTheme="minorEastAsia"/>
          <w:lang w:val="pt-BR"/>
        </w:rPr>
        <w:t xml:space="preserve">Proyek abu-abu periaqueductal ke sumsum tulang belakang terutama melalui medula rostra ventral. </w:t>
      </w:r>
      <w:r>
        <w:rPr>
          <w:rFonts w:eastAsiaTheme="minorEastAsia"/>
          <w:lang w:val="en-US"/>
        </w:rPr>
        <w:t xml:space="preserve">Jalur descending </w:t>
      </w:r>
      <w:proofErr w:type="spellStart"/>
      <w:r>
        <w:rPr>
          <w:rFonts w:eastAsiaTheme="minorEastAsia"/>
          <w:lang w:val="en-US"/>
        </w:rPr>
        <w:t>diaktifkan</w:t>
      </w:r>
      <w:proofErr w:type="spellEnd"/>
      <w:r>
        <w:rPr>
          <w:rFonts w:eastAsiaTheme="minorEastAsia"/>
          <w:lang w:val="en-US"/>
        </w:rPr>
        <w:t xml:space="preserve"> </w:t>
      </w:r>
      <w:proofErr w:type="spellStart"/>
      <w:r>
        <w:rPr>
          <w:rFonts w:eastAsiaTheme="minorEastAsia"/>
          <w:lang w:val="en-US"/>
        </w:rPr>
        <w:t>segera</w:t>
      </w:r>
      <w:proofErr w:type="spellEnd"/>
      <w:r>
        <w:rPr>
          <w:rFonts w:eastAsiaTheme="minorEastAsia"/>
          <w:lang w:val="en-US"/>
        </w:rPr>
        <w:t xml:space="preserve"> oleh </w:t>
      </w:r>
      <w:proofErr w:type="spellStart"/>
      <w:r>
        <w:rPr>
          <w:rFonts w:eastAsiaTheme="minorEastAsia"/>
          <w:lang w:val="en-US"/>
        </w:rPr>
        <w:t>jalur</w:t>
      </w:r>
      <w:proofErr w:type="spellEnd"/>
      <w:r>
        <w:rPr>
          <w:rFonts w:eastAsiaTheme="minorEastAsia"/>
          <w:lang w:val="en-US"/>
        </w:rPr>
        <w:t xml:space="preserve"> </w:t>
      </w:r>
      <w:r>
        <w:rPr>
          <w:rFonts w:eastAsiaTheme="minorEastAsia"/>
          <w:i/>
          <w:iCs/>
          <w:lang w:val="en-US"/>
        </w:rPr>
        <w:t>ascending</w:t>
      </w:r>
      <w:r>
        <w:rPr>
          <w:rFonts w:eastAsiaTheme="minorEastAsia"/>
          <w:lang w:val="en-US"/>
        </w:rPr>
        <w:t xml:space="preserve"> dan </w:t>
      </w:r>
      <w:proofErr w:type="spellStart"/>
      <w:r>
        <w:rPr>
          <w:rFonts w:eastAsiaTheme="minorEastAsia"/>
          <w:lang w:val="en-US"/>
        </w:rPr>
        <w:t>memodulasi</w:t>
      </w:r>
      <w:proofErr w:type="spellEnd"/>
      <w:r>
        <w:rPr>
          <w:rFonts w:eastAsiaTheme="minorEastAsia"/>
          <w:lang w:val="en-US"/>
        </w:rPr>
        <w:t xml:space="preserve"> (</w:t>
      </w:r>
      <w:r>
        <w:rPr>
          <w:rFonts w:eastAsiaTheme="minorEastAsia"/>
          <w:i/>
          <w:iCs/>
          <w:lang w:val="en-US"/>
        </w:rPr>
        <w:t>upregulate</w:t>
      </w:r>
      <w:r>
        <w:rPr>
          <w:rFonts w:eastAsiaTheme="minorEastAsia"/>
          <w:lang w:val="en-US"/>
        </w:rPr>
        <w:t xml:space="preserve"> dan </w:t>
      </w:r>
      <w:r>
        <w:rPr>
          <w:rFonts w:eastAsiaTheme="minorEastAsia"/>
          <w:i/>
          <w:iCs/>
          <w:lang w:val="en-US"/>
        </w:rPr>
        <w:t>downregulate</w:t>
      </w:r>
      <w:r>
        <w:rPr>
          <w:rFonts w:eastAsiaTheme="minorEastAsia"/>
          <w:lang w:val="en-US"/>
        </w:rPr>
        <w:t xml:space="preserve">) </w:t>
      </w:r>
      <w:proofErr w:type="spellStart"/>
      <w:r>
        <w:rPr>
          <w:rFonts w:eastAsiaTheme="minorEastAsia"/>
          <w:lang w:val="en-US"/>
        </w:rPr>
        <w:t>transmisi</w:t>
      </w:r>
      <w:proofErr w:type="spellEnd"/>
      <w:r>
        <w:rPr>
          <w:rFonts w:eastAsiaTheme="minorEastAsia"/>
          <w:lang w:val="en-US"/>
        </w:rPr>
        <w:t xml:space="preserve"> </w:t>
      </w:r>
      <w:proofErr w:type="spellStart"/>
      <w:r>
        <w:rPr>
          <w:rFonts w:eastAsiaTheme="minorEastAsia"/>
          <w:lang w:val="en-US"/>
        </w:rPr>
        <w:t>informasi</w:t>
      </w:r>
      <w:proofErr w:type="spellEnd"/>
      <w:r>
        <w:rPr>
          <w:rFonts w:eastAsiaTheme="minorEastAsia"/>
          <w:lang w:val="en-US"/>
        </w:rPr>
        <w:t xml:space="preserve"> </w:t>
      </w:r>
      <w:r>
        <w:rPr>
          <w:rFonts w:eastAsiaTheme="minorEastAsia"/>
          <w:lang w:val="id-ID"/>
        </w:rPr>
        <w:t>nosiseptif</w:t>
      </w:r>
      <w:r>
        <w:rPr>
          <w:rFonts w:eastAsiaTheme="minorEastAsia"/>
          <w:lang w:val="en-US"/>
        </w:rPr>
        <w:t xml:space="preserve"> (Gambar </w:t>
      </w:r>
      <w:r>
        <w:rPr>
          <w:rFonts w:eastAsiaTheme="minorEastAsia"/>
          <w:lang w:val="id-ID"/>
        </w:rPr>
        <w:t>2</w:t>
      </w:r>
      <w:r>
        <w:rPr>
          <w:rFonts w:eastAsiaTheme="minorEastAsia"/>
          <w:lang w:val="en-US"/>
        </w:rPr>
        <w:t xml:space="preserve">B). </w:t>
      </w:r>
    </w:p>
    <w:p w14:paraId="2D7B196E" w14:textId="77777777" w:rsidR="003B79BC" w:rsidRDefault="00000000">
      <w:pPr>
        <w:spacing w:line="360" w:lineRule="auto"/>
        <w:jc w:val="center"/>
        <w:rPr>
          <w:rFonts w:eastAsiaTheme="minorEastAsia"/>
          <w:lang w:val="en-US"/>
        </w:rPr>
      </w:pPr>
      <w:r>
        <w:rPr>
          <w:noProof/>
        </w:rPr>
        <w:lastRenderedPageBreak/>
        <w:drawing>
          <wp:inline distT="0" distB="0" distL="0" distR="0" wp14:anchorId="7C657E90" wp14:editId="5CB5593D">
            <wp:extent cx="4613275" cy="2457450"/>
            <wp:effectExtent l="0" t="0" r="0" b="0"/>
            <wp:docPr id="1453352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352426" name="Picture 1"/>
                    <pic:cNvPicPr>
                      <a:picLocks noChangeAspect="1"/>
                    </pic:cNvPicPr>
                  </pic:nvPicPr>
                  <pic:blipFill>
                    <a:blip r:embed="rId15"/>
                    <a:srcRect l="31180" t="17813" r="13832" b="30092"/>
                    <a:stretch>
                      <a:fillRect/>
                    </a:stretch>
                  </pic:blipFill>
                  <pic:spPr>
                    <a:xfrm>
                      <a:off x="0" y="0"/>
                      <a:ext cx="4618999" cy="2460292"/>
                    </a:xfrm>
                    <a:prstGeom prst="rect">
                      <a:avLst/>
                    </a:prstGeom>
                    <a:ln>
                      <a:noFill/>
                    </a:ln>
                  </pic:spPr>
                </pic:pic>
              </a:graphicData>
            </a:graphic>
          </wp:inline>
        </w:drawing>
      </w:r>
    </w:p>
    <w:p w14:paraId="668B6088" w14:textId="1B3975CE" w:rsidR="003B79BC" w:rsidRDefault="00000000">
      <w:pPr>
        <w:pStyle w:val="Caption"/>
        <w:spacing w:after="0"/>
        <w:rPr>
          <w:rFonts w:eastAsiaTheme="minorEastAsia"/>
          <w:i w:val="0"/>
          <w:iCs w:val="0"/>
          <w:color w:val="000000" w:themeColor="text1"/>
          <w:sz w:val="24"/>
          <w:szCs w:val="24"/>
          <w:lang w:val="en-US"/>
        </w:rPr>
      </w:pPr>
      <w:r>
        <w:rPr>
          <w:i w:val="0"/>
          <w:iCs w:val="0"/>
          <w:color w:val="000000" w:themeColor="text1"/>
          <w:sz w:val="24"/>
          <w:szCs w:val="24"/>
        </w:rPr>
        <w:t xml:space="preserve">Gambar </w:t>
      </w:r>
      <w:r>
        <w:rPr>
          <w:i w:val="0"/>
          <w:iCs w:val="0"/>
          <w:color w:val="000000" w:themeColor="text1"/>
          <w:sz w:val="24"/>
          <w:szCs w:val="24"/>
        </w:rPr>
        <w:fldChar w:fldCharType="begin"/>
      </w:r>
      <w:r>
        <w:rPr>
          <w:i w:val="0"/>
          <w:iCs w:val="0"/>
          <w:color w:val="000000" w:themeColor="text1"/>
          <w:sz w:val="24"/>
          <w:szCs w:val="24"/>
        </w:rPr>
        <w:instrText xml:space="preserve"> SEQ Gambar \* ARABIC </w:instrText>
      </w:r>
      <w:r>
        <w:rPr>
          <w:i w:val="0"/>
          <w:iCs w:val="0"/>
          <w:color w:val="000000" w:themeColor="text1"/>
          <w:sz w:val="24"/>
          <w:szCs w:val="24"/>
        </w:rPr>
        <w:fldChar w:fldCharType="separate"/>
      </w:r>
      <w:r w:rsidR="00D671E3">
        <w:rPr>
          <w:i w:val="0"/>
          <w:iCs w:val="0"/>
          <w:noProof/>
          <w:color w:val="000000" w:themeColor="text1"/>
          <w:sz w:val="24"/>
          <w:szCs w:val="24"/>
        </w:rPr>
        <w:t>2</w:t>
      </w:r>
      <w:r>
        <w:rPr>
          <w:i w:val="0"/>
          <w:iCs w:val="0"/>
          <w:color w:val="000000" w:themeColor="text1"/>
          <w:sz w:val="24"/>
          <w:szCs w:val="24"/>
        </w:rPr>
        <w:fldChar w:fldCharType="end"/>
      </w:r>
      <w:r>
        <w:rPr>
          <w:i w:val="0"/>
          <w:iCs w:val="0"/>
          <w:color w:val="000000" w:themeColor="text1"/>
          <w:sz w:val="24"/>
          <w:szCs w:val="24"/>
          <w:lang w:val="id-ID"/>
        </w:rPr>
        <w:t>. Jalur nosisepsi ascending dan descending</w:t>
      </w:r>
    </w:p>
    <w:p w14:paraId="0C033DDE" w14:textId="77777777" w:rsidR="003B79BC" w:rsidRDefault="00000000">
      <w:pPr>
        <w:tabs>
          <w:tab w:val="left" w:pos="1134"/>
        </w:tabs>
        <w:ind w:left="1134" w:hanging="1134"/>
        <w:rPr>
          <w:rFonts w:ascii="ITCFranklinGothicStd-Book" w:eastAsiaTheme="minorEastAsia" w:hAnsi="ITCFranklinGothicStd-Book" w:cs="ITCFranklinGothicStd-Book"/>
          <w:sz w:val="20"/>
          <w:szCs w:val="20"/>
          <w:lang w:val="id-ID" w:eastAsia="zh-CN"/>
        </w:rPr>
      </w:pPr>
      <w:r>
        <w:rPr>
          <w:rFonts w:eastAsiaTheme="minorEastAsia"/>
          <w:sz w:val="20"/>
          <w:szCs w:val="20"/>
          <w:lang w:val="id-ID"/>
        </w:rPr>
        <w:t>Dikutip dari:</w:t>
      </w:r>
      <w:r>
        <w:rPr>
          <w:rFonts w:eastAsiaTheme="minorEastAsia"/>
          <w:sz w:val="20"/>
          <w:szCs w:val="20"/>
          <w:lang w:val="id-ID"/>
        </w:rPr>
        <w:tab/>
      </w:r>
      <w:r>
        <w:rPr>
          <w:sz w:val="20"/>
          <w:szCs w:val="20"/>
        </w:rPr>
        <w:t xml:space="preserve">Brown EN, Pavone KJ, Naranjo M. Multimodal general anesthesia: Theory and practice. </w:t>
      </w:r>
      <w:r>
        <w:rPr>
          <w:sz w:val="20"/>
          <w:szCs w:val="20"/>
          <w:lang w:eastAsia="zh-CN"/>
        </w:rPr>
        <w:t>Anesth Analg. 2018;127(5):1246–58.</w:t>
      </w:r>
    </w:p>
    <w:p w14:paraId="736915CF" w14:textId="77777777" w:rsidR="003B79BC" w:rsidRDefault="003B79BC">
      <w:pPr>
        <w:spacing w:line="360" w:lineRule="auto"/>
        <w:ind w:firstLine="709"/>
        <w:jc w:val="both"/>
        <w:rPr>
          <w:rFonts w:eastAsiaTheme="minorEastAsia"/>
          <w:lang w:val="id-ID" w:eastAsia="zh-CN"/>
        </w:rPr>
      </w:pPr>
    </w:p>
    <w:p w14:paraId="21768DD4" w14:textId="77777777" w:rsidR="003B79BC" w:rsidRDefault="00000000">
      <w:pPr>
        <w:spacing w:line="360" w:lineRule="auto"/>
        <w:ind w:firstLine="709"/>
        <w:jc w:val="both"/>
        <w:rPr>
          <w:rFonts w:eastAsiaTheme="minorEastAsia"/>
          <w:color w:val="000000" w:themeColor="text1"/>
          <w:lang w:eastAsia="zh-CN"/>
        </w:rPr>
      </w:pPr>
      <w:r>
        <w:rPr>
          <w:rFonts w:eastAsiaTheme="minorEastAsia"/>
          <w:lang w:val="id-ID" w:eastAsia="zh-CN"/>
        </w:rPr>
        <w:t>Pada Gambar 2</w:t>
      </w:r>
      <w:r>
        <w:rPr>
          <w:rFonts w:eastAsiaTheme="minorEastAsia"/>
          <w:lang w:val="en-US" w:eastAsia="zh-CN"/>
        </w:rPr>
        <w:t xml:space="preserve">A, </w:t>
      </w:r>
      <w:r>
        <w:rPr>
          <w:rFonts w:eastAsiaTheme="minorEastAsia"/>
          <w:lang w:val="id-ID" w:eastAsia="zh-CN"/>
        </w:rPr>
        <w:t>s</w:t>
      </w:r>
      <w:proofErr w:type="spellStart"/>
      <w:r>
        <w:rPr>
          <w:rFonts w:eastAsiaTheme="minorEastAsia"/>
          <w:lang w:val="en-US" w:eastAsia="zh-CN"/>
        </w:rPr>
        <w:t>inyal</w:t>
      </w:r>
      <w:proofErr w:type="spellEnd"/>
      <w:r>
        <w:rPr>
          <w:rFonts w:eastAsiaTheme="minorEastAsia"/>
          <w:lang w:val="en-US" w:eastAsia="zh-CN"/>
        </w:rPr>
        <w:t xml:space="preserve"> </w:t>
      </w:r>
      <w:proofErr w:type="spellStart"/>
      <w:r>
        <w:rPr>
          <w:rFonts w:eastAsiaTheme="minorEastAsia"/>
          <w:lang w:val="en-US" w:eastAsia="zh-CN"/>
        </w:rPr>
        <w:t>nosiseptif</w:t>
      </w:r>
      <w:proofErr w:type="spellEnd"/>
      <w:r>
        <w:rPr>
          <w:rFonts w:eastAsiaTheme="minorEastAsia"/>
          <w:lang w:val="en-US" w:eastAsia="zh-CN"/>
        </w:rPr>
        <w:t xml:space="preserve"> </w:t>
      </w:r>
      <w:proofErr w:type="spellStart"/>
      <w:r>
        <w:rPr>
          <w:rFonts w:eastAsiaTheme="minorEastAsia"/>
          <w:lang w:val="en-US" w:eastAsia="zh-CN"/>
        </w:rPr>
        <w:t>memasuki</w:t>
      </w:r>
      <w:proofErr w:type="spellEnd"/>
      <w:r>
        <w:rPr>
          <w:rFonts w:eastAsiaTheme="minorEastAsia"/>
          <w:lang w:val="en-US" w:eastAsia="zh-CN"/>
        </w:rPr>
        <w:t xml:space="preserve"> </w:t>
      </w:r>
      <w:proofErr w:type="spellStart"/>
      <w:r>
        <w:rPr>
          <w:rFonts w:eastAsiaTheme="minorEastAsia"/>
          <w:lang w:val="en-US" w:eastAsia="zh-CN"/>
        </w:rPr>
        <w:t>sumsum</w:t>
      </w:r>
      <w:proofErr w:type="spellEnd"/>
      <w:r>
        <w:rPr>
          <w:rFonts w:eastAsiaTheme="minorEastAsia"/>
          <w:lang w:val="en-US" w:eastAsia="zh-CN"/>
        </w:rPr>
        <w:t xml:space="preserve"> </w:t>
      </w:r>
      <w:proofErr w:type="spellStart"/>
      <w:r>
        <w:rPr>
          <w:rFonts w:eastAsiaTheme="minorEastAsia"/>
          <w:lang w:val="en-US" w:eastAsia="zh-CN"/>
        </w:rPr>
        <w:t>tulang</w:t>
      </w:r>
      <w:proofErr w:type="spellEnd"/>
      <w:r>
        <w:rPr>
          <w:rFonts w:eastAsiaTheme="minorEastAsia"/>
          <w:lang w:val="en-US" w:eastAsia="zh-CN"/>
        </w:rPr>
        <w:t xml:space="preserve"> </w:t>
      </w:r>
      <w:proofErr w:type="spellStart"/>
      <w:r>
        <w:rPr>
          <w:rFonts w:eastAsiaTheme="minorEastAsia"/>
          <w:lang w:val="en-US" w:eastAsia="zh-CN"/>
        </w:rPr>
        <w:t>belakang</w:t>
      </w:r>
      <w:proofErr w:type="spellEnd"/>
      <w:r>
        <w:rPr>
          <w:rFonts w:eastAsiaTheme="minorEastAsia"/>
          <w:lang w:val="en-US" w:eastAsia="zh-CN"/>
        </w:rPr>
        <w:t xml:space="preserve"> </w:t>
      </w:r>
      <w:proofErr w:type="spellStart"/>
      <w:r>
        <w:rPr>
          <w:rFonts w:eastAsiaTheme="minorEastAsia"/>
          <w:lang w:val="en-US" w:eastAsia="zh-CN"/>
        </w:rPr>
        <w:t>melalui</w:t>
      </w:r>
      <w:proofErr w:type="spellEnd"/>
      <w:r>
        <w:rPr>
          <w:rFonts w:eastAsiaTheme="minorEastAsia"/>
          <w:lang w:val="en-US" w:eastAsia="zh-CN"/>
        </w:rPr>
        <w:t xml:space="preserve"> neuron </w:t>
      </w:r>
      <w:proofErr w:type="spellStart"/>
      <w:r>
        <w:rPr>
          <w:rFonts w:eastAsiaTheme="minorEastAsia"/>
          <w:lang w:val="en-US" w:eastAsia="zh-CN"/>
        </w:rPr>
        <w:t>nosiseptif</w:t>
      </w:r>
      <w:proofErr w:type="spellEnd"/>
      <w:r>
        <w:rPr>
          <w:rFonts w:eastAsiaTheme="minorEastAsia"/>
          <w:lang w:val="en-US" w:eastAsia="zh-CN"/>
        </w:rPr>
        <w:t xml:space="preserve"> yang </w:t>
      </w:r>
      <w:proofErr w:type="spellStart"/>
      <w:r>
        <w:rPr>
          <w:rFonts w:eastAsiaTheme="minorEastAsia"/>
          <w:lang w:val="en-US" w:eastAsia="zh-CN"/>
        </w:rPr>
        <w:t>memiliki</w:t>
      </w:r>
      <w:proofErr w:type="spellEnd"/>
      <w:r>
        <w:rPr>
          <w:rFonts w:eastAsiaTheme="minorEastAsia"/>
          <w:lang w:val="en-US" w:eastAsia="zh-CN"/>
        </w:rPr>
        <w:t xml:space="preserve"> </w:t>
      </w:r>
      <w:proofErr w:type="spellStart"/>
      <w:r>
        <w:rPr>
          <w:rFonts w:eastAsiaTheme="minorEastAsia"/>
          <w:lang w:val="en-US" w:eastAsia="zh-CN"/>
        </w:rPr>
        <w:t>reseptor</w:t>
      </w:r>
      <w:proofErr w:type="spellEnd"/>
      <w:r>
        <w:rPr>
          <w:rFonts w:eastAsiaTheme="minorEastAsia"/>
          <w:lang w:val="en-US" w:eastAsia="zh-CN"/>
        </w:rPr>
        <w:t xml:space="preserve"> </w:t>
      </w:r>
      <w:proofErr w:type="spellStart"/>
      <w:r>
        <w:rPr>
          <w:rFonts w:eastAsiaTheme="minorEastAsia"/>
          <w:lang w:val="en-US" w:eastAsia="zh-CN"/>
        </w:rPr>
        <w:t>sensorik</w:t>
      </w:r>
      <w:proofErr w:type="spellEnd"/>
      <w:r>
        <w:rPr>
          <w:rFonts w:eastAsiaTheme="minorEastAsia"/>
          <w:lang w:val="en-US" w:eastAsia="zh-CN"/>
        </w:rPr>
        <w:t xml:space="preserve"> </w:t>
      </w:r>
      <w:proofErr w:type="spellStart"/>
      <w:r>
        <w:rPr>
          <w:rFonts w:eastAsiaTheme="minorEastAsia"/>
          <w:lang w:val="en-US" w:eastAsia="zh-CN"/>
        </w:rPr>
        <w:t>khusus</w:t>
      </w:r>
      <w:proofErr w:type="spellEnd"/>
      <w:r>
        <w:rPr>
          <w:rFonts w:eastAsiaTheme="minorEastAsia"/>
          <w:lang w:val="en-US" w:eastAsia="zh-CN"/>
        </w:rPr>
        <w:t xml:space="preserve"> yang </w:t>
      </w:r>
      <w:proofErr w:type="spellStart"/>
      <w:r>
        <w:rPr>
          <w:rFonts w:eastAsiaTheme="minorEastAsia"/>
          <w:lang w:val="en-US" w:eastAsia="zh-CN"/>
        </w:rPr>
        <w:t>terletak</w:t>
      </w:r>
      <w:proofErr w:type="spellEnd"/>
      <w:r>
        <w:rPr>
          <w:rFonts w:eastAsiaTheme="minorEastAsia"/>
          <w:lang w:val="en-US" w:eastAsia="zh-CN"/>
        </w:rPr>
        <w:t xml:space="preserve"> di </w:t>
      </w:r>
      <w:proofErr w:type="spellStart"/>
      <w:r>
        <w:rPr>
          <w:rFonts w:eastAsiaTheme="minorEastAsia"/>
          <w:lang w:val="en-US" w:eastAsia="zh-CN"/>
        </w:rPr>
        <w:t>jaringan</w:t>
      </w:r>
      <w:proofErr w:type="spellEnd"/>
      <w:r>
        <w:rPr>
          <w:rFonts w:eastAsiaTheme="minorEastAsia"/>
          <w:lang w:val="en-US" w:eastAsia="zh-CN"/>
        </w:rPr>
        <w:t xml:space="preserve"> dan badan </w:t>
      </w:r>
      <w:proofErr w:type="spellStart"/>
      <w:r>
        <w:rPr>
          <w:rFonts w:eastAsiaTheme="minorEastAsia"/>
          <w:lang w:val="en-US" w:eastAsia="zh-CN"/>
        </w:rPr>
        <w:t>sel</w:t>
      </w:r>
      <w:proofErr w:type="spellEnd"/>
      <w:r>
        <w:rPr>
          <w:rFonts w:eastAsiaTheme="minorEastAsia"/>
          <w:lang w:val="en-US" w:eastAsia="zh-CN"/>
        </w:rPr>
        <w:t xml:space="preserve"> yang </w:t>
      </w:r>
      <w:proofErr w:type="spellStart"/>
      <w:r>
        <w:rPr>
          <w:rFonts w:eastAsiaTheme="minorEastAsia"/>
          <w:lang w:val="en-US" w:eastAsia="zh-CN"/>
        </w:rPr>
        <w:t>terletak</w:t>
      </w:r>
      <w:proofErr w:type="spellEnd"/>
      <w:r>
        <w:rPr>
          <w:rFonts w:eastAsiaTheme="minorEastAsia"/>
          <w:lang w:val="en-US" w:eastAsia="zh-CN"/>
        </w:rPr>
        <w:t xml:space="preserve"> di ganglia </w:t>
      </w:r>
      <w:proofErr w:type="spellStart"/>
      <w:r>
        <w:rPr>
          <w:rFonts w:eastAsiaTheme="minorEastAsia"/>
          <w:lang w:val="en-US" w:eastAsia="zh-CN"/>
        </w:rPr>
        <w:t>akar</w:t>
      </w:r>
      <w:proofErr w:type="spellEnd"/>
      <w:r>
        <w:rPr>
          <w:rFonts w:eastAsiaTheme="minorEastAsia"/>
          <w:lang w:val="en-US" w:eastAsia="zh-CN"/>
        </w:rPr>
        <w:t xml:space="preserve"> dorsal. </w:t>
      </w:r>
      <w:r>
        <w:rPr>
          <w:rFonts w:eastAsiaTheme="minorEastAsia"/>
          <w:lang w:val="en-US"/>
        </w:rPr>
        <w:t xml:space="preserve">Neuron-neuron ini </w:t>
      </w:r>
      <w:proofErr w:type="spellStart"/>
      <w:r>
        <w:rPr>
          <w:rFonts w:eastAsiaTheme="minorEastAsia"/>
          <w:lang w:val="en-US"/>
        </w:rPr>
        <w:t>bersinaps</w:t>
      </w:r>
      <w:proofErr w:type="spellEnd"/>
      <w:r>
        <w:rPr>
          <w:rFonts w:eastAsiaTheme="minorEastAsia"/>
          <w:lang w:val="en-US"/>
        </w:rPr>
        <w:t xml:space="preserve"> di </w:t>
      </w:r>
      <w:proofErr w:type="spellStart"/>
      <w:r>
        <w:rPr>
          <w:rFonts w:eastAsiaTheme="minorEastAsia"/>
          <w:lang w:val="en-US"/>
        </w:rPr>
        <w:t>kornu</w:t>
      </w:r>
      <w:proofErr w:type="spellEnd"/>
      <w:r>
        <w:rPr>
          <w:rFonts w:eastAsiaTheme="minorEastAsia"/>
          <w:lang w:val="en-US"/>
        </w:rPr>
        <w:t xml:space="preserve"> dorsalis </w:t>
      </w:r>
      <w:proofErr w:type="spellStart"/>
      <w:r>
        <w:rPr>
          <w:rFonts w:eastAsiaTheme="minorEastAsia"/>
          <w:lang w:val="en-US"/>
        </w:rPr>
        <w:t>medula</w:t>
      </w:r>
      <w:proofErr w:type="spellEnd"/>
      <w:r>
        <w:rPr>
          <w:rFonts w:eastAsiaTheme="minorEastAsia"/>
          <w:lang w:val="en-US"/>
        </w:rPr>
        <w:t xml:space="preserve"> spinalis ke neuron </w:t>
      </w:r>
      <w:proofErr w:type="spellStart"/>
      <w:r>
        <w:rPr>
          <w:rFonts w:eastAsiaTheme="minorEastAsia"/>
          <w:lang w:val="en-US"/>
        </w:rPr>
        <w:t>proyeksi</w:t>
      </w:r>
      <w:proofErr w:type="spellEnd"/>
      <w:r>
        <w:rPr>
          <w:rFonts w:eastAsiaTheme="minorEastAsia"/>
          <w:lang w:val="en-US"/>
        </w:rPr>
        <w:t xml:space="preserve"> primer yang </w:t>
      </w:r>
      <w:proofErr w:type="spellStart"/>
      <w:r>
        <w:rPr>
          <w:rFonts w:eastAsiaTheme="minorEastAsia"/>
          <w:lang w:val="en-US"/>
        </w:rPr>
        <w:t>berjalan</w:t>
      </w:r>
      <w:proofErr w:type="spellEnd"/>
      <w:r>
        <w:rPr>
          <w:rFonts w:eastAsiaTheme="minorEastAsia"/>
          <w:lang w:val="en-US"/>
        </w:rPr>
        <w:t xml:space="preserve"> di </w:t>
      </w:r>
      <w:proofErr w:type="spellStart"/>
      <w:r>
        <w:rPr>
          <w:rFonts w:eastAsiaTheme="minorEastAsia"/>
          <w:lang w:val="en-US"/>
        </w:rPr>
        <w:t>fasikulus</w:t>
      </w:r>
      <w:proofErr w:type="spellEnd"/>
      <w:r>
        <w:rPr>
          <w:rFonts w:eastAsiaTheme="minorEastAsia"/>
          <w:lang w:val="en-US"/>
        </w:rPr>
        <w:t xml:space="preserve"> anterolateral </w:t>
      </w:r>
      <w:proofErr w:type="spellStart"/>
      <w:r>
        <w:rPr>
          <w:rFonts w:eastAsiaTheme="minorEastAsia"/>
          <w:lang w:val="en-US"/>
        </w:rPr>
        <w:t>melalui</w:t>
      </w:r>
      <w:proofErr w:type="spellEnd"/>
      <w:r>
        <w:rPr>
          <w:rFonts w:eastAsiaTheme="minorEastAsia"/>
          <w:lang w:val="en-US"/>
        </w:rPr>
        <w:t xml:space="preserve"> </w:t>
      </w:r>
      <w:proofErr w:type="spellStart"/>
      <w:r>
        <w:rPr>
          <w:rFonts w:eastAsiaTheme="minorEastAsia"/>
          <w:lang w:val="en-US"/>
        </w:rPr>
        <w:t>traktus</w:t>
      </w:r>
      <w:proofErr w:type="spellEnd"/>
      <w:r>
        <w:rPr>
          <w:rFonts w:eastAsiaTheme="minorEastAsia"/>
          <w:lang w:val="en-US"/>
        </w:rPr>
        <w:t xml:space="preserve"> </w:t>
      </w:r>
      <w:proofErr w:type="spellStart"/>
      <w:r>
        <w:rPr>
          <w:rFonts w:eastAsiaTheme="minorEastAsia"/>
          <w:lang w:val="en-US"/>
        </w:rPr>
        <w:t>retikularis</w:t>
      </w:r>
      <w:proofErr w:type="spellEnd"/>
      <w:r>
        <w:rPr>
          <w:rFonts w:eastAsiaTheme="minorEastAsia"/>
          <w:lang w:val="en-US"/>
        </w:rPr>
        <w:t xml:space="preserve"> spinalis (ke NTS dan </w:t>
      </w:r>
      <w:proofErr w:type="spellStart"/>
      <w:r>
        <w:rPr>
          <w:rFonts w:eastAsiaTheme="minorEastAsia"/>
          <w:lang w:val="en-US"/>
        </w:rPr>
        <w:t>amigdala</w:t>
      </w:r>
      <w:proofErr w:type="spellEnd"/>
      <w:r>
        <w:rPr>
          <w:rFonts w:eastAsiaTheme="minorEastAsia"/>
          <w:lang w:val="en-US"/>
        </w:rPr>
        <w:t xml:space="preserve">) dan </w:t>
      </w:r>
      <w:proofErr w:type="spellStart"/>
      <w:r>
        <w:rPr>
          <w:rFonts w:eastAsiaTheme="minorEastAsia"/>
          <w:lang w:val="en-US"/>
        </w:rPr>
        <w:t>traktus</w:t>
      </w:r>
      <w:proofErr w:type="spellEnd"/>
      <w:r>
        <w:rPr>
          <w:rFonts w:eastAsiaTheme="minorEastAsia"/>
          <w:lang w:val="en-US"/>
        </w:rPr>
        <w:t xml:space="preserve"> thalamus spinalis (ke </w:t>
      </w:r>
      <w:proofErr w:type="spellStart"/>
      <w:r>
        <w:rPr>
          <w:rFonts w:eastAsiaTheme="minorEastAsia"/>
          <w:lang w:val="en-US"/>
        </w:rPr>
        <w:t>talamus</w:t>
      </w:r>
      <w:proofErr w:type="spellEnd"/>
      <w:r>
        <w:rPr>
          <w:rFonts w:eastAsiaTheme="minorEastAsia"/>
          <w:lang w:val="en-US"/>
        </w:rPr>
        <w:t xml:space="preserve">). </w:t>
      </w:r>
      <w:proofErr w:type="spellStart"/>
      <w:r>
        <w:rPr>
          <w:rFonts w:eastAsiaTheme="minorEastAsia"/>
          <w:lang w:val="en-US"/>
        </w:rPr>
        <w:t>Proyeksi</w:t>
      </w:r>
      <w:proofErr w:type="spellEnd"/>
      <w:r>
        <w:rPr>
          <w:rFonts w:eastAsiaTheme="minorEastAsia"/>
          <w:lang w:val="en-US"/>
        </w:rPr>
        <w:t xml:space="preserve"> </w:t>
      </w:r>
      <w:proofErr w:type="spellStart"/>
      <w:r>
        <w:rPr>
          <w:rFonts w:eastAsiaTheme="minorEastAsia"/>
          <w:lang w:val="en-US"/>
        </w:rPr>
        <w:t>dari</w:t>
      </w:r>
      <w:proofErr w:type="spellEnd"/>
      <w:r>
        <w:rPr>
          <w:rFonts w:eastAsiaTheme="minorEastAsia"/>
          <w:lang w:val="en-US"/>
        </w:rPr>
        <w:t xml:space="preserve"> </w:t>
      </w:r>
      <w:proofErr w:type="spellStart"/>
      <w:r>
        <w:rPr>
          <w:rFonts w:eastAsiaTheme="minorEastAsia"/>
          <w:lang w:val="en-US"/>
        </w:rPr>
        <w:t>talamus</w:t>
      </w:r>
      <w:proofErr w:type="spellEnd"/>
      <w:r>
        <w:rPr>
          <w:rFonts w:eastAsiaTheme="minorEastAsia"/>
          <w:lang w:val="en-US"/>
        </w:rPr>
        <w:t xml:space="preserve"> </w:t>
      </w:r>
      <w:proofErr w:type="spellStart"/>
      <w:r>
        <w:rPr>
          <w:rFonts w:eastAsiaTheme="minorEastAsia"/>
          <w:lang w:val="en-US"/>
        </w:rPr>
        <w:t>berlanjut</w:t>
      </w:r>
      <w:proofErr w:type="spellEnd"/>
      <w:r>
        <w:rPr>
          <w:rFonts w:eastAsiaTheme="minorEastAsia"/>
          <w:lang w:val="en-US"/>
        </w:rPr>
        <w:t xml:space="preserve"> ke </w:t>
      </w:r>
      <w:proofErr w:type="spellStart"/>
      <w:r>
        <w:rPr>
          <w:rFonts w:eastAsiaTheme="minorEastAsia"/>
          <w:lang w:val="en-US"/>
        </w:rPr>
        <w:t>korteks</w:t>
      </w:r>
      <w:proofErr w:type="spellEnd"/>
      <w:r>
        <w:rPr>
          <w:rFonts w:eastAsiaTheme="minorEastAsia"/>
          <w:lang w:val="en-US"/>
        </w:rPr>
        <w:t xml:space="preserve"> </w:t>
      </w:r>
      <w:proofErr w:type="spellStart"/>
      <w:r>
        <w:rPr>
          <w:rFonts w:eastAsiaTheme="minorEastAsia"/>
          <w:lang w:val="en-US"/>
        </w:rPr>
        <w:t>sensorik</w:t>
      </w:r>
      <w:proofErr w:type="spellEnd"/>
      <w:r>
        <w:rPr>
          <w:rFonts w:eastAsiaTheme="minorEastAsia"/>
          <w:lang w:val="en-US"/>
        </w:rPr>
        <w:t xml:space="preserve"> primer. B, Jalur </w:t>
      </w:r>
      <w:proofErr w:type="spellStart"/>
      <w:r>
        <w:rPr>
          <w:rFonts w:eastAsiaTheme="minorEastAsia"/>
          <w:lang w:val="en-US"/>
        </w:rPr>
        <w:t>turun</w:t>
      </w:r>
      <w:proofErr w:type="spellEnd"/>
      <w:r>
        <w:rPr>
          <w:rFonts w:eastAsiaTheme="minorEastAsia"/>
          <w:lang w:val="en-US"/>
        </w:rPr>
        <w:t xml:space="preserve"> </w:t>
      </w:r>
      <w:proofErr w:type="spellStart"/>
      <w:r>
        <w:rPr>
          <w:rFonts w:eastAsiaTheme="minorEastAsia"/>
          <w:lang w:val="en-US"/>
        </w:rPr>
        <w:t>dimulai</w:t>
      </w:r>
      <w:proofErr w:type="spellEnd"/>
      <w:r>
        <w:rPr>
          <w:rFonts w:eastAsiaTheme="minorEastAsia"/>
          <w:lang w:val="en-US"/>
        </w:rPr>
        <w:t xml:space="preserve"> di </w:t>
      </w:r>
      <w:proofErr w:type="spellStart"/>
      <w:r>
        <w:rPr>
          <w:rFonts w:eastAsiaTheme="minorEastAsia"/>
          <w:lang w:val="en-US"/>
        </w:rPr>
        <w:t>korteks</w:t>
      </w:r>
      <w:proofErr w:type="spellEnd"/>
      <w:r>
        <w:rPr>
          <w:rFonts w:eastAsiaTheme="minorEastAsia"/>
          <w:lang w:val="en-US"/>
        </w:rPr>
        <w:t xml:space="preserve"> </w:t>
      </w:r>
      <w:proofErr w:type="spellStart"/>
      <w:r>
        <w:rPr>
          <w:rFonts w:eastAsiaTheme="minorEastAsia"/>
          <w:lang w:val="en-US"/>
        </w:rPr>
        <w:t>sensorik</w:t>
      </w:r>
      <w:proofErr w:type="spellEnd"/>
      <w:r>
        <w:rPr>
          <w:rFonts w:eastAsiaTheme="minorEastAsia"/>
          <w:lang w:val="en-US"/>
        </w:rPr>
        <w:t xml:space="preserve"> dan </w:t>
      </w:r>
      <w:proofErr w:type="spellStart"/>
      <w:r>
        <w:rPr>
          <w:rFonts w:eastAsiaTheme="minorEastAsia"/>
          <w:lang w:val="en-US"/>
        </w:rPr>
        <w:t>diproyeksikan</w:t>
      </w:r>
      <w:proofErr w:type="spellEnd"/>
      <w:r>
        <w:rPr>
          <w:rFonts w:eastAsiaTheme="minorEastAsia"/>
          <w:lang w:val="en-US"/>
        </w:rPr>
        <w:t xml:space="preserve"> ke </w:t>
      </w:r>
      <w:proofErr w:type="spellStart"/>
      <w:r>
        <w:rPr>
          <w:rFonts w:eastAsiaTheme="minorEastAsia"/>
          <w:lang w:val="en-US"/>
        </w:rPr>
        <w:t>hipotalamus</w:t>
      </w:r>
      <w:proofErr w:type="spellEnd"/>
      <w:r>
        <w:rPr>
          <w:rFonts w:eastAsiaTheme="minorEastAsia"/>
          <w:lang w:val="en-US"/>
        </w:rPr>
        <w:t xml:space="preserve"> dan </w:t>
      </w:r>
      <w:proofErr w:type="spellStart"/>
      <w:r>
        <w:rPr>
          <w:rFonts w:eastAsiaTheme="minorEastAsia"/>
          <w:lang w:val="en-US"/>
        </w:rPr>
        <w:t>amigdala</w:t>
      </w:r>
      <w:proofErr w:type="spellEnd"/>
      <w:r>
        <w:rPr>
          <w:rFonts w:eastAsiaTheme="minorEastAsia"/>
          <w:lang w:val="en-US"/>
        </w:rPr>
        <w:t xml:space="preserve">. </w:t>
      </w:r>
      <w:r w:rsidRPr="00F426C1">
        <w:rPr>
          <w:rFonts w:eastAsiaTheme="minorEastAsia"/>
          <w:lang w:val="pt-BR"/>
        </w:rPr>
        <w:t xml:space="preserve">Proyeksi dari sinapsis hipotalamus dan amigdala di abu-abu periaqueductal </w:t>
      </w:r>
      <w:r>
        <w:rPr>
          <w:rFonts w:eastAsiaTheme="minorEastAsia"/>
          <w:lang w:val="id-ID"/>
        </w:rPr>
        <w:t>(</w:t>
      </w:r>
      <w:r w:rsidRPr="00F426C1">
        <w:rPr>
          <w:rFonts w:eastAsiaTheme="minorEastAsia"/>
          <w:lang w:val="pt-BR"/>
        </w:rPr>
        <w:t>PAG</w:t>
      </w:r>
      <w:r>
        <w:rPr>
          <w:rFonts w:eastAsiaTheme="minorEastAsia"/>
          <w:lang w:val="id-ID"/>
        </w:rPr>
        <w:t>)</w:t>
      </w:r>
      <w:r w:rsidRPr="00F426C1">
        <w:rPr>
          <w:rFonts w:eastAsiaTheme="minorEastAsia"/>
          <w:lang w:val="pt-BR"/>
        </w:rPr>
        <w:t xml:space="preserve">, nukleus traktus solitarius </w:t>
      </w:r>
      <w:r>
        <w:rPr>
          <w:rFonts w:eastAsiaTheme="minorEastAsia"/>
          <w:lang w:val="id-ID"/>
        </w:rPr>
        <w:t>(</w:t>
      </w:r>
      <w:r w:rsidRPr="00F426C1">
        <w:rPr>
          <w:rFonts w:eastAsiaTheme="minorEastAsia"/>
          <w:lang w:val="pt-BR"/>
        </w:rPr>
        <w:t>NTS</w:t>
      </w:r>
      <w:r>
        <w:rPr>
          <w:rFonts w:eastAsiaTheme="minorEastAsia"/>
          <w:lang w:val="id-ID"/>
        </w:rPr>
        <w:t>)</w:t>
      </w:r>
      <w:r w:rsidRPr="00F426C1">
        <w:rPr>
          <w:rFonts w:eastAsiaTheme="minorEastAsia"/>
          <w:lang w:val="pt-BR"/>
        </w:rPr>
        <w:t xml:space="preserve">, dan medula ventral rostral </w:t>
      </w:r>
      <w:r>
        <w:rPr>
          <w:rFonts w:eastAsiaTheme="minorEastAsia"/>
          <w:lang w:val="id-ID"/>
        </w:rPr>
        <w:t>(</w:t>
      </w:r>
      <w:r w:rsidRPr="00F426C1">
        <w:rPr>
          <w:rFonts w:eastAsiaTheme="minorEastAsia"/>
          <w:lang w:val="pt-BR"/>
        </w:rPr>
        <w:t>RVM</w:t>
      </w:r>
      <w:r>
        <w:rPr>
          <w:rFonts w:eastAsiaTheme="minorEastAsia"/>
          <w:lang w:val="id-ID"/>
        </w:rPr>
        <w:t>)</w:t>
      </w:r>
      <w:r w:rsidRPr="00F426C1">
        <w:rPr>
          <w:rFonts w:eastAsiaTheme="minorEastAsia"/>
          <w:lang w:val="pt-BR"/>
        </w:rPr>
        <w:t>. Proyeksi dari RVM yang dilakukan di saluran tulang belakang retikuler memodulasi informasi nosiseptif yang masuk dengan bersinaps ke masukan ke neuron nosiseptif pada tingkat tanduk dorsal.</w:t>
      </w:r>
      <w:r>
        <w:rPr>
          <w:rFonts w:eastAsiaTheme="minorEastAsia"/>
          <w:lang w:val="en-US"/>
        </w:rPr>
        <w:fldChar w:fldCharType="begin" w:fldLock="1"/>
      </w:r>
      <w:r w:rsidRPr="00F426C1">
        <w:rPr>
          <w:rFonts w:eastAsiaTheme="minorEastAsia"/>
          <w:lang w:val="pt-BR"/>
        </w:rPr>
        <w:instrText>ADDIN CSL_CITATION {"citationItems":[{"id":"ITEM-1","itemData":{"DOI":"10.1213/ANE.0000000000003668","ISBN":"0000000000","ISSN":"15267598","PMID":"30252709","abstract":"Balanced general anesthesia, the most common management strategy used in anesthesia care, entails the administration of different drugs together to create the anesthetic state. Anesthesiologists developed this approach to avoid sole reliance on ether for general anesthesia maintenance. Balanced general anesthesia uses less of each drug than if the drug were administered alone, thereby increasing the likelihood of its desired effects and reducing the likelihood of its side effects. To manage nociception intraoperatively and pain postoperatively, the current practice of balanced general anesthesia relies almost exclusively on opioids. While opioids are the most effective antinociceptive agents, they have undesirable side effects. Moreover, overreliance on opioids has contributed to the opioid epidemic in the United States. Spurred by concern of opioid overuse, balanced general anesthesia strategies are now using more agents to create the anesthetic state. Under these approaches, called \"multimodal general anesthesia,\" the additional drugs may include agents with specific central nervous system targets such as dexmedetomidine and ones with less specific targets, such as magnesium. It is postulated that use of more agents at smaller doses further maximizes desired effects while minimizing side effects. Although this approach appears to maximize the benefit-to-side effect ratio, no rational strategy has been provided for choosing the drug combinations. Nociception induced by surgery is the primary reason for placing a patient in a state of general anesthesia. Hence, any rational strategy should focus on nociception control intraoperatively and pain control postoperatively. In this Special Article, we review the anatomy and physiology of the nociceptive and arousal circuits, and the mechanisms through which commonly used anesthetics and anesthetic adjuncts act in these sys</w:instrText>
      </w:r>
      <w:r>
        <w:rPr>
          <w:rFonts w:eastAsiaTheme="minorEastAsia"/>
          <w:lang w:val="en-US"/>
        </w:rPr>
        <w:instrText>tems. We propose a rational strategy for multimodal general anesthesia predicated on choosing a combination of agents that act at different targets in the nociceptive system to control nociception intraoperatively and pain postoperatively. Because these agents also decrease arousal, the doses of hypnotics and/or inhaled ethers needed to control unconsciousness are reduced. Effective use of this strategy requires simultaneous monitoring of antinociception and level of unconsciousness. We illustrate the application of this strategy by summarizing anesthetic management for 4 representative surg…","author":[{"dropping-particle":"","family":"Brown","given":"Emery N.","non-dropping-particle":"","parse-names":false,"suffix":""},{"dropping-particle":"","family":"Pavone","given":"Kara J.","non-dropping-particle":"","parse-names":false,"suffix":""},{"dropping-particle":"","family":"Naranjo","given":"Marusa","non-dropping-particle":"","parse-names":false,"suffix":""}],"container-title":"Anesthesia and Analgesia","id":"ITEM-1","issue":"5","issued":{"date-parts":[["2018"]]},"page":"1246-1258","title":"Multimodal general anesthesia: Theory and practice","type":"article-journal","volume":"127"},"uris":["http://www.mendeley.com/documents/?uuid=22822377-e8f4-430a-a304-7f758e803ec1"]}],"mendeley":{"formattedCitation":"&lt;sup&gt;4&lt;/sup&gt;","plainTextFormattedCitation":"4","previouslyFormattedCitation":"&lt;sup&gt;4&lt;/sup&gt;"},"properties":{"noteIndex":0},"schema":"https://github.com/citation-style-language/schema/raw/master/csl-citation.json"}</w:instrText>
      </w:r>
      <w:r>
        <w:rPr>
          <w:rFonts w:eastAsiaTheme="minorEastAsia"/>
          <w:lang w:val="en-US"/>
        </w:rPr>
        <w:fldChar w:fldCharType="separate"/>
      </w:r>
      <w:r>
        <w:rPr>
          <w:rFonts w:eastAsiaTheme="minorEastAsia"/>
          <w:noProof/>
          <w:vertAlign w:val="superscript"/>
          <w:lang w:val="en-US"/>
        </w:rPr>
        <w:t>4</w:t>
      </w:r>
      <w:r>
        <w:rPr>
          <w:rFonts w:eastAsiaTheme="minorEastAsia"/>
          <w:lang w:val="en-US"/>
        </w:rPr>
        <w:fldChar w:fldCharType="end"/>
      </w:r>
    </w:p>
    <w:p w14:paraId="5C2BB995" w14:textId="77777777" w:rsidR="003B79BC" w:rsidRDefault="00000000">
      <w:pPr>
        <w:spacing w:line="360" w:lineRule="auto"/>
        <w:ind w:firstLine="709"/>
        <w:jc w:val="both"/>
        <w:rPr>
          <w:rFonts w:ascii="PalatinoLTStd-Roman" w:eastAsiaTheme="minorEastAsia" w:hAnsi="PalatinoLTStd-Roman" w:cs="PalatinoLTStd-Roman"/>
          <w:sz w:val="18"/>
          <w:szCs w:val="18"/>
          <w:lang w:val="en-US"/>
        </w:rPr>
      </w:pPr>
      <w:r>
        <w:rPr>
          <w:rFonts w:eastAsiaTheme="minorEastAsia"/>
          <w:lang w:val="id-ID" w:eastAsia="zh-CN"/>
        </w:rPr>
        <w:t>A</w:t>
      </w:r>
      <w:r>
        <w:rPr>
          <w:rFonts w:eastAsiaTheme="minorEastAsia"/>
          <w:lang w:val="en-US" w:eastAsia="zh-CN"/>
        </w:rPr>
        <w:t xml:space="preserve">da </w:t>
      </w:r>
      <w:proofErr w:type="spellStart"/>
      <w:r>
        <w:rPr>
          <w:rFonts w:eastAsiaTheme="minorEastAsia"/>
          <w:lang w:val="en-US" w:eastAsia="zh-CN"/>
        </w:rPr>
        <w:t>banyak</w:t>
      </w:r>
      <w:proofErr w:type="spellEnd"/>
      <w:r>
        <w:rPr>
          <w:rFonts w:eastAsiaTheme="minorEastAsia"/>
          <w:lang w:val="en-US" w:eastAsia="zh-CN"/>
        </w:rPr>
        <w:t xml:space="preserve"> </w:t>
      </w:r>
      <w:proofErr w:type="spellStart"/>
      <w:r>
        <w:rPr>
          <w:rFonts w:eastAsiaTheme="minorEastAsia"/>
          <w:lang w:val="en-US" w:eastAsia="zh-CN"/>
        </w:rPr>
        <w:t>neurotransmiter</w:t>
      </w:r>
      <w:proofErr w:type="spellEnd"/>
      <w:r>
        <w:rPr>
          <w:rFonts w:eastAsiaTheme="minorEastAsia"/>
          <w:lang w:val="en-US" w:eastAsia="zh-CN"/>
        </w:rPr>
        <w:t xml:space="preserve"> dan neural relay yang </w:t>
      </w:r>
      <w:proofErr w:type="spellStart"/>
      <w:r>
        <w:rPr>
          <w:rFonts w:eastAsiaTheme="minorEastAsia"/>
          <w:lang w:val="en-US" w:eastAsia="zh-CN"/>
        </w:rPr>
        <w:t>berbeda</w:t>
      </w:r>
      <w:proofErr w:type="spellEnd"/>
      <w:r>
        <w:rPr>
          <w:rFonts w:eastAsiaTheme="minorEastAsia"/>
          <w:lang w:val="en-US" w:eastAsia="zh-CN"/>
        </w:rPr>
        <w:t xml:space="preserve"> di </w:t>
      </w:r>
      <w:proofErr w:type="spellStart"/>
      <w:r>
        <w:rPr>
          <w:rFonts w:eastAsiaTheme="minorEastAsia"/>
          <w:lang w:val="en-US" w:eastAsia="zh-CN"/>
        </w:rPr>
        <w:t>jalur</w:t>
      </w:r>
      <w:proofErr w:type="spellEnd"/>
      <w:r>
        <w:rPr>
          <w:rFonts w:eastAsiaTheme="minorEastAsia"/>
          <w:lang w:val="en-US" w:eastAsia="zh-CN"/>
        </w:rPr>
        <w:t xml:space="preserve"> </w:t>
      </w:r>
      <w:r>
        <w:rPr>
          <w:rFonts w:eastAsiaTheme="minorEastAsia"/>
          <w:i/>
          <w:iCs/>
          <w:lang w:val="id-ID" w:eastAsia="zh-CN"/>
        </w:rPr>
        <w:t>ascending</w:t>
      </w:r>
      <w:r>
        <w:rPr>
          <w:rFonts w:eastAsiaTheme="minorEastAsia"/>
          <w:lang w:val="en-US" w:eastAsia="zh-CN"/>
        </w:rPr>
        <w:t xml:space="preserve"> dan </w:t>
      </w:r>
      <w:r>
        <w:rPr>
          <w:rFonts w:eastAsiaTheme="minorEastAsia"/>
          <w:i/>
          <w:iCs/>
          <w:lang w:val="id-ID" w:eastAsia="zh-CN"/>
        </w:rPr>
        <w:t>descending</w:t>
      </w:r>
      <w:r>
        <w:rPr>
          <w:rFonts w:eastAsiaTheme="minorEastAsia"/>
          <w:lang w:val="en-US" w:eastAsia="zh-CN"/>
        </w:rPr>
        <w:t xml:space="preserve">, </w:t>
      </w:r>
      <w:proofErr w:type="spellStart"/>
      <w:r>
        <w:rPr>
          <w:rFonts w:eastAsiaTheme="minorEastAsia"/>
          <w:lang w:val="en-US" w:eastAsia="zh-CN"/>
        </w:rPr>
        <w:t>ada</w:t>
      </w:r>
      <w:proofErr w:type="spellEnd"/>
      <w:r>
        <w:rPr>
          <w:rFonts w:eastAsiaTheme="minorEastAsia"/>
          <w:lang w:val="en-US" w:eastAsia="zh-CN"/>
        </w:rPr>
        <w:t xml:space="preserve"> </w:t>
      </w:r>
      <w:proofErr w:type="spellStart"/>
      <w:r>
        <w:rPr>
          <w:rFonts w:eastAsiaTheme="minorEastAsia"/>
          <w:lang w:val="en-US" w:eastAsia="zh-CN"/>
        </w:rPr>
        <w:t>banyak</w:t>
      </w:r>
      <w:proofErr w:type="spellEnd"/>
      <w:r>
        <w:rPr>
          <w:rFonts w:eastAsiaTheme="minorEastAsia"/>
          <w:lang w:val="en-US" w:eastAsia="zh-CN"/>
        </w:rPr>
        <w:t xml:space="preserve"> target di mana </w:t>
      </w:r>
      <w:proofErr w:type="spellStart"/>
      <w:r>
        <w:rPr>
          <w:rFonts w:eastAsiaTheme="minorEastAsia"/>
          <w:lang w:val="en-US" w:eastAsia="zh-CN"/>
        </w:rPr>
        <w:t>agen</w:t>
      </w:r>
      <w:proofErr w:type="spellEnd"/>
      <w:r>
        <w:rPr>
          <w:rFonts w:eastAsiaTheme="minorEastAsia"/>
          <w:lang w:val="en-US" w:eastAsia="zh-CN"/>
        </w:rPr>
        <w:t xml:space="preserve"> </w:t>
      </w:r>
      <w:proofErr w:type="spellStart"/>
      <w:r>
        <w:rPr>
          <w:rFonts w:eastAsiaTheme="minorEastAsia"/>
          <w:lang w:val="en-US" w:eastAsia="zh-CN"/>
        </w:rPr>
        <w:t>antinosiseptif</w:t>
      </w:r>
      <w:proofErr w:type="spellEnd"/>
      <w:r>
        <w:rPr>
          <w:rFonts w:eastAsiaTheme="minorEastAsia"/>
          <w:lang w:val="en-US" w:eastAsia="zh-CN"/>
        </w:rPr>
        <w:t xml:space="preserve"> dapat </w:t>
      </w:r>
      <w:proofErr w:type="spellStart"/>
      <w:r>
        <w:rPr>
          <w:rFonts w:eastAsiaTheme="minorEastAsia"/>
          <w:lang w:val="en-US" w:eastAsia="zh-CN"/>
        </w:rPr>
        <w:t>mengganggu</w:t>
      </w:r>
      <w:proofErr w:type="spellEnd"/>
      <w:r>
        <w:rPr>
          <w:rFonts w:eastAsiaTheme="minorEastAsia"/>
          <w:lang w:val="en-US" w:eastAsia="zh-CN"/>
        </w:rPr>
        <w:t xml:space="preserve"> </w:t>
      </w:r>
      <w:proofErr w:type="spellStart"/>
      <w:r>
        <w:rPr>
          <w:rFonts w:eastAsiaTheme="minorEastAsia"/>
          <w:lang w:val="en-US" w:eastAsia="zh-CN"/>
        </w:rPr>
        <w:t>pemrosesan</w:t>
      </w:r>
      <w:proofErr w:type="spellEnd"/>
      <w:r>
        <w:rPr>
          <w:rFonts w:eastAsiaTheme="minorEastAsia"/>
          <w:lang w:val="en-US" w:eastAsia="zh-CN"/>
        </w:rPr>
        <w:t xml:space="preserve"> </w:t>
      </w:r>
      <w:proofErr w:type="spellStart"/>
      <w:r>
        <w:rPr>
          <w:rFonts w:eastAsiaTheme="minorEastAsia"/>
          <w:lang w:val="en-US" w:eastAsia="zh-CN"/>
        </w:rPr>
        <w:t>informasi</w:t>
      </w:r>
      <w:proofErr w:type="spellEnd"/>
      <w:r>
        <w:rPr>
          <w:rFonts w:eastAsiaTheme="minorEastAsia"/>
          <w:lang w:val="en-US" w:eastAsia="zh-CN"/>
        </w:rPr>
        <w:t xml:space="preserve"> </w:t>
      </w:r>
      <w:proofErr w:type="spellStart"/>
      <w:r>
        <w:rPr>
          <w:rFonts w:eastAsiaTheme="minorEastAsia"/>
          <w:lang w:val="en-US" w:eastAsia="zh-CN"/>
        </w:rPr>
        <w:t>nosiseptif</w:t>
      </w:r>
      <w:proofErr w:type="spellEnd"/>
      <w:r>
        <w:rPr>
          <w:rFonts w:eastAsiaTheme="minorEastAsia"/>
          <w:lang w:val="en-US" w:eastAsia="zh-CN"/>
        </w:rPr>
        <w:t xml:space="preserve">. </w:t>
      </w:r>
      <w:proofErr w:type="spellStart"/>
      <w:r>
        <w:rPr>
          <w:rFonts w:eastAsiaTheme="minorEastAsia"/>
          <w:lang w:val="en-US"/>
        </w:rPr>
        <w:t>Menargetkan</w:t>
      </w:r>
      <w:proofErr w:type="spellEnd"/>
      <w:r>
        <w:rPr>
          <w:rFonts w:eastAsiaTheme="minorEastAsia"/>
          <w:lang w:val="en-US"/>
        </w:rPr>
        <w:t xml:space="preserve"> </w:t>
      </w:r>
      <w:proofErr w:type="spellStart"/>
      <w:r>
        <w:rPr>
          <w:rFonts w:eastAsiaTheme="minorEastAsia"/>
          <w:lang w:val="en-US"/>
        </w:rPr>
        <w:t>beberapa</w:t>
      </w:r>
      <w:proofErr w:type="spellEnd"/>
      <w:r>
        <w:rPr>
          <w:rFonts w:eastAsiaTheme="minorEastAsia"/>
          <w:lang w:val="en-US"/>
        </w:rPr>
        <w:t xml:space="preserve"> target </w:t>
      </w:r>
      <w:proofErr w:type="spellStart"/>
      <w:r>
        <w:rPr>
          <w:rFonts w:eastAsiaTheme="minorEastAsia"/>
          <w:lang w:val="en-US"/>
        </w:rPr>
        <w:t>sekaligus</w:t>
      </w:r>
      <w:proofErr w:type="spellEnd"/>
      <w:r>
        <w:rPr>
          <w:rFonts w:eastAsiaTheme="minorEastAsia"/>
          <w:lang w:val="en-US"/>
        </w:rPr>
        <w:t xml:space="preserve"> dalam </w:t>
      </w:r>
      <w:proofErr w:type="spellStart"/>
      <w:r>
        <w:rPr>
          <w:rFonts w:eastAsiaTheme="minorEastAsia"/>
          <w:lang w:val="en-US"/>
        </w:rPr>
        <w:t>sistem</w:t>
      </w:r>
      <w:proofErr w:type="spellEnd"/>
      <w:r>
        <w:rPr>
          <w:rFonts w:eastAsiaTheme="minorEastAsia"/>
          <w:lang w:val="en-US"/>
        </w:rPr>
        <w:t xml:space="preserve"> </w:t>
      </w:r>
      <w:proofErr w:type="spellStart"/>
      <w:r>
        <w:rPr>
          <w:rFonts w:eastAsiaTheme="minorEastAsia"/>
          <w:lang w:val="en-US"/>
        </w:rPr>
        <w:t>nosiseptif</w:t>
      </w:r>
      <w:proofErr w:type="spellEnd"/>
      <w:r>
        <w:rPr>
          <w:rFonts w:eastAsiaTheme="minorEastAsia"/>
          <w:lang w:val="en-US"/>
        </w:rPr>
        <w:t xml:space="preserve"> </w:t>
      </w:r>
      <w:proofErr w:type="spellStart"/>
      <w:r>
        <w:rPr>
          <w:rFonts w:eastAsiaTheme="minorEastAsia"/>
          <w:lang w:val="en-US"/>
        </w:rPr>
        <w:t>adalah</w:t>
      </w:r>
      <w:proofErr w:type="spellEnd"/>
      <w:r>
        <w:rPr>
          <w:rFonts w:eastAsiaTheme="minorEastAsia"/>
          <w:lang w:val="en-US"/>
        </w:rPr>
        <w:t xml:space="preserve"> </w:t>
      </w:r>
      <w:proofErr w:type="spellStart"/>
      <w:r>
        <w:rPr>
          <w:rFonts w:eastAsiaTheme="minorEastAsia"/>
          <w:lang w:val="en-US"/>
        </w:rPr>
        <w:t>konsep</w:t>
      </w:r>
      <w:proofErr w:type="spellEnd"/>
      <w:r>
        <w:rPr>
          <w:rFonts w:eastAsiaTheme="minorEastAsia"/>
          <w:lang w:val="en-US"/>
        </w:rPr>
        <w:t xml:space="preserve"> </w:t>
      </w:r>
      <w:proofErr w:type="spellStart"/>
      <w:r>
        <w:rPr>
          <w:rFonts w:eastAsiaTheme="minorEastAsia"/>
          <w:lang w:val="en-US"/>
        </w:rPr>
        <w:t>kunci</w:t>
      </w:r>
      <w:proofErr w:type="spellEnd"/>
      <w:r>
        <w:rPr>
          <w:rFonts w:eastAsiaTheme="minorEastAsia"/>
          <w:lang w:val="en-US"/>
        </w:rPr>
        <w:t xml:space="preserve"> yang </w:t>
      </w:r>
      <w:proofErr w:type="spellStart"/>
      <w:r>
        <w:rPr>
          <w:rFonts w:eastAsiaTheme="minorEastAsia"/>
          <w:lang w:val="en-US"/>
        </w:rPr>
        <w:t>mendasari</w:t>
      </w:r>
      <w:proofErr w:type="spellEnd"/>
      <w:r>
        <w:rPr>
          <w:rFonts w:eastAsiaTheme="minorEastAsia"/>
          <w:lang w:val="en-US"/>
        </w:rPr>
        <w:t xml:space="preserve"> </w:t>
      </w:r>
      <w:proofErr w:type="spellStart"/>
      <w:r>
        <w:rPr>
          <w:rFonts w:eastAsiaTheme="minorEastAsia"/>
          <w:lang w:val="en-US"/>
        </w:rPr>
        <w:t>desain</w:t>
      </w:r>
      <w:proofErr w:type="spellEnd"/>
      <w:r>
        <w:rPr>
          <w:rFonts w:eastAsiaTheme="minorEastAsia"/>
          <w:lang w:val="en-US"/>
        </w:rPr>
        <w:t xml:space="preserve"> strategi multimodal untuk </w:t>
      </w:r>
      <w:proofErr w:type="spellStart"/>
      <w:r>
        <w:rPr>
          <w:rFonts w:eastAsiaTheme="minorEastAsia"/>
          <w:lang w:val="en-US"/>
        </w:rPr>
        <w:t>kontrol</w:t>
      </w:r>
      <w:proofErr w:type="spellEnd"/>
      <w:r>
        <w:rPr>
          <w:rFonts w:eastAsiaTheme="minorEastAsia"/>
          <w:lang w:val="en-US"/>
        </w:rPr>
        <w:t xml:space="preserve"> </w:t>
      </w:r>
      <w:proofErr w:type="spellStart"/>
      <w:r>
        <w:rPr>
          <w:rFonts w:eastAsiaTheme="minorEastAsia"/>
          <w:lang w:val="en-US"/>
        </w:rPr>
        <w:t>nosiseptif</w:t>
      </w:r>
      <w:proofErr w:type="spellEnd"/>
      <w:r>
        <w:rPr>
          <w:rFonts w:eastAsiaTheme="minorEastAsia"/>
          <w:lang w:val="en-US"/>
        </w:rPr>
        <w:t xml:space="preserve">, dan </w:t>
      </w:r>
      <w:proofErr w:type="spellStart"/>
      <w:r>
        <w:rPr>
          <w:rFonts w:eastAsiaTheme="minorEastAsia"/>
          <w:lang w:val="en-US"/>
        </w:rPr>
        <w:t>karenanya</w:t>
      </w:r>
      <w:proofErr w:type="spellEnd"/>
      <w:r>
        <w:rPr>
          <w:rFonts w:eastAsiaTheme="minorEastAsia"/>
          <w:lang w:val="en-US"/>
        </w:rPr>
        <w:t xml:space="preserve">, </w:t>
      </w:r>
      <w:proofErr w:type="spellStart"/>
      <w:r>
        <w:rPr>
          <w:rFonts w:eastAsiaTheme="minorEastAsia"/>
          <w:lang w:val="en-US"/>
        </w:rPr>
        <w:t>anestesi</w:t>
      </w:r>
      <w:proofErr w:type="spellEnd"/>
      <w:r>
        <w:rPr>
          <w:rFonts w:eastAsiaTheme="minorEastAsia"/>
          <w:lang w:val="en-US"/>
        </w:rPr>
        <w:t xml:space="preserve"> </w:t>
      </w:r>
      <w:proofErr w:type="spellStart"/>
      <w:r>
        <w:rPr>
          <w:rFonts w:eastAsiaTheme="minorEastAsia"/>
          <w:lang w:val="en-US"/>
        </w:rPr>
        <w:t>umum</w:t>
      </w:r>
      <w:proofErr w:type="spellEnd"/>
      <w:r>
        <w:rPr>
          <w:rFonts w:eastAsiaTheme="minorEastAsia"/>
          <w:lang w:val="en-US"/>
        </w:rPr>
        <w:t xml:space="preserve"> multimodal</w:t>
      </w:r>
      <w:r>
        <w:rPr>
          <w:rFonts w:eastAsiaTheme="minorEastAsia"/>
          <w:lang w:val="id-ID"/>
        </w:rPr>
        <w:t xml:space="preserve"> termasuk dalam penggunaan </w:t>
      </w:r>
      <w:proofErr w:type="spellStart"/>
      <w:r>
        <w:rPr>
          <w:rFonts w:eastAsiaTheme="minorEastAsia"/>
          <w:lang w:val="en-US"/>
        </w:rPr>
        <w:t>agen</w:t>
      </w:r>
      <w:proofErr w:type="spellEnd"/>
      <w:r>
        <w:rPr>
          <w:rFonts w:eastAsiaTheme="minorEastAsia"/>
          <w:lang w:val="en-US"/>
        </w:rPr>
        <w:t xml:space="preserve"> </w:t>
      </w:r>
      <w:proofErr w:type="spellStart"/>
      <w:r>
        <w:rPr>
          <w:rFonts w:eastAsiaTheme="minorEastAsia"/>
          <w:lang w:val="en-US"/>
        </w:rPr>
        <w:t>antinosiseptif</w:t>
      </w:r>
      <w:proofErr w:type="spellEnd"/>
      <w:r>
        <w:rPr>
          <w:rFonts w:eastAsiaTheme="minorEastAsia"/>
          <w:lang w:val="en-US"/>
        </w:rPr>
        <w:t xml:space="preserve"> pada opioid, </w:t>
      </w:r>
      <w:proofErr w:type="spellStart"/>
      <w:r>
        <w:rPr>
          <w:rFonts w:eastAsiaTheme="minorEastAsia"/>
          <w:lang w:val="en-US"/>
        </w:rPr>
        <w:t>ketamin</w:t>
      </w:r>
      <w:proofErr w:type="spellEnd"/>
      <w:r>
        <w:rPr>
          <w:rFonts w:eastAsiaTheme="minorEastAsia"/>
          <w:lang w:val="en-US"/>
        </w:rPr>
        <w:t xml:space="preserve">, </w:t>
      </w:r>
      <w:r>
        <w:rPr>
          <w:rFonts w:eastAsiaTheme="minorEastAsia"/>
          <w:lang w:val="en-US"/>
        </w:rPr>
        <w:lastRenderedPageBreak/>
        <w:t xml:space="preserve">magnesium, dexmedetomidine, obat </w:t>
      </w:r>
      <w:proofErr w:type="spellStart"/>
      <w:r>
        <w:rPr>
          <w:rFonts w:eastAsiaTheme="minorEastAsia"/>
          <w:lang w:val="en-US"/>
        </w:rPr>
        <w:t>antiinflamasi</w:t>
      </w:r>
      <w:proofErr w:type="spellEnd"/>
      <w:r>
        <w:rPr>
          <w:rFonts w:eastAsiaTheme="minorEastAsia"/>
          <w:lang w:val="en-US"/>
        </w:rPr>
        <w:t xml:space="preserve"> nonsteroid (NSAID), dan </w:t>
      </w:r>
      <w:proofErr w:type="spellStart"/>
      <w:r>
        <w:rPr>
          <w:rFonts w:eastAsiaTheme="minorEastAsia"/>
          <w:lang w:val="en-US"/>
        </w:rPr>
        <w:t>anestesi</w:t>
      </w:r>
      <w:proofErr w:type="spellEnd"/>
      <w:r>
        <w:rPr>
          <w:rFonts w:eastAsiaTheme="minorEastAsia"/>
          <w:lang w:val="en-US"/>
        </w:rPr>
        <w:t xml:space="preserve"> </w:t>
      </w:r>
      <w:proofErr w:type="spellStart"/>
      <w:r>
        <w:rPr>
          <w:rFonts w:eastAsiaTheme="minorEastAsia"/>
          <w:lang w:val="en-US"/>
        </w:rPr>
        <w:t>lokal</w:t>
      </w:r>
      <w:proofErr w:type="spellEnd"/>
      <w:r>
        <w:rPr>
          <w:rFonts w:eastAsiaTheme="minorEastAsia"/>
          <w:lang w:val="en-US"/>
        </w:rPr>
        <w:t xml:space="preserve"> lidokain.</w:t>
      </w:r>
      <w:r>
        <w:rPr>
          <w:rFonts w:eastAsiaTheme="minorEastAsia"/>
          <w:lang w:val="en-US"/>
        </w:rPr>
        <w:fldChar w:fldCharType="begin" w:fldLock="1"/>
      </w:r>
      <w:r>
        <w:rPr>
          <w:rFonts w:eastAsiaTheme="minorEastAsia"/>
          <w:lang w:val="en-US"/>
        </w:rPr>
        <w:instrText>ADDIN CSL_CITATION {"citationItems":[{"id":"ITEM-1","itemData":{"DOI":"10.1213/ANE.0000000000003668","ISBN":"0000000000","ISSN":"15267598","PMID":"30252709","abstract":"Balanced general anesthesia, the most common management strategy used in anesthesia care, entails the administration of different drugs together to create the anesthetic state. Anesthesiologists developed this approach to avoid sole reliance on ether for general anesthesia maintenance. Balanced general anesthesia uses less of each drug than if the drug were administered alone, thereby increasing the likelihood of its desired effects and reducing the likelihood of its side effects. To manage nociception intraoperatively and pain postoperatively, the current practice of balanced general anesthesia relies almost exclusively on opioids. While opioids are the most effective antinociceptive agents, they have undesirable side effects. Moreover, overreliance on opioids has contributed to the opioid epidemic in the United States. Spurred by concern of opioid overuse, balanced general anesthesia strategies are now using more agents to create the anesthetic state. Under these approaches, called \"multimodal general anesthesia,\" the additional drugs may include agents with specific central nervous system targets such as dexmedetomidine and ones with less specific targets, such as magnesium. It is postulated that use of more agents at smaller doses further maximizes desired effects while minimizing side effects. Although this approach appears to maximize the benefit-to-side effect ratio, no rational strategy has been provided for choosing the drug combinations. Nociception induced by surgery is the primary reason for placing a patient in a state of general anesthesia. Hence, any rational strategy should focus on nociception control intraoperatively and pain control postoperatively. In this Special Article, we review the anatomy and physiology of the nociceptive and arousal circuits, and the mechanisms through which commonly used anesthetics and anesthetic adjuncts act in these systems. We propose a rational strategy for multimodal general anesthesia predicated on choosing a combination of agents that act at different targets in the nociceptive system to control nociception intraoperatively and pain postoperatively. Because these agents also decrease arousal, the doses of hypnotics and/or inhaled ethers needed to control unconsciousness are reduced. Effective use of this strategy requires simultaneous monitoring of antinociception and level of unconsciousness. We illustrate the application of this strategy by summarizing anesthetic management for 4 representative surg…","author":[{"dropping-particle":"","family":"Brown","given":"Emery N.","non-dropping-particle":"","parse-names":false,"suffix":""},{"dropping-particle":"","family":"Pavone","given":"Kara J.","non-dropping-particle":"","parse-names":false,"suffix":""},{"dropping-particle":"","family":"Naranjo","given":"Marusa","non-dropping-particle":"","parse-names":false,"suffix":""}],"container-title":"Anesthesia and Analgesia","id":"ITEM-1","issue":"5","issued":{"date-parts":[["2018"]]},"page":"1246-1258","title":"Multimodal general anesthesia: Theory and practice","type":"article-journal","volume":"127"},"uris":["http://www.mendeley.com/documents/?uuid=22822377-e8f4-430a-a304-7f758e803ec1"]}],"mendeley":{"formattedCitation":"&lt;sup&gt;4&lt;/sup&gt;","plainTextFormattedCitation":"4","previouslyFormattedCitation":"&lt;sup&gt;4&lt;/sup&gt;"},"properties":{"noteIndex":0},"schema":"https://github.com/citation-style-language/schema/raw/master/csl-citation.json"}</w:instrText>
      </w:r>
      <w:r>
        <w:rPr>
          <w:rFonts w:eastAsiaTheme="minorEastAsia"/>
          <w:lang w:val="en-US"/>
        </w:rPr>
        <w:fldChar w:fldCharType="separate"/>
      </w:r>
      <w:r>
        <w:rPr>
          <w:rFonts w:eastAsiaTheme="minorEastAsia"/>
          <w:noProof/>
          <w:vertAlign w:val="superscript"/>
          <w:lang w:val="en-US"/>
        </w:rPr>
        <w:t>4</w:t>
      </w:r>
      <w:r>
        <w:rPr>
          <w:rFonts w:eastAsiaTheme="minorEastAsia"/>
          <w:lang w:val="en-US"/>
        </w:rPr>
        <w:fldChar w:fldCharType="end"/>
      </w:r>
    </w:p>
    <w:p w14:paraId="147B727B" w14:textId="77777777" w:rsidR="003B79BC" w:rsidRDefault="00000000">
      <w:pPr>
        <w:spacing w:line="360" w:lineRule="auto"/>
        <w:ind w:firstLine="709"/>
        <w:jc w:val="both"/>
        <w:rPr>
          <w:rFonts w:eastAsiaTheme="minorEastAsia"/>
          <w:lang w:val="en-US"/>
        </w:rPr>
      </w:pPr>
      <w:r>
        <w:rPr>
          <w:rFonts w:eastAsiaTheme="minorEastAsia"/>
          <w:lang w:val="en-US"/>
        </w:rPr>
        <w:t xml:space="preserve">Nyeri </w:t>
      </w:r>
      <w:proofErr w:type="spellStart"/>
      <w:r>
        <w:rPr>
          <w:rFonts w:eastAsiaTheme="minorEastAsia"/>
          <w:lang w:val="en-US"/>
        </w:rPr>
        <w:t>nosiseptif</w:t>
      </w:r>
      <w:proofErr w:type="spellEnd"/>
      <w:r>
        <w:rPr>
          <w:rFonts w:eastAsiaTheme="minorEastAsia"/>
          <w:lang w:val="en-US"/>
        </w:rPr>
        <w:t xml:space="preserve"> </w:t>
      </w:r>
      <w:proofErr w:type="spellStart"/>
      <w:r>
        <w:rPr>
          <w:rFonts w:eastAsiaTheme="minorEastAsia"/>
          <w:lang w:val="en-US"/>
        </w:rPr>
        <w:t>mengacu</w:t>
      </w:r>
      <w:proofErr w:type="spellEnd"/>
      <w:r>
        <w:rPr>
          <w:rFonts w:eastAsiaTheme="minorEastAsia"/>
          <w:lang w:val="en-US"/>
        </w:rPr>
        <w:t xml:space="preserve"> pada </w:t>
      </w:r>
      <w:proofErr w:type="spellStart"/>
      <w:r>
        <w:rPr>
          <w:rFonts w:eastAsiaTheme="minorEastAsia"/>
          <w:lang w:val="en-US"/>
        </w:rPr>
        <w:t>nyeri</w:t>
      </w:r>
      <w:proofErr w:type="spellEnd"/>
      <w:r>
        <w:rPr>
          <w:rFonts w:eastAsiaTheme="minorEastAsia"/>
          <w:lang w:val="en-US"/>
        </w:rPr>
        <w:t xml:space="preserve"> yang </w:t>
      </w:r>
      <w:proofErr w:type="spellStart"/>
      <w:r>
        <w:rPr>
          <w:rFonts w:eastAsiaTheme="minorEastAsia"/>
          <w:lang w:val="en-US"/>
        </w:rPr>
        <w:t>timbul</w:t>
      </w:r>
      <w:proofErr w:type="spellEnd"/>
      <w:r>
        <w:rPr>
          <w:rFonts w:eastAsiaTheme="minorEastAsia"/>
          <w:lang w:val="en-US"/>
        </w:rPr>
        <w:t xml:space="preserve"> </w:t>
      </w:r>
      <w:proofErr w:type="spellStart"/>
      <w:r>
        <w:rPr>
          <w:rFonts w:eastAsiaTheme="minorEastAsia"/>
          <w:lang w:val="en-US"/>
        </w:rPr>
        <w:t>dari</w:t>
      </w:r>
      <w:proofErr w:type="spellEnd"/>
      <w:r>
        <w:rPr>
          <w:rFonts w:eastAsiaTheme="minorEastAsia"/>
          <w:lang w:val="en-US"/>
        </w:rPr>
        <w:t xml:space="preserve"> </w:t>
      </w:r>
      <w:proofErr w:type="spellStart"/>
      <w:r>
        <w:rPr>
          <w:rFonts w:eastAsiaTheme="minorEastAsia"/>
          <w:lang w:val="en-US"/>
        </w:rPr>
        <w:t>kerusakan</w:t>
      </w:r>
      <w:proofErr w:type="spellEnd"/>
      <w:r>
        <w:rPr>
          <w:rFonts w:eastAsiaTheme="minorEastAsia"/>
          <w:lang w:val="en-US"/>
        </w:rPr>
        <w:t xml:space="preserve"> </w:t>
      </w:r>
      <w:proofErr w:type="spellStart"/>
      <w:r>
        <w:rPr>
          <w:rFonts w:eastAsiaTheme="minorEastAsia"/>
          <w:lang w:val="en-US"/>
        </w:rPr>
        <w:t>nyata</w:t>
      </w:r>
      <w:proofErr w:type="spellEnd"/>
      <w:r>
        <w:rPr>
          <w:rFonts w:eastAsiaTheme="minorEastAsia"/>
          <w:lang w:val="en-US"/>
        </w:rPr>
        <w:t xml:space="preserve"> atau </w:t>
      </w:r>
      <w:proofErr w:type="spellStart"/>
      <w:r>
        <w:rPr>
          <w:rFonts w:eastAsiaTheme="minorEastAsia"/>
          <w:lang w:val="en-US"/>
        </w:rPr>
        <w:t>terancam</w:t>
      </w:r>
      <w:proofErr w:type="spellEnd"/>
      <w:r>
        <w:rPr>
          <w:rFonts w:eastAsiaTheme="minorEastAsia"/>
          <w:lang w:val="en-US"/>
        </w:rPr>
        <w:t xml:space="preserve"> pada </w:t>
      </w:r>
      <w:proofErr w:type="spellStart"/>
      <w:r>
        <w:rPr>
          <w:rFonts w:eastAsiaTheme="minorEastAsia"/>
          <w:lang w:val="en-US"/>
        </w:rPr>
        <w:t>jaringan</w:t>
      </w:r>
      <w:proofErr w:type="spellEnd"/>
      <w:r>
        <w:rPr>
          <w:rFonts w:eastAsiaTheme="minorEastAsia"/>
          <w:lang w:val="en-US"/>
        </w:rPr>
        <w:t xml:space="preserve"> nonneural dan </w:t>
      </w:r>
      <w:proofErr w:type="spellStart"/>
      <w:r>
        <w:rPr>
          <w:rFonts w:eastAsiaTheme="minorEastAsia"/>
          <w:lang w:val="en-US"/>
        </w:rPr>
        <w:t>disebabkan</w:t>
      </w:r>
      <w:proofErr w:type="spellEnd"/>
      <w:r>
        <w:rPr>
          <w:rFonts w:eastAsiaTheme="minorEastAsia"/>
          <w:lang w:val="en-US"/>
        </w:rPr>
        <w:t xml:space="preserve"> oleh </w:t>
      </w:r>
      <w:proofErr w:type="spellStart"/>
      <w:r>
        <w:rPr>
          <w:rFonts w:eastAsiaTheme="minorEastAsia"/>
          <w:lang w:val="en-US"/>
        </w:rPr>
        <w:t>aktivasi</w:t>
      </w:r>
      <w:proofErr w:type="spellEnd"/>
      <w:r>
        <w:rPr>
          <w:rFonts w:eastAsiaTheme="minorEastAsia"/>
          <w:lang w:val="en-US"/>
        </w:rPr>
        <w:t xml:space="preserve"> nosiseptor.</w:t>
      </w:r>
      <w:r>
        <w:rPr>
          <w:rFonts w:eastAsiaTheme="minorEastAsia"/>
          <w:lang w:val="en-US"/>
        </w:rPr>
        <w:fldChar w:fldCharType="begin" w:fldLock="1"/>
      </w:r>
      <w:r>
        <w:rPr>
          <w:rFonts w:eastAsiaTheme="minorEastAsia"/>
          <w:lang w:val="en-US"/>
        </w:rPr>
        <w:instrText>ADDIN CSL_CITATION {"citationItems":[{"id":"ITEM-1","itemData":{"DOI":"10.1177/1744629517708680","ISSN":"17446309","PMID":"28502222","abstract":"The issue of pain warrants attention as, by virtue of having an intellectual disability, a person may have associated medical or physical conditions and associated factors increasing their risk of pain disorders. People with intellectual disability experiencing pain need to be provided with the best possible care. The focus of this article is on the exploration of pain: physiology and types; manifestations and responses in the context of intellectual disability in order to promote effective, knowledgeable assessment and management of pain for this client group. Pain is a subjective, complex, physiological and psychological phenomenon that can be acute or chronic and may be classified according to its cause. Within the experience of pain, the concept of total pain describes the physical, psychological, social and spiritual factors that influence the experience of pain.","author":[{"dropping-particle":"","family":"Doody","given":"Owen","non-dropping-particle":"","parse-names":false,"suffix":""},{"dropping-particle":"","family":"Bailey","given":"Maria E.","non-dropping-particle":"","parse-names":false,"suffix":""}],"container-title":"Journal of Intellectual Disabilities","id":"ITEM-1","issue":"1","issued":{"date-parts":[["2019"]]},"page":"5-18","title":"Understanding pain physiology and its application to person with intellectual disability","type":"article-journal","volume":"23"},"uris":["http://www.mendeley.com/documents/?uuid=2f13d603-c83b-4d72-9755-c7d205d10486"]}],"mendeley":{"formattedCitation":"&lt;sup&gt;36&lt;/sup&gt;","plainTextFormattedCitation":"36","previouslyFormattedCitation":"&lt;sup&gt;36&lt;/sup&gt;"},"properties":{"noteIndex":0},"schema":"https://github.com/citation-style-language/schema/raw/master/csl-citation.json"}</w:instrText>
      </w:r>
      <w:r>
        <w:rPr>
          <w:rFonts w:eastAsiaTheme="minorEastAsia"/>
          <w:lang w:val="en-US"/>
        </w:rPr>
        <w:fldChar w:fldCharType="separate"/>
      </w:r>
      <w:r>
        <w:rPr>
          <w:rFonts w:eastAsiaTheme="minorEastAsia"/>
          <w:noProof/>
          <w:vertAlign w:val="superscript"/>
          <w:lang w:val="en-US"/>
        </w:rPr>
        <w:t>36</w:t>
      </w:r>
      <w:r>
        <w:rPr>
          <w:rFonts w:eastAsiaTheme="minorEastAsia"/>
          <w:lang w:val="en-US"/>
        </w:rPr>
        <w:fldChar w:fldCharType="end"/>
      </w:r>
      <w:r>
        <w:rPr>
          <w:lang w:val="id-ID"/>
        </w:rPr>
        <w:t xml:space="preserve"> </w:t>
      </w:r>
      <w:r>
        <w:rPr>
          <w:color w:val="000000"/>
          <w:lang w:val="en-US"/>
        </w:rPr>
        <w:t xml:space="preserve">Nyeri </w:t>
      </w:r>
      <w:proofErr w:type="spellStart"/>
      <w:r>
        <w:rPr>
          <w:color w:val="000000"/>
          <w:lang w:val="en-US"/>
        </w:rPr>
        <w:t>nosiseptif</w:t>
      </w:r>
      <w:proofErr w:type="spellEnd"/>
      <w:r>
        <w:rPr>
          <w:color w:val="000000"/>
          <w:lang w:val="en-US"/>
        </w:rPr>
        <w:t xml:space="preserve"> dapat </w:t>
      </w:r>
      <w:proofErr w:type="spellStart"/>
      <w:r>
        <w:rPr>
          <w:color w:val="000000"/>
          <w:lang w:val="en-US"/>
        </w:rPr>
        <w:t>dibagi</w:t>
      </w:r>
      <w:proofErr w:type="spellEnd"/>
      <w:r>
        <w:rPr>
          <w:color w:val="000000"/>
          <w:lang w:val="en-US"/>
        </w:rPr>
        <w:t xml:space="preserve"> lagi </w:t>
      </w:r>
      <w:proofErr w:type="spellStart"/>
      <w:r>
        <w:rPr>
          <w:color w:val="000000"/>
          <w:lang w:val="en-US"/>
        </w:rPr>
        <w:t>menjadi</w:t>
      </w:r>
      <w:proofErr w:type="spellEnd"/>
      <w:r>
        <w:rPr>
          <w:color w:val="000000"/>
          <w:lang w:val="en-US"/>
        </w:rPr>
        <w:t xml:space="preserve"> </w:t>
      </w:r>
      <w:proofErr w:type="spellStart"/>
      <w:r>
        <w:rPr>
          <w:color w:val="000000"/>
          <w:lang w:val="en-US"/>
        </w:rPr>
        <w:t>nyeri</w:t>
      </w:r>
      <w:proofErr w:type="spellEnd"/>
      <w:r>
        <w:rPr>
          <w:color w:val="000000"/>
          <w:lang w:val="en-US"/>
        </w:rPr>
        <w:t xml:space="preserve"> </w:t>
      </w:r>
      <w:proofErr w:type="spellStart"/>
      <w:r>
        <w:rPr>
          <w:color w:val="000000"/>
          <w:lang w:val="en-US"/>
        </w:rPr>
        <w:t>somatik</w:t>
      </w:r>
      <w:proofErr w:type="spellEnd"/>
      <w:r>
        <w:rPr>
          <w:color w:val="000000"/>
          <w:lang w:val="en-US"/>
        </w:rPr>
        <w:t xml:space="preserve"> dan visceral. Nyeri </w:t>
      </w:r>
      <w:proofErr w:type="spellStart"/>
      <w:r>
        <w:rPr>
          <w:color w:val="000000"/>
          <w:lang w:val="en-US"/>
        </w:rPr>
        <w:t>somatik</w:t>
      </w:r>
      <w:proofErr w:type="spellEnd"/>
      <w:r>
        <w:rPr>
          <w:color w:val="000000"/>
          <w:lang w:val="en-US"/>
        </w:rPr>
        <w:t xml:space="preserve"> </w:t>
      </w:r>
      <w:proofErr w:type="spellStart"/>
      <w:r>
        <w:rPr>
          <w:color w:val="000000"/>
          <w:lang w:val="en-US"/>
        </w:rPr>
        <w:t>adalah</w:t>
      </w:r>
      <w:proofErr w:type="spellEnd"/>
      <w:r>
        <w:rPr>
          <w:color w:val="000000"/>
          <w:lang w:val="en-US"/>
        </w:rPr>
        <w:t xml:space="preserve"> </w:t>
      </w:r>
      <w:proofErr w:type="spellStart"/>
      <w:r>
        <w:rPr>
          <w:color w:val="000000"/>
          <w:lang w:val="en-US"/>
        </w:rPr>
        <w:t>nyeri</w:t>
      </w:r>
      <w:proofErr w:type="spellEnd"/>
      <w:r>
        <w:rPr>
          <w:color w:val="000000"/>
          <w:lang w:val="en-US"/>
        </w:rPr>
        <w:t xml:space="preserve"> </w:t>
      </w:r>
      <w:proofErr w:type="spellStart"/>
      <w:r>
        <w:rPr>
          <w:color w:val="000000"/>
          <w:lang w:val="en-US"/>
        </w:rPr>
        <w:t>superfisial</w:t>
      </w:r>
      <w:proofErr w:type="spellEnd"/>
      <w:r>
        <w:rPr>
          <w:color w:val="000000"/>
          <w:lang w:val="en-US"/>
        </w:rPr>
        <w:t xml:space="preserve"> atau dalam yang </w:t>
      </w:r>
      <w:proofErr w:type="spellStart"/>
      <w:r>
        <w:rPr>
          <w:color w:val="000000"/>
          <w:lang w:val="en-US"/>
        </w:rPr>
        <w:t>berasal</w:t>
      </w:r>
      <w:proofErr w:type="spellEnd"/>
      <w:r>
        <w:rPr>
          <w:color w:val="000000"/>
          <w:lang w:val="en-US"/>
        </w:rPr>
        <w:t xml:space="preserve"> </w:t>
      </w:r>
      <w:proofErr w:type="spellStart"/>
      <w:r>
        <w:rPr>
          <w:color w:val="000000"/>
          <w:lang w:val="en-US"/>
        </w:rPr>
        <w:t>dari</w:t>
      </w:r>
      <w:proofErr w:type="spellEnd"/>
      <w:r>
        <w:rPr>
          <w:color w:val="000000"/>
          <w:lang w:val="en-US"/>
        </w:rPr>
        <w:t xml:space="preserve"> </w:t>
      </w:r>
      <w:proofErr w:type="spellStart"/>
      <w:r>
        <w:rPr>
          <w:color w:val="000000"/>
          <w:lang w:val="en-US"/>
        </w:rPr>
        <w:t>jaringan</w:t>
      </w:r>
      <w:proofErr w:type="spellEnd"/>
      <w:r>
        <w:rPr>
          <w:color w:val="000000"/>
          <w:lang w:val="en-US"/>
        </w:rPr>
        <w:t xml:space="preserve"> </w:t>
      </w:r>
      <w:proofErr w:type="spellStart"/>
      <w:r>
        <w:rPr>
          <w:color w:val="000000"/>
          <w:lang w:val="en-US"/>
        </w:rPr>
        <w:t>perifer</w:t>
      </w:r>
      <w:proofErr w:type="spellEnd"/>
      <w:r>
        <w:rPr>
          <w:color w:val="000000"/>
          <w:lang w:val="en-US"/>
        </w:rPr>
        <w:t xml:space="preserve"> (</w:t>
      </w:r>
      <w:proofErr w:type="spellStart"/>
      <w:r>
        <w:rPr>
          <w:color w:val="000000"/>
          <w:lang w:val="en-US"/>
        </w:rPr>
        <w:t>misalnya</w:t>
      </w:r>
      <w:proofErr w:type="spellEnd"/>
      <w:r>
        <w:rPr>
          <w:color w:val="000000"/>
          <w:lang w:val="en-US"/>
        </w:rPr>
        <w:t xml:space="preserve"> </w:t>
      </w:r>
      <w:proofErr w:type="spellStart"/>
      <w:r>
        <w:rPr>
          <w:color w:val="000000"/>
          <w:lang w:val="en-US"/>
        </w:rPr>
        <w:t>kulit</w:t>
      </w:r>
      <w:proofErr w:type="spellEnd"/>
      <w:r>
        <w:rPr>
          <w:color w:val="000000"/>
          <w:lang w:val="en-US"/>
        </w:rPr>
        <w:t xml:space="preserve">, </w:t>
      </w:r>
      <w:proofErr w:type="spellStart"/>
      <w:r>
        <w:rPr>
          <w:color w:val="000000"/>
          <w:lang w:val="en-US"/>
        </w:rPr>
        <w:t>otot</w:t>
      </w:r>
      <w:proofErr w:type="spellEnd"/>
      <w:r>
        <w:rPr>
          <w:color w:val="000000"/>
          <w:lang w:val="en-US"/>
        </w:rPr>
        <w:t xml:space="preserve">, </w:t>
      </w:r>
      <w:proofErr w:type="spellStart"/>
      <w:r>
        <w:rPr>
          <w:color w:val="000000"/>
          <w:lang w:val="en-US"/>
        </w:rPr>
        <w:t>tulang</w:t>
      </w:r>
      <w:proofErr w:type="spellEnd"/>
      <w:r>
        <w:rPr>
          <w:color w:val="000000"/>
          <w:lang w:val="en-US"/>
        </w:rPr>
        <w:t xml:space="preserve">). Nyeri visceral </w:t>
      </w:r>
      <w:proofErr w:type="spellStart"/>
      <w:r>
        <w:rPr>
          <w:color w:val="000000"/>
          <w:lang w:val="en-US"/>
        </w:rPr>
        <w:t>berasal</w:t>
      </w:r>
      <w:proofErr w:type="spellEnd"/>
      <w:r>
        <w:rPr>
          <w:color w:val="000000"/>
          <w:lang w:val="en-US"/>
        </w:rPr>
        <w:t xml:space="preserve"> </w:t>
      </w:r>
      <w:proofErr w:type="spellStart"/>
      <w:r>
        <w:rPr>
          <w:color w:val="000000"/>
          <w:lang w:val="en-US"/>
        </w:rPr>
        <w:t>dari</w:t>
      </w:r>
      <w:proofErr w:type="spellEnd"/>
      <w:r>
        <w:rPr>
          <w:color w:val="000000"/>
          <w:lang w:val="en-US"/>
        </w:rPr>
        <w:t xml:space="preserve"> dalam </w:t>
      </w:r>
      <w:proofErr w:type="spellStart"/>
      <w:r>
        <w:rPr>
          <w:color w:val="000000"/>
          <w:lang w:val="en-US"/>
        </w:rPr>
        <w:t>perut</w:t>
      </w:r>
      <w:proofErr w:type="spellEnd"/>
      <w:r>
        <w:rPr>
          <w:color w:val="000000"/>
          <w:lang w:val="en-US"/>
        </w:rPr>
        <w:t xml:space="preserve"> atau organ tertentu.</w:t>
      </w:r>
      <w:r>
        <w:rPr>
          <w:color w:val="000000"/>
          <w:lang w:val="en-US"/>
        </w:rPr>
        <w:fldChar w:fldCharType="begin" w:fldLock="1"/>
      </w:r>
      <w:r>
        <w:rPr>
          <w:color w:val="000000"/>
          <w:lang w:val="en-US"/>
        </w:rPr>
        <w:instrText>ADDIN CSL_CITATION {"citationItems":[{"id":"ITEM-1","itemData":{"DOI":"10.1007/s40122-020-00217-w","ISSN":"2193651X","abstract":"Chronic pain is considered a public health priority by the World Health Organization and European health institutions. It has reached alarming proportions in terms of disability, consumption of health and social resources, and impact on primary and specialist care services. Primary care physicians are often called on to manage this condition. Chronic pain management can be challenging due to its complexity. It has traditionally been considered to include nociceptive pain that that persists longer than the normal healing time, neuropathic pain lasting more than 3 months, or a combination of these. More recently, a third descriptor, nociplastic (primary) pain, was added to classify patients with chronic pain conditions such as fibromyalgia, nonspecific back pain, or mixed pain that persists or other conditions in which altered central pain modulation results in central sensitization and chronic pain in the absence of actual or threatened damage to tissues, including in the somatosensory nervous system. This document provides an overview of pain types and their underlying mechanisms. Successful pain management is facilitated by identification of the pain type. A set of diagnostic tools and a pain algorithm are presented to guide the clinician toward the correct diagnosis. The algorithm identifies cases that may require referral to a pain specialist. Once the site of origin of the pain (the “pain generator”) is identified, or a primary pain syndrome is suspected, the accompanying article provides information and rationale to support treatment decisions based on patient characteristics.","author":[{"dropping-particle":"","family":"Bonezzi","given":"Cesare","non-dropping-particle":"","parse-names":false,"suffix":""},{"dropping-particle":"","family":"Fornasari","given":"Diego","non-dropping-particle":"","parse-names":false,"suffix":""},{"dropping-particle":"","family":"Cricelli","given":"Claudio","non-dropping-particle":"","parse-names":false,"suffix":""},{"dropping-particle":"","family":"Magni","given":"Alberto","non-dropping-particle":"","parse-names":false,"suffix":""},{"dropping-particle":"","family":"Ventriglia","given":"Giuseppe","non-dropping-particle":"","parse-names":false,"suffix":""}],"container-title":"Pain and Therapy","id":"ITEM-1","issue":"s1","issued":{"date-parts":[["2020"]]},"page":"1-15","publisher":"Springer Healthcare","title":"Not all pain is created equal: basic definitions and diagnostic work-up","type":"article-journal","volume":"9"},"uris":["http://www.mendeley.com/documents/?uuid=18005ee7-98f7-4cf2-95dc-cd524ea51bf0"]}],"mendeley":{"formattedCitation":"&lt;sup&gt;35&lt;/sup&gt;","plainTextFormattedCitation":"35","previouslyFormattedCitation":"&lt;sup&gt;35&lt;/sup&gt;"},"properties":{"noteIndex":0},"schema":"https://github.com/citation-style-language/schema/raw/master/csl-citation.json"}</w:instrText>
      </w:r>
      <w:r>
        <w:rPr>
          <w:color w:val="000000"/>
          <w:lang w:val="en-US"/>
        </w:rPr>
        <w:fldChar w:fldCharType="separate"/>
      </w:r>
      <w:r>
        <w:rPr>
          <w:noProof/>
          <w:color w:val="000000"/>
          <w:vertAlign w:val="superscript"/>
          <w:lang w:val="en-US"/>
        </w:rPr>
        <w:t>35</w:t>
      </w:r>
      <w:r>
        <w:rPr>
          <w:color w:val="000000"/>
          <w:lang w:val="en-US"/>
        </w:rPr>
        <w:fldChar w:fldCharType="end"/>
      </w:r>
      <w:r>
        <w:rPr>
          <w:lang w:val="id-ID"/>
        </w:rPr>
        <w:t xml:space="preserve"> </w:t>
      </w:r>
      <w:r>
        <w:rPr>
          <w:rFonts w:eastAsiaTheme="minorEastAsia"/>
          <w:lang w:val="en-US"/>
        </w:rPr>
        <w:t xml:space="preserve">Nyeri </w:t>
      </w:r>
      <w:proofErr w:type="spellStart"/>
      <w:r>
        <w:rPr>
          <w:rFonts w:eastAsiaTheme="minorEastAsia"/>
          <w:lang w:val="en-US"/>
        </w:rPr>
        <w:t>somatik</w:t>
      </w:r>
      <w:proofErr w:type="spellEnd"/>
      <w:r>
        <w:rPr>
          <w:rFonts w:eastAsiaTheme="minorEastAsia"/>
          <w:lang w:val="en-US"/>
        </w:rPr>
        <w:t xml:space="preserve"> </w:t>
      </w:r>
      <w:proofErr w:type="spellStart"/>
      <w:r>
        <w:rPr>
          <w:rFonts w:eastAsiaTheme="minorEastAsia"/>
          <w:lang w:val="en-US"/>
        </w:rPr>
        <w:t>timbul</w:t>
      </w:r>
      <w:proofErr w:type="spellEnd"/>
      <w:r>
        <w:rPr>
          <w:rFonts w:eastAsiaTheme="minorEastAsia"/>
          <w:lang w:val="en-US"/>
        </w:rPr>
        <w:t xml:space="preserve"> </w:t>
      </w:r>
      <w:proofErr w:type="spellStart"/>
      <w:r>
        <w:rPr>
          <w:rFonts w:eastAsiaTheme="minorEastAsia"/>
          <w:lang w:val="en-US"/>
        </w:rPr>
        <w:t>dari</w:t>
      </w:r>
      <w:proofErr w:type="spellEnd"/>
      <w:r>
        <w:rPr>
          <w:rFonts w:eastAsiaTheme="minorEastAsia"/>
          <w:lang w:val="en-US"/>
        </w:rPr>
        <w:t xml:space="preserve"> </w:t>
      </w:r>
      <w:proofErr w:type="spellStart"/>
      <w:r>
        <w:rPr>
          <w:rFonts w:eastAsiaTheme="minorEastAsia"/>
          <w:lang w:val="en-US"/>
        </w:rPr>
        <w:t>kulit</w:t>
      </w:r>
      <w:proofErr w:type="spellEnd"/>
      <w:r>
        <w:rPr>
          <w:rFonts w:eastAsiaTheme="minorEastAsia"/>
          <w:lang w:val="en-US"/>
        </w:rPr>
        <w:t xml:space="preserve"> atau </w:t>
      </w:r>
      <w:proofErr w:type="spellStart"/>
      <w:r>
        <w:rPr>
          <w:rFonts w:eastAsiaTheme="minorEastAsia"/>
          <w:lang w:val="en-US"/>
        </w:rPr>
        <w:t>jaringan</w:t>
      </w:r>
      <w:proofErr w:type="spellEnd"/>
      <w:r>
        <w:rPr>
          <w:rFonts w:eastAsiaTheme="minorEastAsia"/>
          <w:lang w:val="en-US"/>
        </w:rPr>
        <w:t xml:space="preserve"> dalam dan </w:t>
      </w:r>
      <w:proofErr w:type="spellStart"/>
      <w:r>
        <w:rPr>
          <w:rFonts w:eastAsiaTheme="minorEastAsia"/>
          <w:lang w:val="en-US"/>
        </w:rPr>
        <w:t>umumnya</w:t>
      </w:r>
      <w:proofErr w:type="spellEnd"/>
      <w:r>
        <w:rPr>
          <w:rFonts w:eastAsiaTheme="minorEastAsia"/>
          <w:lang w:val="en-US"/>
        </w:rPr>
        <w:t xml:space="preserve"> </w:t>
      </w:r>
      <w:proofErr w:type="spellStart"/>
      <w:r>
        <w:rPr>
          <w:rFonts w:eastAsiaTheme="minorEastAsia"/>
          <w:lang w:val="en-US"/>
        </w:rPr>
        <w:t>digambarkan</w:t>
      </w:r>
      <w:proofErr w:type="spellEnd"/>
      <w:r>
        <w:rPr>
          <w:rFonts w:eastAsiaTheme="minorEastAsia"/>
          <w:lang w:val="en-US"/>
        </w:rPr>
        <w:t xml:space="preserve"> </w:t>
      </w:r>
      <w:proofErr w:type="spellStart"/>
      <w:r>
        <w:rPr>
          <w:rFonts w:eastAsiaTheme="minorEastAsia"/>
          <w:lang w:val="en-US"/>
        </w:rPr>
        <w:t>sebagai</w:t>
      </w:r>
      <w:proofErr w:type="spellEnd"/>
      <w:r>
        <w:rPr>
          <w:rFonts w:eastAsiaTheme="minorEastAsia"/>
          <w:lang w:val="en-US"/>
        </w:rPr>
        <w:t xml:space="preserve"> </w:t>
      </w:r>
      <w:proofErr w:type="spellStart"/>
      <w:r>
        <w:rPr>
          <w:rFonts w:eastAsiaTheme="minorEastAsia"/>
          <w:lang w:val="en-US"/>
        </w:rPr>
        <w:t>nyeri</w:t>
      </w:r>
      <w:proofErr w:type="spellEnd"/>
      <w:r>
        <w:rPr>
          <w:rFonts w:eastAsiaTheme="minorEastAsia"/>
          <w:lang w:val="en-US"/>
        </w:rPr>
        <w:t xml:space="preserve"> </w:t>
      </w:r>
      <w:proofErr w:type="spellStart"/>
      <w:r>
        <w:rPr>
          <w:rFonts w:eastAsiaTheme="minorEastAsia"/>
          <w:lang w:val="en-US"/>
        </w:rPr>
        <w:t>terlokalisir</w:t>
      </w:r>
      <w:proofErr w:type="spellEnd"/>
      <w:r>
        <w:rPr>
          <w:rFonts w:eastAsiaTheme="minorEastAsia"/>
          <w:lang w:val="en-US"/>
        </w:rPr>
        <w:t xml:space="preserve">, </w:t>
      </w:r>
      <w:proofErr w:type="spellStart"/>
      <w:r>
        <w:rPr>
          <w:rFonts w:eastAsiaTheme="minorEastAsia"/>
          <w:lang w:val="en-US"/>
        </w:rPr>
        <w:t>seringkali</w:t>
      </w:r>
      <w:proofErr w:type="spellEnd"/>
      <w:r>
        <w:rPr>
          <w:rFonts w:eastAsiaTheme="minorEastAsia"/>
          <w:lang w:val="en-US"/>
        </w:rPr>
        <w:t xml:space="preserve"> </w:t>
      </w:r>
      <w:proofErr w:type="spellStart"/>
      <w:r>
        <w:rPr>
          <w:rFonts w:eastAsiaTheme="minorEastAsia"/>
          <w:lang w:val="en-US"/>
        </w:rPr>
        <w:t>konstan</w:t>
      </w:r>
      <w:proofErr w:type="spellEnd"/>
      <w:r>
        <w:rPr>
          <w:rFonts w:eastAsiaTheme="minorEastAsia"/>
          <w:lang w:val="en-US"/>
        </w:rPr>
        <w:t xml:space="preserve">, </w:t>
      </w:r>
      <w:proofErr w:type="spellStart"/>
      <w:r>
        <w:rPr>
          <w:rFonts w:eastAsiaTheme="minorEastAsia"/>
          <w:lang w:val="en-US"/>
        </w:rPr>
        <w:t>mungkin</w:t>
      </w:r>
      <w:proofErr w:type="spellEnd"/>
      <w:r>
        <w:rPr>
          <w:rFonts w:eastAsiaTheme="minorEastAsia"/>
          <w:lang w:val="en-US"/>
        </w:rPr>
        <w:t xml:space="preserve"> </w:t>
      </w:r>
      <w:proofErr w:type="spellStart"/>
      <w:r>
        <w:rPr>
          <w:rFonts w:eastAsiaTheme="minorEastAsia"/>
          <w:lang w:val="en-US"/>
        </w:rPr>
        <w:t>tumpul</w:t>
      </w:r>
      <w:proofErr w:type="spellEnd"/>
      <w:r>
        <w:rPr>
          <w:rFonts w:eastAsiaTheme="minorEastAsia"/>
          <w:lang w:val="en-US"/>
        </w:rPr>
        <w:t xml:space="preserve"> atau </w:t>
      </w:r>
      <w:proofErr w:type="spellStart"/>
      <w:r>
        <w:rPr>
          <w:rFonts w:eastAsiaTheme="minorEastAsia"/>
          <w:lang w:val="en-US"/>
        </w:rPr>
        <w:t>tajam</w:t>
      </w:r>
      <w:proofErr w:type="spellEnd"/>
      <w:r>
        <w:rPr>
          <w:rFonts w:eastAsiaTheme="minorEastAsia"/>
          <w:lang w:val="en-US"/>
        </w:rPr>
        <w:t xml:space="preserve">, </w:t>
      </w:r>
      <w:proofErr w:type="spellStart"/>
      <w:r>
        <w:rPr>
          <w:rFonts w:eastAsiaTheme="minorEastAsia"/>
          <w:lang w:val="en-US"/>
        </w:rPr>
        <w:t>seringkali</w:t>
      </w:r>
      <w:proofErr w:type="spellEnd"/>
      <w:r>
        <w:rPr>
          <w:rFonts w:eastAsiaTheme="minorEastAsia"/>
          <w:lang w:val="en-US"/>
        </w:rPr>
        <w:t xml:space="preserve"> </w:t>
      </w:r>
      <w:proofErr w:type="spellStart"/>
      <w:r>
        <w:rPr>
          <w:rFonts w:eastAsiaTheme="minorEastAsia"/>
          <w:lang w:val="en-US"/>
        </w:rPr>
        <w:t>memburuk</w:t>
      </w:r>
      <w:proofErr w:type="spellEnd"/>
      <w:r>
        <w:rPr>
          <w:rFonts w:eastAsiaTheme="minorEastAsia"/>
          <w:lang w:val="en-US"/>
        </w:rPr>
        <w:t xml:space="preserve"> dengan </w:t>
      </w:r>
      <w:proofErr w:type="spellStart"/>
      <w:r>
        <w:rPr>
          <w:rFonts w:eastAsiaTheme="minorEastAsia"/>
          <w:lang w:val="en-US"/>
        </w:rPr>
        <w:t>gerakan</w:t>
      </w:r>
      <w:proofErr w:type="spellEnd"/>
      <w:r>
        <w:rPr>
          <w:rFonts w:eastAsiaTheme="minorEastAsia"/>
          <w:lang w:val="en-US"/>
        </w:rPr>
        <w:t xml:space="preserve">. </w:t>
      </w:r>
      <w:proofErr w:type="spellStart"/>
      <w:r>
        <w:rPr>
          <w:rFonts w:eastAsiaTheme="minorEastAsia"/>
          <w:lang w:val="en-US"/>
        </w:rPr>
        <w:t>Contoh</w:t>
      </w:r>
      <w:proofErr w:type="spellEnd"/>
      <w:r>
        <w:rPr>
          <w:rFonts w:eastAsiaTheme="minorEastAsia"/>
          <w:lang w:val="en-US"/>
        </w:rPr>
        <w:t xml:space="preserve"> </w:t>
      </w:r>
      <w:proofErr w:type="spellStart"/>
      <w:r>
        <w:rPr>
          <w:rFonts w:eastAsiaTheme="minorEastAsia"/>
          <w:lang w:val="en-US"/>
        </w:rPr>
        <w:t>sumber</w:t>
      </w:r>
      <w:proofErr w:type="spellEnd"/>
      <w:r>
        <w:rPr>
          <w:rFonts w:eastAsiaTheme="minorEastAsia"/>
          <w:lang w:val="en-US"/>
        </w:rPr>
        <w:t xml:space="preserve"> </w:t>
      </w:r>
      <w:proofErr w:type="spellStart"/>
      <w:r>
        <w:rPr>
          <w:rFonts w:eastAsiaTheme="minorEastAsia"/>
          <w:lang w:val="en-US"/>
        </w:rPr>
        <w:t>nyeri</w:t>
      </w:r>
      <w:proofErr w:type="spellEnd"/>
      <w:r>
        <w:rPr>
          <w:rFonts w:eastAsiaTheme="minorEastAsia"/>
          <w:lang w:val="en-US"/>
        </w:rPr>
        <w:t xml:space="preserve"> </w:t>
      </w:r>
      <w:proofErr w:type="spellStart"/>
      <w:r>
        <w:rPr>
          <w:rFonts w:eastAsiaTheme="minorEastAsia"/>
          <w:lang w:val="en-US"/>
        </w:rPr>
        <w:t>somatik</w:t>
      </w:r>
      <w:proofErr w:type="spellEnd"/>
      <w:r>
        <w:rPr>
          <w:rFonts w:eastAsiaTheme="minorEastAsia"/>
          <w:lang w:val="en-US"/>
        </w:rPr>
        <w:t xml:space="preserve"> </w:t>
      </w:r>
      <w:proofErr w:type="spellStart"/>
      <w:r>
        <w:rPr>
          <w:rFonts w:eastAsiaTheme="minorEastAsia"/>
          <w:lang w:val="en-US"/>
        </w:rPr>
        <w:t>antara</w:t>
      </w:r>
      <w:proofErr w:type="spellEnd"/>
      <w:r>
        <w:rPr>
          <w:rFonts w:eastAsiaTheme="minorEastAsia"/>
          <w:lang w:val="en-US"/>
        </w:rPr>
        <w:t xml:space="preserve"> lain </w:t>
      </w:r>
      <w:proofErr w:type="spellStart"/>
      <w:r>
        <w:rPr>
          <w:rFonts w:eastAsiaTheme="minorEastAsia"/>
          <w:lang w:val="en-US"/>
        </w:rPr>
        <w:t>tulang</w:t>
      </w:r>
      <w:proofErr w:type="spellEnd"/>
      <w:r>
        <w:rPr>
          <w:rFonts w:eastAsiaTheme="minorEastAsia"/>
          <w:lang w:val="en-US"/>
        </w:rPr>
        <w:t xml:space="preserve"> dan </w:t>
      </w:r>
      <w:proofErr w:type="spellStart"/>
      <w:r>
        <w:rPr>
          <w:rFonts w:eastAsiaTheme="minorEastAsia"/>
          <w:lang w:val="en-US"/>
        </w:rPr>
        <w:t>jaringan</w:t>
      </w:r>
      <w:proofErr w:type="spellEnd"/>
      <w:r>
        <w:rPr>
          <w:rFonts w:eastAsiaTheme="minorEastAsia"/>
          <w:lang w:val="en-US"/>
        </w:rPr>
        <w:t xml:space="preserve"> </w:t>
      </w:r>
      <w:proofErr w:type="spellStart"/>
      <w:r>
        <w:rPr>
          <w:rFonts w:eastAsiaTheme="minorEastAsia"/>
          <w:lang w:val="en-US"/>
        </w:rPr>
        <w:t>lunak</w:t>
      </w:r>
      <w:proofErr w:type="spellEnd"/>
      <w:r>
        <w:rPr>
          <w:rFonts w:eastAsiaTheme="minorEastAsia"/>
          <w:lang w:val="en-US"/>
        </w:rPr>
        <w:t xml:space="preserve">. Nyeri </w:t>
      </w:r>
      <w:proofErr w:type="spellStart"/>
      <w:r>
        <w:rPr>
          <w:rFonts w:eastAsiaTheme="minorEastAsia"/>
          <w:lang w:val="en-US"/>
        </w:rPr>
        <w:t>viseral</w:t>
      </w:r>
      <w:proofErr w:type="spellEnd"/>
      <w:r>
        <w:rPr>
          <w:rFonts w:eastAsiaTheme="minorEastAsia"/>
          <w:lang w:val="en-US"/>
        </w:rPr>
        <w:t xml:space="preserve"> </w:t>
      </w:r>
      <w:proofErr w:type="spellStart"/>
      <w:r>
        <w:rPr>
          <w:rFonts w:eastAsiaTheme="minorEastAsia"/>
          <w:lang w:val="en-US"/>
        </w:rPr>
        <w:t>menggambarkan</w:t>
      </w:r>
      <w:proofErr w:type="spellEnd"/>
      <w:r>
        <w:rPr>
          <w:rFonts w:eastAsiaTheme="minorEastAsia"/>
          <w:lang w:val="en-US"/>
        </w:rPr>
        <w:t xml:space="preserve"> </w:t>
      </w:r>
      <w:proofErr w:type="spellStart"/>
      <w:r>
        <w:rPr>
          <w:rFonts w:eastAsiaTheme="minorEastAsia"/>
          <w:lang w:val="en-US"/>
        </w:rPr>
        <w:t>nyeri</w:t>
      </w:r>
      <w:proofErr w:type="spellEnd"/>
      <w:r>
        <w:rPr>
          <w:rFonts w:eastAsiaTheme="minorEastAsia"/>
          <w:lang w:val="en-US"/>
        </w:rPr>
        <w:t xml:space="preserve"> yang </w:t>
      </w:r>
      <w:proofErr w:type="spellStart"/>
      <w:r>
        <w:rPr>
          <w:rFonts w:eastAsiaTheme="minorEastAsia"/>
          <w:lang w:val="en-US"/>
        </w:rPr>
        <w:t>timbul</w:t>
      </w:r>
      <w:proofErr w:type="spellEnd"/>
      <w:r>
        <w:rPr>
          <w:rFonts w:eastAsiaTheme="minorEastAsia"/>
          <w:lang w:val="en-US"/>
        </w:rPr>
        <w:t xml:space="preserve"> </w:t>
      </w:r>
      <w:proofErr w:type="spellStart"/>
      <w:r>
        <w:rPr>
          <w:rFonts w:eastAsiaTheme="minorEastAsia"/>
          <w:lang w:val="en-US"/>
        </w:rPr>
        <w:t>dari</w:t>
      </w:r>
      <w:proofErr w:type="spellEnd"/>
      <w:r>
        <w:rPr>
          <w:rFonts w:eastAsiaTheme="minorEastAsia"/>
          <w:lang w:val="en-US"/>
        </w:rPr>
        <w:t xml:space="preserve"> </w:t>
      </w:r>
      <w:proofErr w:type="spellStart"/>
      <w:r>
        <w:rPr>
          <w:rFonts w:eastAsiaTheme="minorEastAsia"/>
          <w:lang w:val="en-US"/>
        </w:rPr>
        <w:t>visera</w:t>
      </w:r>
      <w:proofErr w:type="spellEnd"/>
      <w:r>
        <w:rPr>
          <w:rFonts w:eastAsiaTheme="minorEastAsia"/>
          <w:lang w:val="en-US"/>
        </w:rPr>
        <w:t xml:space="preserve"> </w:t>
      </w:r>
      <w:proofErr w:type="spellStart"/>
      <w:r>
        <w:rPr>
          <w:rFonts w:eastAsiaTheme="minorEastAsia"/>
          <w:lang w:val="en-US"/>
        </w:rPr>
        <w:t>toraks</w:t>
      </w:r>
      <w:proofErr w:type="spellEnd"/>
      <w:r>
        <w:rPr>
          <w:rFonts w:eastAsiaTheme="minorEastAsia"/>
          <w:lang w:val="en-US"/>
        </w:rPr>
        <w:t xml:space="preserve"> atau abdomen. Rasa </w:t>
      </w:r>
      <w:proofErr w:type="spellStart"/>
      <w:r>
        <w:rPr>
          <w:rFonts w:eastAsiaTheme="minorEastAsia"/>
          <w:lang w:val="en-US"/>
        </w:rPr>
        <w:t>sakit</w:t>
      </w:r>
      <w:proofErr w:type="spellEnd"/>
      <w:r>
        <w:rPr>
          <w:rFonts w:eastAsiaTheme="minorEastAsia"/>
          <w:lang w:val="en-US"/>
        </w:rPr>
        <w:t xml:space="preserve"> </w:t>
      </w:r>
      <w:proofErr w:type="spellStart"/>
      <w:r>
        <w:rPr>
          <w:rFonts w:eastAsiaTheme="minorEastAsia"/>
          <w:lang w:val="en-US"/>
        </w:rPr>
        <w:t>dialami</w:t>
      </w:r>
      <w:proofErr w:type="spellEnd"/>
      <w:r>
        <w:rPr>
          <w:rFonts w:eastAsiaTheme="minorEastAsia"/>
          <w:lang w:val="en-US"/>
        </w:rPr>
        <w:t xml:space="preserve"> dan </w:t>
      </w:r>
      <w:proofErr w:type="spellStart"/>
      <w:r>
        <w:rPr>
          <w:rFonts w:eastAsiaTheme="minorEastAsia"/>
          <w:lang w:val="en-US"/>
        </w:rPr>
        <w:t>digambarkan</w:t>
      </w:r>
      <w:proofErr w:type="spellEnd"/>
      <w:r>
        <w:rPr>
          <w:rFonts w:eastAsiaTheme="minorEastAsia"/>
          <w:lang w:val="en-US"/>
        </w:rPr>
        <w:t xml:space="preserve"> </w:t>
      </w:r>
      <w:proofErr w:type="spellStart"/>
      <w:r>
        <w:rPr>
          <w:rFonts w:eastAsiaTheme="minorEastAsia"/>
          <w:lang w:val="en-US"/>
        </w:rPr>
        <w:t>sebagai</w:t>
      </w:r>
      <w:proofErr w:type="spellEnd"/>
      <w:r>
        <w:rPr>
          <w:rFonts w:eastAsiaTheme="minorEastAsia"/>
          <w:lang w:val="en-US"/>
        </w:rPr>
        <w:t xml:space="preserve"> </w:t>
      </w:r>
      <w:proofErr w:type="spellStart"/>
      <w:r>
        <w:rPr>
          <w:rFonts w:eastAsiaTheme="minorEastAsia"/>
          <w:lang w:val="en-US"/>
        </w:rPr>
        <w:t>konstan</w:t>
      </w:r>
      <w:proofErr w:type="spellEnd"/>
      <w:r>
        <w:rPr>
          <w:rFonts w:eastAsiaTheme="minorEastAsia"/>
          <w:lang w:val="en-US"/>
        </w:rPr>
        <w:t xml:space="preserve"> atau </w:t>
      </w:r>
      <w:proofErr w:type="spellStart"/>
      <w:r>
        <w:rPr>
          <w:rFonts w:eastAsiaTheme="minorEastAsia"/>
          <w:lang w:val="en-US"/>
        </w:rPr>
        <w:t>kram</w:t>
      </w:r>
      <w:proofErr w:type="spellEnd"/>
      <w:r>
        <w:rPr>
          <w:rFonts w:eastAsiaTheme="minorEastAsia"/>
          <w:lang w:val="en-US"/>
        </w:rPr>
        <w:t xml:space="preserve">, </w:t>
      </w:r>
      <w:proofErr w:type="spellStart"/>
      <w:r>
        <w:rPr>
          <w:rFonts w:eastAsiaTheme="minorEastAsia"/>
          <w:lang w:val="en-US"/>
        </w:rPr>
        <w:t>sakit</w:t>
      </w:r>
      <w:proofErr w:type="spellEnd"/>
      <w:r>
        <w:rPr>
          <w:rFonts w:eastAsiaTheme="minorEastAsia"/>
          <w:lang w:val="en-US"/>
        </w:rPr>
        <w:t xml:space="preserve"> atau </w:t>
      </w:r>
      <w:proofErr w:type="spellStart"/>
      <w:r>
        <w:rPr>
          <w:rFonts w:eastAsiaTheme="minorEastAsia"/>
          <w:lang w:val="en-US"/>
        </w:rPr>
        <w:t>dirujuk</w:t>
      </w:r>
      <w:proofErr w:type="spellEnd"/>
      <w:r>
        <w:rPr>
          <w:rFonts w:eastAsiaTheme="minorEastAsia"/>
          <w:lang w:val="en-US"/>
        </w:rPr>
        <w:t xml:space="preserve">. Jenis rasa </w:t>
      </w:r>
      <w:proofErr w:type="spellStart"/>
      <w:r>
        <w:rPr>
          <w:rFonts w:eastAsiaTheme="minorEastAsia"/>
          <w:lang w:val="en-US"/>
        </w:rPr>
        <w:t>sakit</w:t>
      </w:r>
      <w:proofErr w:type="spellEnd"/>
      <w:r>
        <w:rPr>
          <w:rFonts w:eastAsiaTheme="minorEastAsia"/>
          <w:lang w:val="en-US"/>
        </w:rPr>
        <w:t xml:space="preserve"> ini </w:t>
      </w:r>
      <w:proofErr w:type="spellStart"/>
      <w:r>
        <w:rPr>
          <w:rFonts w:eastAsiaTheme="minorEastAsia"/>
          <w:lang w:val="en-US"/>
        </w:rPr>
        <w:t>digambarkan</w:t>
      </w:r>
      <w:proofErr w:type="spellEnd"/>
      <w:r>
        <w:rPr>
          <w:rFonts w:eastAsiaTheme="minorEastAsia"/>
          <w:lang w:val="en-US"/>
        </w:rPr>
        <w:t xml:space="preserve"> </w:t>
      </w:r>
      <w:proofErr w:type="spellStart"/>
      <w:r>
        <w:rPr>
          <w:rFonts w:eastAsiaTheme="minorEastAsia"/>
          <w:lang w:val="en-US"/>
        </w:rPr>
        <w:t>sebagai</w:t>
      </w:r>
      <w:proofErr w:type="spellEnd"/>
      <w:r>
        <w:rPr>
          <w:rFonts w:eastAsiaTheme="minorEastAsia"/>
          <w:lang w:val="en-US"/>
        </w:rPr>
        <w:t xml:space="preserve"> tidak </w:t>
      </w:r>
      <w:proofErr w:type="spellStart"/>
      <w:r>
        <w:rPr>
          <w:rFonts w:eastAsiaTheme="minorEastAsia"/>
          <w:lang w:val="en-US"/>
        </w:rPr>
        <w:t>terlokalisir</w:t>
      </w:r>
      <w:proofErr w:type="spellEnd"/>
      <w:r>
        <w:rPr>
          <w:rFonts w:eastAsiaTheme="minorEastAsia"/>
          <w:lang w:val="en-US"/>
        </w:rPr>
        <w:t xml:space="preserve"> dengan </w:t>
      </w:r>
      <w:proofErr w:type="spellStart"/>
      <w:r>
        <w:rPr>
          <w:rFonts w:eastAsiaTheme="minorEastAsia"/>
          <w:lang w:val="en-US"/>
        </w:rPr>
        <w:t>baik</w:t>
      </w:r>
      <w:proofErr w:type="spellEnd"/>
      <w:r>
        <w:rPr>
          <w:rFonts w:eastAsiaTheme="minorEastAsia"/>
          <w:lang w:val="en-US"/>
        </w:rPr>
        <w:t xml:space="preserve">; </w:t>
      </w:r>
      <w:proofErr w:type="spellStart"/>
      <w:r>
        <w:rPr>
          <w:rFonts w:eastAsiaTheme="minorEastAsia"/>
          <w:lang w:val="en-US"/>
        </w:rPr>
        <w:t>seseorang</w:t>
      </w:r>
      <w:proofErr w:type="spellEnd"/>
      <w:r>
        <w:rPr>
          <w:rFonts w:eastAsiaTheme="minorEastAsia"/>
          <w:lang w:val="en-US"/>
        </w:rPr>
        <w:t xml:space="preserve"> dengan </w:t>
      </w:r>
      <w:proofErr w:type="spellStart"/>
      <w:r>
        <w:rPr>
          <w:rFonts w:eastAsiaTheme="minorEastAsia"/>
          <w:lang w:val="en-US"/>
        </w:rPr>
        <w:t>nyeri</w:t>
      </w:r>
      <w:proofErr w:type="spellEnd"/>
      <w:r>
        <w:rPr>
          <w:rFonts w:eastAsiaTheme="minorEastAsia"/>
          <w:lang w:val="en-US"/>
        </w:rPr>
        <w:t xml:space="preserve"> visceral </w:t>
      </w:r>
      <w:proofErr w:type="spellStart"/>
      <w:r>
        <w:rPr>
          <w:rFonts w:eastAsiaTheme="minorEastAsia"/>
          <w:lang w:val="en-US"/>
        </w:rPr>
        <w:t>mungkin</w:t>
      </w:r>
      <w:proofErr w:type="spellEnd"/>
      <w:r>
        <w:rPr>
          <w:rFonts w:eastAsiaTheme="minorEastAsia"/>
          <w:lang w:val="en-US"/>
        </w:rPr>
        <w:t xml:space="preserve"> </w:t>
      </w:r>
      <w:proofErr w:type="spellStart"/>
      <w:r>
        <w:rPr>
          <w:rFonts w:eastAsiaTheme="minorEastAsia"/>
          <w:lang w:val="en-US"/>
        </w:rPr>
        <w:t>menggosok</w:t>
      </w:r>
      <w:proofErr w:type="spellEnd"/>
      <w:r>
        <w:rPr>
          <w:rFonts w:eastAsiaTheme="minorEastAsia"/>
          <w:lang w:val="en-US"/>
        </w:rPr>
        <w:t xml:space="preserve"> </w:t>
      </w:r>
      <w:proofErr w:type="spellStart"/>
      <w:r>
        <w:rPr>
          <w:rFonts w:eastAsiaTheme="minorEastAsia"/>
          <w:lang w:val="en-US"/>
        </w:rPr>
        <w:t>perutnya</w:t>
      </w:r>
      <w:proofErr w:type="spellEnd"/>
      <w:r>
        <w:rPr>
          <w:rFonts w:eastAsiaTheme="minorEastAsia"/>
          <w:lang w:val="en-US"/>
        </w:rPr>
        <w:t xml:space="preserve"> yang </w:t>
      </w:r>
      <w:proofErr w:type="spellStart"/>
      <w:r>
        <w:rPr>
          <w:rFonts w:eastAsiaTheme="minorEastAsia"/>
          <w:lang w:val="en-US"/>
        </w:rPr>
        <w:t>menunjukkan</w:t>
      </w:r>
      <w:proofErr w:type="spellEnd"/>
      <w:r>
        <w:rPr>
          <w:rFonts w:eastAsiaTheme="minorEastAsia"/>
          <w:lang w:val="en-US"/>
        </w:rPr>
        <w:t xml:space="preserve"> </w:t>
      </w:r>
      <w:proofErr w:type="spellStart"/>
      <w:r>
        <w:rPr>
          <w:rFonts w:eastAsiaTheme="minorEastAsia"/>
          <w:lang w:val="en-US"/>
        </w:rPr>
        <w:t>bahwa</w:t>
      </w:r>
      <w:proofErr w:type="spellEnd"/>
      <w:r>
        <w:rPr>
          <w:rFonts w:eastAsiaTheme="minorEastAsia"/>
          <w:lang w:val="en-US"/>
        </w:rPr>
        <w:t xml:space="preserve"> </w:t>
      </w:r>
      <w:proofErr w:type="spellStart"/>
      <w:r>
        <w:rPr>
          <w:rFonts w:eastAsiaTheme="minorEastAsia"/>
          <w:lang w:val="en-US"/>
        </w:rPr>
        <w:t>nyeri</w:t>
      </w:r>
      <w:proofErr w:type="spellEnd"/>
      <w:r>
        <w:rPr>
          <w:rFonts w:eastAsiaTheme="minorEastAsia"/>
          <w:lang w:val="en-US"/>
        </w:rPr>
        <w:t xml:space="preserve"> itu bergerak.</w:t>
      </w:r>
      <w:r>
        <w:rPr>
          <w:rFonts w:eastAsiaTheme="minorEastAsia"/>
          <w:lang w:val="en-US"/>
        </w:rPr>
        <w:fldChar w:fldCharType="begin" w:fldLock="1"/>
      </w:r>
      <w:r>
        <w:rPr>
          <w:rFonts w:eastAsiaTheme="minorEastAsia"/>
          <w:lang w:val="en-US"/>
        </w:rPr>
        <w:instrText>ADDIN CSL_CITATION {"citationItems":[{"id":"ITEM-1","itemData":{"DOI":"10.1177/1744629517708680","ISSN":"17446309","PMID":"28502222","abstract":"The issue of pain warrants attention as, by virtue of having an intellectual disability, a person may have associated medical or physical conditions and associated factors increasing their risk of pain disorders. People with intellectual disability experiencing pain need to be provided with the best possible care. The focus of this article is on the exploration of pain: physiology and types; manifestations and responses in the context of intellectual disability in order to promote effective, knowledgeable assessment and management of pain for this client group. Pain is a subjective, complex, physiological and psychological phenomenon that can be acute or chronic and may be classified according to its cause. Within the experience of pain, the concept of total pain describes the physical, psychological, social and spiritual factors that influence the experience of pain.","author":[{"dropping-particle":"","family":"Doody","given":"Owen","non-dropping-particle":"","parse-names":false,"suffix":""},{"dropping-particle":"","family":"Bailey","given":"Maria E.","non-dropping-particle":"","parse-names":false,"suffix":""}],"container-title":"Journal of Intellectual Disabilities","id":"ITEM-1","issue":"1","issued":{"date-parts":[["2019"]]},"page":"5-18","title":"Understanding pain physiology and its application to person with intellectual disability","type":"article-journal","volume":"23"},"uris":["http://www.mendeley.com/documents/?uuid=2f13d603-c83b-4d72-9755-c7d205d10486"]}],"mendeley":{"formattedCitation":"&lt;sup&gt;36&lt;/sup&gt;","plainTextFormattedCitation":"36","previouslyFormattedCitation":"&lt;sup&gt;36&lt;/sup&gt;"},"properties":{"noteIndex":0},"schema":"https://github.com/citation-style-language/schema/raw/master/csl-citation.json"}</w:instrText>
      </w:r>
      <w:r>
        <w:rPr>
          <w:rFonts w:eastAsiaTheme="minorEastAsia"/>
          <w:lang w:val="en-US"/>
        </w:rPr>
        <w:fldChar w:fldCharType="separate"/>
      </w:r>
      <w:r>
        <w:rPr>
          <w:rFonts w:eastAsiaTheme="minorEastAsia"/>
          <w:noProof/>
          <w:vertAlign w:val="superscript"/>
          <w:lang w:val="en-US"/>
        </w:rPr>
        <w:t>36</w:t>
      </w:r>
      <w:r>
        <w:rPr>
          <w:rFonts w:eastAsiaTheme="minorEastAsia"/>
          <w:lang w:val="en-US"/>
        </w:rPr>
        <w:fldChar w:fldCharType="end"/>
      </w:r>
    </w:p>
    <w:p w14:paraId="5EE39AFE" w14:textId="77777777" w:rsidR="003B79BC" w:rsidRDefault="00000000">
      <w:pPr>
        <w:spacing w:line="360" w:lineRule="auto"/>
        <w:ind w:firstLine="709"/>
        <w:jc w:val="both"/>
        <w:rPr>
          <w:rFonts w:eastAsiaTheme="minorEastAsia"/>
          <w:lang w:val="en-US"/>
        </w:rPr>
      </w:pPr>
      <w:r>
        <w:rPr>
          <w:rFonts w:eastAsiaTheme="minorEastAsia"/>
          <w:lang w:val="en-US"/>
        </w:rPr>
        <w:t xml:space="preserve">Ada </w:t>
      </w:r>
      <w:proofErr w:type="spellStart"/>
      <w:r>
        <w:rPr>
          <w:rFonts w:eastAsiaTheme="minorEastAsia"/>
          <w:lang w:val="en-US"/>
        </w:rPr>
        <w:t>tiga</w:t>
      </w:r>
      <w:proofErr w:type="spellEnd"/>
      <w:r>
        <w:rPr>
          <w:rFonts w:eastAsiaTheme="minorEastAsia"/>
          <w:lang w:val="en-US"/>
        </w:rPr>
        <w:t xml:space="preserve"> </w:t>
      </w:r>
      <w:proofErr w:type="spellStart"/>
      <w:r>
        <w:rPr>
          <w:rFonts w:eastAsiaTheme="minorEastAsia"/>
          <w:lang w:val="en-US"/>
        </w:rPr>
        <w:t>tipe</w:t>
      </w:r>
      <w:proofErr w:type="spellEnd"/>
      <w:r>
        <w:rPr>
          <w:rFonts w:eastAsiaTheme="minorEastAsia"/>
          <w:lang w:val="en-US"/>
        </w:rPr>
        <w:t xml:space="preserve"> </w:t>
      </w:r>
      <w:proofErr w:type="spellStart"/>
      <w:r>
        <w:rPr>
          <w:rFonts w:eastAsiaTheme="minorEastAsia"/>
          <w:lang w:val="en-US"/>
        </w:rPr>
        <w:t>dasar</w:t>
      </w:r>
      <w:proofErr w:type="spellEnd"/>
      <w:r>
        <w:rPr>
          <w:rFonts w:eastAsiaTheme="minorEastAsia"/>
          <w:lang w:val="en-US"/>
        </w:rPr>
        <w:t xml:space="preserve"> </w:t>
      </w:r>
      <w:proofErr w:type="spellStart"/>
      <w:r>
        <w:rPr>
          <w:rFonts w:eastAsiaTheme="minorEastAsia"/>
          <w:lang w:val="en-US"/>
        </w:rPr>
        <w:t>reseptor</w:t>
      </w:r>
      <w:proofErr w:type="spellEnd"/>
      <w:r>
        <w:rPr>
          <w:rFonts w:eastAsiaTheme="minorEastAsia"/>
          <w:lang w:val="en-US"/>
        </w:rPr>
        <w:t xml:space="preserve"> </w:t>
      </w:r>
      <w:proofErr w:type="spellStart"/>
      <w:r>
        <w:rPr>
          <w:rFonts w:eastAsiaTheme="minorEastAsia"/>
          <w:lang w:val="en-US"/>
        </w:rPr>
        <w:t>nosiseptif</w:t>
      </w:r>
      <w:proofErr w:type="spellEnd"/>
      <w:r>
        <w:rPr>
          <w:rFonts w:eastAsiaTheme="minorEastAsia"/>
          <w:lang w:val="en-US"/>
        </w:rPr>
        <w:t xml:space="preserve">, </w:t>
      </w:r>
      <w:proofErr w:type="spellStart"/>
      <w:r>
        <w:rPr>
          <w:rFonts w:eastAsiaTheme="minorEastAsia"/>
          <w:lang w:val="en-US"/>
        </w:rPr>
        <w:t>yaitu</w:t>
      </w:r>
      <w:proofErr w:type="spellEnd"/>
      <w:r>
        <w:rPr>
          <w:rFonts w:eastAsiaTheme="minorEastAsia"/>
          <w:lang w:val="en-US"/>
        </w:rPr>
        <w:t xml:space="preserve"> </w:t>
      </w:r>
      <w:proofErr w:type="spellStart"/>
      <w:r>
        <w:rPr>
          <w:rFonts w:eastAsiaTheme="minorEastAsia"/>
          <w:lang w:val="en-US"/>
        </w:rPr>
        <w:t>termal</w:t>
      </w:r>
      <w:proofErr w:type="spellEnd"/>
      <w:r>
        <w:rPr>
          <w:rFonts w:eastAsiaTheme="minorEastAsia"/>
          <w:lang w:val="en-US"/>
        </w:rPr>
        <w:t xml:space="preserve">, </w:t>
      </w:r>
      <w:proofErr w:type="spellStart"/>
      <w:r>
        <w:rPr>
          <w:rFonts w:eastAsiaTheme="minorEastAsia"/>
          <w:lang w:val="en-US"/>
        </w:rPr>
        <w:t>mekanik</w:t>
      </w:r>
      <w:proofErr w:type="spellEnd"/>
      <w:r>
        <w:rPr>
          <w:rFonts w:eastAsiaTheme="minorEastAsia"/>
          <w:lang w:val="en-US"/>
        </w:rPr>
        <w:t xml:space="preserve"> dan </w:t>
      </w:r>
      <w:proofErr w:type="spellStart"/>
      <w:r>
        <w:rPr>
          <w:rFonts w:eastAsiaTheme="minorEastAsia"/>
          <w:lang w:val="en-US"/>
        </w:rPr>
        <w:t>kimia</w:t>
      </w:r>
      <w:proofErr w:type="spellEnd"/>
      <w:r>
        <w:rPr>
          <w:rFonts w:eastAsiaTheme="minorEastAsia"/>
          <w:lang w:val="en-US"/>
        </w:rPr>
        <w:t xml:space="preserve">, dan </w:t>
      </w:r>
      <w:proofErr w:type="spellStart"/>
      <w:r>
        <w:rPr>
          <w:rFonts w:eastAsiaTheme="minorEastAsia"/>
          <w:lang w:val="en-US"/>
        </w:rPr>
        <w:t>empat</w:t>
      </w:r>
      <w:proofErr w:type="spellEnd"/>
      <w:r>
        <w:rPr>
          <w:rFonts w:eastAsiaTheme="minorEastAsia"/>
          <w:lang w:val="en-US"/>
        </w:rPr>
        <w:t xml:space="preserve"> proses </w:t>
      </w:r>
      <w:proofErr w:type="spellStart"/>
      <w:r>
        <w:rPr>
          <w:rFonts w:eastAsiaTheme="minorEastAsia"/>
          <w:lang w:val="en-US"/>
        </w:rPr>
        <w:t>berbeda</w:t>
      </w:r>
      <w:proofErr w:type="spellEnd"/>
      <w:r>
        <w:rPr>
          <w:rFonts w:eastAsiaTheme="minorEastAsia"/>
          <w:lang w:val="en-US"/>
        </w:rPr>
        <w:t xml:space="preserve"> yang </w:t>
      </w:r>
      <w:proofErr w:type="spellStart"/>
      <w:r>
        <w:rPr>
          <w:rFonts w:eastAsiaTheme="minorEastAsia"/>
          <w:lang w:val="en-US"/>
        </w:rPr>
        <w:t>terlibat</w:t>
      </w:r>
      <w:proofErr w:type="spellEnd"/>
      <w:r>
        <w:rPr>
          <w:rFonts w:eastAsiaTheme="minorEastAsia"/>
          <w:lang w:val="en-US"/>
        </w:rPr>
        <w:t xml:space="preserve"> dalam </w:t>
      </w:r>
      <w:proofErr w:type="spellStart"/>
      <w:r>
        <w:rPr>
          <w:rFonts w:eastAsiaTheme="minorEastAsia"/>
          <w:lang w:val="en-US"/>
        </w:rPr>
        <w:t>nosisepsi</w:t>
      </w:r>
      <w:proofErr w:type="spellEnd"/>
      <w:r>
        <w:rPr>
          <w:rFonts w:eastAsiaTheme="minorEastAsia"/>
          <w:lang w:val="id-ID"/>
        </w:rPr>
        <w:t xml:space="preserve"> (Gambar 3)</w:t>
      </w:r>
      <w:r>
        <w:rPr>
          <w:rFonts w:eastAsiaTheme="minorEastAsia"/>
          <w:lang w:val="en-US"/>
        </w:rPr>
        <w:t xml:space="preserve">, </w:t>
      </w:r>
      <w:proofErr w:type="spellStart"/>
      <w:r>
        <w:rPr>
          <w:rFonts w:eastAsiaTheme="minorEastAsia"/>
          <w:lang w:val="en-US"/>
        </w:rPr>
        <w:t>yaitu</w:t>
      </w:r>
      <w:proofErr w:type="spellEnd"/>
      <w:r>
        <w:rPr>
          <w:rFonts w:eastAsiaTheme="minorEastAsia"/>
          <w:lang w:val="en-US"/>
        </w:rPr>
        <w:t xml:space="preserve"> </w:t>
      </w:r>
      <w:proofErr w:type="spellStart"/>
      <w:r>
        <w:rPr>
          <w:rFonts w:eastAsiaTheme="minorEastAsia"/>
          <w:lang w:val="en-US"/>
        </w:rPr>
        <w:t>sebagai</w:t>
      </w:r>
      <w:proofErr w:type="spellEnd"/>
      <w:r>
        <w:rPr>
          <w:rFonts w:eastAsiaTheme="minorEastAsia"/>
          <w:lang w:val="en-US"/>
        </w:rPr>
        <w:t xml:space="preserve"> </w:t>
      </w:r>
      <w:proofErr w:type="spellStart"/>
      <w:r>
        <w:rPr>
          <w:rFonts w:eastAsiaTheme="minorEastAsia"/>
          <w:lang w:val="en-US"/>
        </w:rPr>
        <w:t>berikut</w:t>
      </w:r>
      <w:proofErr w:type="spellEnd"/>
      <w:r>
        <w:rPr>
          <w:color w:val="000000" w:themeColor="text1"/>
        </w:rPr>
        <w:t>:</w:t>
      </w:r>
      <w:r>
        <w:rPr>
          <w:color w:val="000000" w:themeColor="text1"/>
        </w:rPr>
        <w:fldChar w:fldCharType="begin" w:fldLock="1"/>
      </w:r>
      <w:r>
        <w:rPr>
          <w:color w:val="000000" w:themeColor="text1"/>
        </w:rPr>
        <w:instrText>ADDIN CSL_CITATION {"citationItems":[{"id":"ITEM-1","itemData":{"DOI":"10.1177/1744629517708680","ISSN":"17446309","PMID":"28502222","abstract":"The issue of pain warrants attention as, by virtue of having an intellectual disability, a person may have associated medical or physical conditions and associated factors increasing their risk of pain disorders. People with intellectual disability experiencing pain need to be provided with the best possible care. The focus of this article is on the exploration of pain: physiology and types; manifestations and responses in the context of intellectual disability in order to promote effective, knowledgeable assessment and management of pain for this client group. Pain is a subjective, complex, physiological and psychological phenomenon that can be acute or chronic and may be classified according to its cause. Within the experience of pain, the concept of total pain describes the physical, psychological, social and spiritual factors that influence the experience of pain.","author":[{"dropping-particle":"","family":"Doody","given":"Owen","non-dropping-particle":"","parse-names":false,"suffix":""},{"dropping-particle":"","family":"Bailey","given":"Maria E.","non-dropping-particle":"","parse-names":false,"suffix":""}],"container-title":"Journal of Intellectual Disabilities","id":"ITEM-1","issue":"1","issued":{"date-parts":[["2019"]]},"page":"5-18","title":"Understanding pain physiology and its application to person with intellectual disability","type":"article-journal","volume":"23"},"uris":["http://www.mendeley.com/documents/?uuid=2f13d603-c83b-4d72-9755-c7d205d10486"]}],"mendeley":{"formattedCitation":"&lt;sup&gt;36&lt;/sup&gt;","plainTextFormattedCitation":"36","previouslyFormattedCitation":"&lt;sup&gt;36&lt;/sup&gt;"},"properties":{"noteIndex":0},"schema":"https://github.com/citation-style-language/schema/raw/master/csl-citation.json"}</w:instrText>
      </w:r>
      <w:r>
        <w:rPr>
          <w:color w:val="000000" w:themeColor="text1"/>
        </w:rPr>
        <w:fldChar w:fldCharType="separate"/>
      </w:r>
      <w:r>
        <w:rPr>
          <w:noProof/>
          <w:color w:val="000000" w:themeColor="text1"/>
          <w:vertAlign w:val="superscript"/>
        </w:rPr>
        <w:t>36</w:t>
      </w:r>
      <w:r>
        <w:rPr>
          <w:color w:val="000000" w:themeColor="text1"/>
        </w:rPr>
        <w:fldChar w:fldCharType="end"/>
      </w:r>
    </w:p>
    <w:p w14:paraId="5CBDF8F5" w14:textId="77777777" w:rsidR="003B79BC" w:rsidRDefault="00000000">
      <w:pPr>
        <w:pStyle w:val="ListParagraph"/>
        <w:numPr>
          <w:ilvl w:val="0"/>
          <w:numId w:val="8"/>
        </w:numPr>
        <w:spacing w:line="360" w:lineRule="auto"/>
        <w:ind w:left="426" w:hanging="426"/>
        <w:jc w:val="both"/>
        <w:rPr>
          <w:color w:val="000000" w:themeColor="text1"/>
        </w:rPr>
      </w:pPr>
      <w:r>
        <w:rPr>
          <w:i/>
          <w:color w:val="000000" w:themeColor="text1"/>
          <w:lang w:val="id"/>
        </w:rPr>
        <w:t>Transduksi,</w:t>
      </w:r>
      <w:r>
        <w:rPr>
          <w:color w:val="000000" w:themeColor="text1"/>
          <w:lang w:val="id"/>
        </w:rPr>
        <w:t xml:space="preserve"> </w:t>
      </w:r>
      <w:r>
        <w:rPr>
          <w:color w:val="000000" w:themeColor="text1"/>
        </w:rPr>
        <w:t xml:space="preserve">merupakan proses pengubahan rangsang nyeri menjadi suatu aktivitas listrik yang akan diterima di ujung saraf. Rangsang ini dapat berupa rangsang fisik (tekanan), suhu, atau kimia. Segera setelah terjadi kerusakan jaringan, ujung saraf sensorik seketika terpapar oleh sejumlah produk kerusakan sel dan mediator inflamasi yang memicu aktivitas nosisepsi. </w:t>
      </w:r>
      <w:r>
        <w:rPr>
          <w:i/>
          <w:color w:val="000000" w:themeColor="text1"/>
        </w:rPr>
        <w:t>Inflammatory soup</w:t>
      </w:r>
      <w:r>
        <w:rPr>
          <w:color w:val="000000" w:themeColor="text1"/>
        </w:rPr>
        <w:t xml:space="preserve"> ini mencakup prostaglandin, proton, serotonin, histamin, bradikinin, purin, sitokin, </w:t>
      </w:r>
      <w:r>
        <w:rPr>
          <w:i/>
          <w:color w:val="000000" w:themeColor="text1"/>
        </w:rPr>
        <w:t>eicosanoids</w:t>
      </w:r>
      <w:r>
        <w:rPr>
          <w:color w:val="000000" w:themeColor="text1"/>
        </w:rPr>
        <w:t>, dan neuropeptida yang bekerja pada reseptor spesifik pada saraf sensorik dan juga memiliki interaksi yang penting. Awal kerusakan dan inflamasi menyebabkan serabut C dan serabut A-</w:t>
      </w:r>
      <m:oMath>
        <m:r>
          <w:rPr>
            <w:rFonts w:ascii="Cambria Math" w:hAnsi="Cambria Math"/>
            <w:color w:val="000000" w:themeColor="text1"/>
          </w:rPr>
          <m:t>δ</m:t>
        </m:r>
      </m:oMath>
      <w:r>
        <w:rPr>
          <w:color w:val="000000" w:themeColor="text1"/>
        </w:rPr>
        <w:t xml:space="preserve"> mengalami perubahan yang disebut </w:t>
      </w:r>
      <w:r>
        <w:rPr>
          <w:i/>
          <w:color w:val="000000" w:themeColor="text1"/>
        </w:rPr>
        <w:t>sensitisasi</w:t>
      </w:r>
      <w:r>
        <w:rPr>
          <w:color w:val="000000" w:themeColor="text1"/>
        </w:rPr>
        <w:t xml:space="preserve">, yaitu peningkatan aktivitas nosiseptor yang normalnya “tenang” dan perubahan aktivitas </w:t>
      </w:r>
      <w:r>
        <w:rPr>
          <w:i/>
          <w:color w:val="000000" w:themeColor="text1"/>
        </w:rPr>
        <w:t>ion channels</w:t>
      </w:r>
      <w:r>
        <w:rPr>
          <w:color w:val="000000" w:themeColor="text1"/>
        </w:rPr>
        <w:t xml:space="preserve"> dan reseptor membran. </w:t>
      </w:r>
    </w:p>
    <w:p w14:paraId="7F04C46A" w14:textId="77777777" w:rsidR="003B79BC" w:rsidRDefault="00000000">
      <w:pPr>
        <w:pStyle w:val="ListParagraph"/>
        <w:numPr>
          <w:ilvl w:val="0"/>
          <w:numId w:val="8"/>
        </w:numPr>
        <w:spacing w:line="360" w:lineRule="auto"/>
        <w:ind w:left="426" w:hanging="426"/>
        <w:jc w:val="both"/>
        <w:rPr>
          <w:color w:val="000000" w:themeColor="text1"/>
        </w:rPr>
      </w:pPr>
      <w:r>
        <w:rPr>
          <w:i/>
          <w:color w:val="000000" w:themeColor="text1"/>
        </w:rPr>
        <w:lastRenderedPageBreak/>
        <w:t>Transmisi</w:t>
      </w:r>
      <w:r>
        <w:rPr>
          <w:color w:val="000000" w:themeColor="text1"/>
        </w:rPr>
        <w:t xml:space="preserve">, merupakan penyaluran isyarat listrik yang terjadi pada proses transduksi melalui serabut Aδ bermielin dan serabut C tak bermielin melalui </w:t>
      </w:r>
      <w:r>
        <w:rPr>
          <w:i/>
          <w:color w:val="000000" w:themeColor="text1"/>
        </w:rPr>
        <w:t>sodium channels</w:t>
      </w:r>
      <w:r>
        <w:rPr>
          <w:color w:val="000000" w:themeColor="text1"/>
        </w:rPr>
        <w:t xml:space="preserve"> (NaCh) dan </w:t>
      </w:r>
      <w:r>
        <w:rPr>
          <w:i/>
          <w:color w:val="000000" w:themeColor="text1"/>
        </w:rPr>
        <w:t>voltage gated calcium</w:t>
      </w:r>
      <w:r>
        <w:rPr>
          <w:color w:val="000000" w:themeColor="text1"/>
        </w:rPr>
        <w:t xml:space="preserve"> (VDCC) and </w:t>
      </w:r>
      <w:r>
        <w:rPr>
          <w:i/>
          <w:color w:val="000000" w:themeColor="text1"/>
        </w:rPr>
        <w:t>potassium channels</w:t>
      </w:r>
      <w:r>
        <w:rPr>
          <w:color w:val="000000" w:themeColor="text1"/>
        </w:rPr>
        <w:t xml:space="preserve"> dari neuron perifer ke dorsal root ganglion dan dorsal horn di medula spinalis. Proses ini dapat dihambat oleh obat aneste</w:t>
      </w:r>
      <w:r>
        <w:rPr>
          <w:color w:val="000000" w:themeColor="text1"/>
          <w:lang w:val="id-ID"/>
        </w:rPr>
        <w:t>si</w:t>
      </w:r>
      <w:r>
        <w:rPr>
          <w:color w:val="000000" w:themeColor="text1"/>
        </w:rPr>
        <w:t xml:space="preserve"> lokal. </w:t>
      </w:r>
    </w:p>
    <w:p w14:paraId="74F0088C" w14:textId="77777777" w:rsidR="003B79BC" w:rsidRDefault="00000000">
      <w:pPr>
        <w:pStyle w:val="ListParagraph"/>
        <w:numPr>
          <w:ilvl w:val="0"/>
          <w:numId w:val="8"/>
        </w:numPr>
        <w:spacing w:line="360" w:lineRule="auto"/>
        <w:ind w:left="426" w:hanging="426"/>
        <w:jc w:val="both"/>
        <w:rPr>
          <w:color w:val="000000" w:themeColor="text1"/>
        </w:rPr>
      </w:pPr>
      <w:r>
        <w:rPr>
          <w:i/>
          <w:color w:val="000000" w:themeColor="text1"/>
        </w:rPr>
        <w:t>Modulasi</w:t>
      </w:r>
      <w:r>
        <w:rPr>
          <w:color w:val="000000" w:themeColor="text1"/>
        </w:rPr>
        <w:t>, adalah proses interaksi antara sistem analgesik endogen yang dihasilkan oleh otak dengan rangsang noksius yang masuk di kornu posterior medulla spinalis. Analgesik endogen (enkefalin, endorfin, serotonin, noradrenalin) dapat memblok rangsang noksius pada kornu posterior medulla spinalis. Dimana kornu posterior sebagai pintu dapat terbuka dan tertutup untuk menyalurkan rangsang noksius ke neuron kedua tergantung dari peran dari analgesik endogen tersebut. Pada proses inilah opioid memegang peranan penting dalam penanganan nyeri pascabedah.</w:t>
      </w:r>
    </w:p>
    <w:p w14:paraId="3784CE62" w14:textId="77777777" w:rsidR="003B79BC" w:rsidRDefault="00000000">
      <w:pPr>
        <w:pStyle w:val="ListParagraph"/>
        <w:numPr>
          <w:ilvl w:val="0"/>
          <w:numId w:val="8"/>
        </w:numPr>
        <w:spacing w:line="360" w:lineRule="auto"/>
        <w:ind w:left="426" w:hanging="426"/>
        <w:jc w:val="both"/>
        <w:rPr>
          <w:color w:val="000000" w:themeColor="text1"/>
          <w:lang w:eastAsia="zh-CN"/>
        </w:rPr>
      </w:pPr>
      <w:r>
        <w:rPr>
          <w:i/>
          <w:color w:val="000000" w:themeColor="text1"/>
          <w:lang w:eastAsia="zh-CN"/>
        </w:rPr>
        <w:t>Persepsi</w:t>
      </w:r>
      <w:r>
        <w:rPr>
          <w:color w:val="000000" w:themeColor="text1"/>
          <w:lang w:eastAsia="zh-CN"/>
        </w:rPr>
        <w:t>, merupakan hasil akhir dari interaksi yang komplek</w:t>
      </w:r>
      <w:r>
        <w:rPr>
          <w:color w:val="000000" w:themeColor="text1"/>
          <w:lang w:val="id-ID" w:eastAsia="zh-CN"/>
        </w:rPr>
        <w:t>s</w:t>
      </w:r>
      <w:r>
        <w:rPr>
          <w:color w:val="000000" w:themeColor="text1"/>
          <w:lang w:eastAsia="zh-CN"/>
        </w:rPr>
        <w:t xml:space="preserve"> dari proses transduksi, transmisi dan modulasi yang pada akhirnya menghasilkan suatu proses subyektif yang dikenal sebagai persepsi nyeri.</w:t>
      </w:r>
    </w:p>
    <w:p w14:paraId="7CEE5240" w14:textId="77777777" w:rsidR="003B79BC" w:rsidRDefault="00000000">
      <w:pPr>
        <w:jc w:val="center"/>
        <w:rPr>
          <w:color w:val="000000" w:themeColor="text1"/>
          <w:lang w:val="id"/>
        </w:rPr>
      </w:pPr>
      <w:r>
        <w:rPr>
          <w:noProof/>
          <w:color w:val="000000" w:themeColor="text1"/>
        </w:rPr>
        <w:drawing>
          <wp:inline distT="0" distB="0" distL="0" distR="0" wp14:anchorId="342D6DF9" wp14:editId="4DE0CA1D">
            <wp:extent cx="3390900" cy="1838325"/>
            <wp:effectExtent l="19050" t="19050" r="19050" b="28575"/>
            <wp:docPr id="12" name="Picture 4"/>
            <wp:cNvGraphicFramePr/>
            <a:graphic xmlns:a="http://schemas.openxmlformats.org/drawingml/2006/main">
              <a:graphicData uri="http://schemas.openxmlformats.org/drawingml/2006/picture">
                <pic:pic xmlns:pic="http://schemas.openxmlformats.org/drawingml/2006/picture">
                  <pic:nvPicPr>
                    <pic:cNvPr id="12" name="Picture 4"/>
                    <pic:cNvPicPr/>
                  </pic:nvPicPr>
                  <pic:blipFill>
                    <a:blip r:embed="rId16" cstate="print">
                      <a:extLst>
                        <a:ext uri="{28A0092B-C50C-407E-A947-70E740481C1C}">
                          <a14:useLocalDpi xmlns:a14="http://schemas.microsoft.com/office/drawing/2010/main" val="0"/>
                        </a:ext>
                      </a:extLst>
                    </a:blip>
                    <a:srcRect t="-2386" b="-1"/>
                    <a:stretch>
                      <a:fillRect/>
                    </a:stretch>
                  </pic:blipFill>
                  <pic:spPr>
                    <a:xfrm>
                      <a:off x="0" y="0"/>
                      <a:ext cx="3440155" cy="1865028"/>
                    </a:xfrm>
                    <a:prstGeom prst="rect">
                      <a:avLst/>
                    </a:prstGeom>
                    <a:noFill/>
                    <a:ln w="9525" cap="flat" cmpd="sng" algn="ctr">
                      <a:solidFill>
                        <a:schemeClr val="bg1"/>
                      </a:solidFill>
                      <a:prstDash val="solid"/>
                      <a:round/>
                      <a:headEnd type="none" w="med" len="med"/>
                      <a:tailEnd type="none" w="med" len="med"/>
                    </a:ln>
                  </pic:spPr>
                </pic:pic>
              </a:graphicData>
            </a:graphic>
          </wp:inline>
        </w:drawing>
      </w:r>
    </w:p>
    <w:p w14:paraId="5DD65A7C" w14:textId="0B552925" w:rsidR="003B79BC" w:rsidRDefault="00000000">
      <w:pPr>
        <w:pStyle w:val="Caption"/>
        <w:spacing w:after="0"/>
        <w:rPr>
          <w:rFonts w:eastAsiaTheme="minorEastAsia"/>
          <w:i w:val="0"/>
          <w:iCs w:val="0"/>
          <w:color w:val="000000" w:themeColor="text1"/>
          <w:sz w:val="24"/>
          <w:szCs w:val="24"/>
          <w:lang w:val="id-ID" w:eastAsia="zh-CN"/>
        </w:rPr>
      </w:pPr>
      <w:r>
        <w:rPr>
          <w:i w:val="0"/>
          <w:iCs w:val="0"/>
          <w:color w:val="000000" w:themeColor="text1"/>
          <w:sz w:val="24"/>
          <w:szCs w:val="24"/>
        </w:rPr>
        <w:t xml:space="preserve">Gambar </w:t>
      </w:r>
      <w:r>
        <w:rPr>
          <w:i w:val="0"/>
          <w:iCs w:val="0"/>
          <w:color w:val="000000" w:themeColor="text1"/>
          <w:sz w:val="24"/>
          <w:szCs w:val="24"/>
        </w:rPr>
        <w:fldChar w:fldCharType="begin"/>
      </w:r>
      <w:r>
        <w:rPr>
          <w:i w:val="0"/>
          <w:iCs w:val="0"/>
          <w:color w:val="000000" w:themeColor="text1"/>
          <w:sz w:val="24"/>
          <w:szCs w:val="24"/>
        </w:rPr>
        <w:instrText xml:space="preserve"> SEQ Gambar \* ARABIC </w:instrText>
      </w:r>
      <w:r>
        <w:rPr>
          <w:i w:val="0"/>
          <w:iCs w:val="0"/>
          <w:color w:val="000000" w:themeColor="text1"/>
          <w:sz w:val="24"/>
          <w:szCs w:val="24"/>
        </w:rPr>
        <w:fldChar w:fldCharType="separate"/>
      </w:r>
      <w:r w:rsidR="00D671E3">
        <w:rPr>
          <w:i w:val="0"/>
          <w:iCs w:val="0"/>
          <w:noProof/>
          <w:color w:val="000000" w:themeColor="text1"/>
          <w:sz w:val="24"/>
          <w:szCs w:val="24"/>
        </w:rPr>
        <w:t>3</w:t>
      </w:r>
      <w:r>
        <w:rPr>
          <w:i w:val="0"/>
          <w:iCs w:val="0"/>
          <w:color w:val="000000" w:themeColor="text1"/>
          <w:sz w:val="24"/>
          <w:szCs w:val="24"/>
        </w:rPr>
        <w:fldChar w:fldCharType="end"/>
      </w:r>
      <w:r>
        <w:rPr>
          <w:i w:val="0"/>
          <w:iCs w:val="0"/>
          <w:color w:val="000000" w:themeColor="text1"/>
          <w:sz w:val="24"/>
          <w:szCs w:val="24"/>
          <w:lang w:val="id-ID"/>
        </w:rPr>
        <w:t xml:space="preserve">. </w:t>
      </w:r>
      <w:r>
        <w:rPr>
          <w:rFonts w:eastAsiaTheme="minorHAnsi"/>
          <w:i w:val="0"/>
          <w:iCs w:val="0"/>
          <w:color w:val="000000" w:themeColor="text1"/>
          <w:sz w:val="24"/>
          <w:szCs w:val="24"/>
        </w:rPr>
        <w:t>Proses nyeri nosiseptif</w:t>
      </w:r>
    </w:p>
    <w:p w14:paraId="035A1CFE" w14:textId="77777777" w:rsidR="003B79BC" w:rsidRDefault="00000000">
      <w:pPr>
        <w:tabs>
          <w:tab w:val="left" w:pos="1134"/>
        </w:tabs>
        <w:ind w:left="1134" w:hanging="1134"/>
        <w:rPr>
          <w:color w:val="000000" w:themeColor="text1"/>
          <w:sz w:val="22"/>
          <w:lang w:val="id" w:eastAsia="zh-CN"/>
        </w:rPr>
      </w:pPr>
      <w:r>
        <w:rPr>
          <w:rFonts w:eastAsiaTheme="minorEastAsia"/>
          <w:color w:val="000000" w:themeColor="text1"/>
          <w:sz w:val="20"/>
          <w:szCs w:val="20"/>
          <w:lang w:val="id-ID" w:eastAsia="zh-CN"/>
        </w:rPr>
        <w:t>Dikutip dari:</w:t>
      </w:r>
      <w:r>
        <w:rPr>
          <w:rFonts w:eastAsiaTheme="minorEastAsia"/>
          <w:color w:val="000000" w:themeColor="text1"/>
          <w:sz w:val="20"/>
          <w:szCs w:val="20"/>
          <w:lang w:val="id-ID" w:eastAsia="zh-CN"/>
        </w:rPr>
        <w:tab/>
      </w:r>
      <w:r>
        <w:rPr>
          <w:rFonts w:eastAsiaTheme="minorEastAsia"/>
          <w:sz w:val="20"/>
          <w:szCs w:val="20"/>
          <w:lang w:val="id-ID"/>
        </w:rPr>
        <w:t>Raney</w:t>
      </w:r>
      <w:r>
        <w:rPr>
          <w:color w:val="000000" w:themeColor="text1"/>
          <w:sz w:val="20"/>
        </w:rPr>
        <w:t xml:space="preserve"> EB, Thankam FG, Dilisio MF, Agrawal DK. Pain and pathogenesis of bicep tendinopathy. Am J Transl Res. 2017;9(6):2668-83.</w:t>
      </w:r>
    </w:p>
    <w:p w14:paraId="3316FCDD" w14:textId="77777777" w:rsidR="003B79BC" w:rsidRDefault="00000000">
      <w:pPr>
        <w:spacing w:line="360" w:lineRule="auto"/>
        <w:jc w:val="both"/>
        <w:rPr>
          <w:rFonts w:eastAsiaTheme="minorEastAsia"/>
          <w:lang w:val="en-US"/>
        </w:rPr>
      </w:pPr>
      <w:r>
        <w:rPr>
          <w:rFonts w:eastAsiaTheme="minorEastAsia"/>
          <w:lang w:val="en-US"/>
        </w:rPr>
        <w:t xml:space="preserve"> </w:t>
      </w:r>
    </w:p>
    <w:p w14:paraId="13EF73CB" w14:textId="77777777" w:rsidR="003B79BC" w:rsidRDefault="00000000">
      <w:pPr>
        <w:pStyle w:val="Heading3"/>
        <w:numPr>
          <w:ilvl w:val="0"/>
          <w:numId w:val="7"/>
        </w:numPr>
        <w:spacing w:before="0" w:after="0" w:line="360" w:lineRule="auto"/>
        <w:ind w:left="709" w:hanging="709"/>
        <w:rPr>
          <w:rFonts w:cs="Times New Roman"/>
        </w:rPr>
      </w:pPr>
      <w:bookmarkStart w:id="29" w:name="_Toc158290244"/>
      <w:r>
        <w:rPr>
          <w:rFonts w:cs="Times New Roman"/>
          <w:lang w:val="id-ID"/>
        </w:rPr>
        <w:t>Pengukuran Nyeri</w:t>
      </w:r>
      <w:bookmarkEnd w:id="29"/>
    </w:p>
    <w:p w14:paraId="6439ED7D" w14:textId="77777777" w:rsidR="003B79BC" w:rsidRDefault="00000000">
      <w:pPr>
        <w:spacing w:line="360" w:lineRule="auto"/>
        <w:ind w:firstLine="709"/>
        <w:jc w:val="both"/>
        <w:rPr>
          <w:rFonts w:eastAsiaTheme="minorHAnsi"/>
          <w:color w:val="000000" w:themeColor="text1"/>
          <w:lang w:eastAsia="zh-CN"/>
        </w:rPr>
      </w:pPr>
      <w:r>
        <w:rPr>
          <w:rStyle w:val="Emphasis"/>
          <w:lang w:eastAsia="zh-CN"/>
        </w:rPr>
        <w:t>Visual Analogue Scale</w:t>
      </w:r>
      <w:r>
        <w:rPr>
          <w:lang w:val="en-US" w:eastAsia="zh-CN"/>
        </w:rPr>
        <w:t xml:space="preserve"> (VAS) </w:t>
      </w:r>
      <w:r>
        <w:rPr>
          <w:lang w:val="id-ID" w:eastAsia="zh-CN"/>
        </w:rPr>
        <w:t xml:space="preserve">dapat digunakan untuk pengukuran persepsi nyeri. </w:t>
      </w:r>
      <w:r>
        <w:rPr>
          <w:lang w:val="en-US" w:eastAsia="zh-CN"/>
        </w:rPr>
        <w:t xml:space="preserve">VAS </w:t>
      </w:r>
      <w:proofErr w:type="spellStart"/>
      <w:r>
        <w:rPr>
          <w:lang w:val="en-US" w:eastAsia="zh-CN"/>
        </w:rPr>
        <w:t>berupa</w:t>
      </w:r>
      <w:proofErr w:type="spellEnd"/>
      <w:r>
        <w:rPr>
          <w:lang w:val="en-US" w:eastAsia="zh-CN"/>
        </w:rPr>
        <w:t xml:space="preserve"> garis </w:t>
      </w:r>
      <w:proofErr w:type="spellStart"/>
      <w:r>
        <w:rPr>
          <w:lang w:val="en-US" w:eastAsia="zh-CN"/>
        </w:rPr>
        <w:t>lurus</w:t>
      </w:r>
      <w:proofErr w:type="spellEnd"/>
      <w:r>
        <w:rPr>
          <w:lang w:val="en-US" w:eastAsia="zh-CN"/>
        </w:rPr>
        <w:t xml:space="preserve"> </w:t>
      </w:r>
      <w:proofErr w:type="spellStart"/>
      <w:r>
        <w:rPr>
          <w:lang w:val="en-US" w:eastAsia="zh-CN"/>
        </w:rPr>
        <w:t>sepanjang</w:t>
      </w:r>
      <w:proofErr w:type="spellEnd"/>
      <w:r>
        <w:rPr>
          <w:lang w:val="en-US" w:eastAsia="zh-CN"/>
        </w:rPr>
        <w:t xml:space="preserve"> 10 cm, </w:t>
      </w:r>
      <w:proofErr w:type="spellStart"/>
      <w:r>
        <w:rPr>
          <w:lang w:val="en-US" w:eastAsia="zh-CN"/>
        </w:rPr>
        <w:t>ditandai</w:t>
      </w:r>
      <w:proofErr w:type="spellEnd"/>
      <w:r>
        <w:rPr>
          <w:lang w:val="en-US" w:eastAsia="zh-CN"/>
        </w:rPr>
        <w:t xml:space="preserve"> pada </w:t>
      </w:r>
      <w:proofErr w:type="spellStart"/>
      <w:r>
        <w:rPr>
          <w:lang w:val="en-US" w:eastAsia="zh-CN"/>
        </w:rPr>
        <w:t>setiap</w:t>
      </w:r>
      <w:proofErr w:type="spellEnd"/>
      <w:r>
        <w:rPr>
          <w:lang w:val="en-US" w:eastAsia="zh-CN"/>
        </w:rPr>
        <w:t xml:space="preserve"> </w:t>
      </w:r>
      <w:proofErr w:type="spellStart"/>
      <w:r>
        <w:rPr>
          <w:lang w:val="en-US" w:eastAsia="zh-CN"/>
        </w:rPr>
        <w:t>ujungnya</w:t>
      </w:r>
      <w:proofErr w:type="spellEnd"/>
      <w:r>
        <w:rPr>
          <w:lang w:val="en-US" w:eastAsia="zh-CN"/>
        </w:rPr>
        <w:t xml:space="preserve"> dengan label yang </w:t>
      </w:r>
      <w:proofErr w:type="spellStart"/>
      <w:r>
        <w:rPr>
          <w:lang w:val="en-US" w:eastAsia="zh-CN"/>
        </w:rPr>
        <w:t>menjangkar</w:t>
      </w:r>
      <w:proofErr w:type="spellEnd"/>
      <w:r>
        <w:rPr>
          <w:lang w:val="en-US" w:eastAsia="zh-CN"/>
        </w:rPr>
        <w:t xml:space="preserve"> </w:t>
      </w:r>
      <w:proofErr w:type="spellStart"/>
      <w:r>
        <w:rPr>
          <w:lang w:val="en-US" w:eastAsia="zh-CN"/>
        </w:rPr>
        <w:t>skal</w:t>
      </w:r>
      <w:proofErr w:type="spellEnd"/>
      <w:r>
        <w:rPr>
          <w:lang w:val="id-ID" w:eastAsia="zh-CN"/>
        </w:rPr>
        <w:t>a</w:t>
      </w:r>
      <w:r>
        <w:rPr>
          <w:lang w:val="en-US" w:eastAsia="zh-CN"/>
        </w:rPr>
        <w:t>.</w:t>
      </w:r>
      <w:r>
        <w:rPr>
          <w:lang w:val="en-US"/>
        </w:rPr>
        <w:fldChar w:fldCharType="begin" w:fldLock="1"/>
      </w:r>
      <w:r>
        <w:rPr>
          <w:lang w:val="en-US" w:eastAsia="zh-CN"/>
        </w:rPr>
        <w:instrText>ADDIN CSL_CITATION {"citationItems":[{"id":"ITEM-1","itemData":{"DOI":"10.1371/journal.pone.0099485","ISSN":"19326203","PMID":"24921952","abstract":"Objectives: Pain visual analogue scales (VAS) are commonly used in clinical trials and are often treated as an interval level scale without evidence that this is appropriate. This paper examines the internal construct validity and responsiveness of the pain VAS using Rasch analysis. Methods: Patients (n = 221, mean age 67, 58% female) with chronic stable joint pain (hip 40% or knee 60%) of mechanical origin waiting for joint replacement were included. Pain was scored on seven daily VASs. Rasch analysis was used to examine fit to the Rasch model. Responsiveness (Standardized Response Means, SRM) was examined on the raw ordinal data and the interval data generated from the Rasch analysis. Results: Baseline pain VAS scores fitted the Rasch model, although 15 aberrant cases impacted on unidimensionality. There was some local dependency between items but this did not significantly affect the person estimates of pain. Daily pain (item difficulty) was stable, suggesting that single measures can be used. Overall, the SRMs derived from ordinal data overestimated the true responsiveness by 59%. Changes over time at the lower and higher end of the scale were represented by large jumps in interval equivalent data points; in the middle of the scale the reverse was seen. Conclusions: The pain VAS is a valid tool for measuring pain at one point in time. However, the pain VAS does not behave linearly and SRMs vary along the trait of pain. Consequently, Minimum Clinically Important Differences using raw data, or change scores in general, are invalid as these will either under- or overestimate true change; raw pain VAS data should not be used as a primary outcome measure or to inform parametric-based Randomised Controlled Trial power calculations in research studies; and Rasch analysis should be used to convert ordinal data to interval data prior to data interpretation. © 2014 Kersten et al.","author":[{"dropping-particle":"","family":"Kersten","given":"Paula","non-dropping-particle":"","parse-names":false,"suffix":""},{"dropping-particle":"","family":"White","given":"Peter J.","non-dropping-particle":"","parse-names":false,"suffix":""},{"dropping-particle":"","family":"Tennant","given":"Alan","non-dropping-particle":"","parse-names":false,"suffix":""}],"container-title":"PLoS ONE","id":"ITEM-1","issue":"6","issued":{"date-parts":[["2014"]]},"title":"Is the pain visual analogue scale linear and responsive to change? An exploration using rasch analysis","type":"article-journal","volume":"9"},"uris":["http://www.mendeley.com/documents/?uuid=ef72a57d-41e3-455f-9dac-8e04523aead1"]}],"mendeley":{"formattedCitation":"&lt;sup&gt;37&lt;/sup&gt;","plainTextFo</w:instrText>
      </w:r>
      <w:r>
        <w:rPr>
          <w:lang w:val="en-US"/>
        </w:rPr>
        <w:instrText>rmattedCitation":"37","previouslyFormattedCitation":"&lt;sup&gt;37&lt;/sup&gt;"},"properties":{"noteIndex":0},"schema":"https://github.com/citation-style-language/schema/raw/master/csl-citation.json"}</w:instrText>
      </w:r>
      <w:r>
        <w:rPr>
          <w:lang w:val="en-US"/>
        </w:rPr>
        <w:fldChar w:fldCharType="separate"/>
      </w:r>
      <w:r>
        <w:rPr>
          <w:noProof/>
          <w:vertAlign w:val="superscript"/>
          <w:lang w:val="en-US"/>
        </w:rPr>
        <w:t>37</w:t>
      </w:r>
      <w:r>
        <w:rPr>
          <w:lang w:val="en-US"/>
        </w:rPr>
        <w:fldChar w:fldCharType="end"/>
      </w:r>
      <w:r>
        <w:rPr>
          <w:lang w:val="id-ID"/>
        </w:rPr>
        <w:t xml:space="preserve"> </w:t>
      </w:r>
      <w:r>
        <w:rPr>
          <w:color w:val="000000" w:themeColor="text1"/>
          <w:lang w:val="id-ID"/>
        </w:rPr>
        <w:t>S</w:t>
      </w:r>
      <w:r>
        <w:rPr>
          <w:color w:val="000000" w:themeColor="text1"/>
          <w:lang w:val="id"/>
        </w:rPr>
        <w:t xml:space="preserve">etiap titik skala dan dua titik akhir yang </w:t>
      </w:r>
      <w:r>
        <w:rPr>
          <w:color w:val="000000" w:themeColor="text1"/>
          <w:lang w:val="id"/>
        </w:rPr>
        <w:lastRenderedPageBreak/>
        <w:t>tidak mewakili rasa sakit dan kemungkinan sakit terburuk, di mana 0 = tidak ada rasa sakit, 1–3 = ringan, 4–6 = sedang dan 7–10 = nyeri berat</w:t>
      </w:r>
      <w:r>
        <w:rPr>
          <w:color w:val="000000" w:themeColor="text1"/>
        </w:rPr>
        <w:t>.</w:t>
      </w:r>
      <w:r>
        <w:rPr>
          <w:color w:val="000000" w:themeColor="text1"/>
        </w:rPr>
        <w:fldChar w:fldCharType="begin" w:fldLock="1"/>
      </w:r>
      <w:r>
        <w:rPr>
          <w:color w:val="000000" w:themeColor="text1"/>
        </w:rPr>
        <w:instrText>ADDIN CSL_CITATION {"citationItems":[{"id":"ITEM-1","itemData":{"DOI":"10.1016/j.ejrnm.2017.03.027","ISSN":"20904762","abstract":"Aim of this study To appraise the value of CT-guided celiac plexus neurolysis (CPN) as an effective method for alleviating intractable pain in patients with unresectable pancreatic cancer. Patients and methods 22 patients (their ages ranged between 45 and 73 years) with severe pain due to unresectable pancreatic cancer were subjected to CT-guided CPN by 25–30 mL of 97% ethanol via anterior approach and single puncture technique. The pain intensity scoring, both before and after the procedure, was done using the Visual Analogue Scale (VAS). Results All patients showed a significant pain reduction after CPN (P &lt; 0.001), with peak reduction in the first day after CPN. Also, the mean ranks of analgesic requirements showed significant reduction (P &lt; 0.001) and this reduction in analgesic requirements was maintained up to 3 months after the CPN. Less than half of the study population (45.5%) had some post-procedural adverse events, which were minimal and transient. Conclusion The CT-guided CPN via using anterior median approach and single puncture technique with injection of 25–30 mL of 97% of ethanol is an ideal palliative treatment for controlling severe pain caused by unresectable pancreatic cancer, with a significant reduction in the analgesic requirements.","author":[{"dropping-particle":"","family":"Mohamed","given":"Rania E.","non-dropping-particle":"","parse-names":false,"suffix":""},{"dropping-particle":"","family":"Amin","given":"Mohamed A.","non-dropping-particle":"","parse-names":false,"suffix":""},{"dropping-particle":"","family":"Omar","given":"Hazem M.","non-dropping-particle":"","parse-names":false,"suffix":""}],"container-title":"Egyptian Journal of Radiology and Nuclear Medicine","id":"ITEM-1","issue":"3","issued":{"date-parts":[["2017"]]},"page":"627-637","publisher":"Egyptian Society of Radiology and Nuclear Medicine","title":"Computed tomography-guided celiac plexus neurolysis for intractable pain of unresectable pancreatic cancer","type":"article-journal","volume":"48"},"uris":["http://www.mendeley.com/documents/?uuid=ecf0270d-4c04-45a2-bdb8-713635e0a703"]},{"id":"ITEM-2","itemData":{"ISSN":"01105558","PMID":"22247838","abstract":"Management of postoperative pain relieve suffering and leads to earlier mobilization, shortened hospital stay, reduced hospital costs, and increased patient satisfaction. An effective postoperative management is not a standardized regime rather is tailored to the needs of the individual patient, taking into account medical, psychological, and physical condition; age; level of fear or anxiety; surgical procedure; personal preference; and response to therapeutic agents given. The major goal in the management of postoperative pain is to minimize the dose of medications to lessen side effects &amp; provide adequate analgesia. Postoperative pain is still under managed due to obstacles in implementation of Acute Pain Services due to insufficient education, fear of complications associated with available analgesic drugs, poor pain assessment and inadequate staff. This review reflects the clinical aspects of postoper</w:instrText>
      </w:r>
      <w:r>
        <w:rPr>
          <w:color w:val="000000" w:themeColor="text1"/>
          <w:lang w:eastAsia="zh-CN"/>
        </w:rPr>
        <w:instrText>ative pain &amp; its assessment &amp; management with an emphasis on research for new analgesic molecules &amp; delivery system. © JAPTR, All Rights Reserved.","author":[{"dropping-particle":"","family":"Gupta","given":"Anuj","non-dropping-particle":"","parse-names":false,"suffix":""},{"dropping-particle":"","family":"Kaur","given":"Kirtipal","non-dropping-particle":"","parse-names":false,"suffix":""},{"dropping-particle":"","family":"Sharma","given":"Sheeshpal","non-dropping-particle":"","parse-names":false,"suffix":""},{"dropping-particle":"","family":"Goyal","given":"Shubham","non-dropping-particle":"","parse-names":false,"suffix":""},{"dropping-particle":"","family":"Arora","given":"Saahil","non-dropping-particle":"","parse-names":false,"suffix":""},{"dropping-particle":"","family":"Murthy","given":"R. S.R.","non-dropping-particle":"","parse-names":false,"suffix":""}],"container-title":"Journal of Advanced Pharmaceutical Technology and Research","id":"ITEM-2","issue":"2","issued":{"date-parts":[["2010"]]},"page":"97-108","title":"Clinical aspects of acute post-operative pain management &amp; its assessment","type":"article-journal","volume":"1"},"uris":["http://www.mendeley.com/documents/?uuid=94309f40-28aa-4a90-8916-492daaa57bd6"]}],"mendeley":{"formattedCitation":"&lt;sup&gt;38,39&lt;/sup&gt;","plainTextFormattedCitation":"38,39","previouslyFormattedCitation":"&lt;sup&gt;38,39&lt;/sup&gt;"},"properties":{"noteIndex":0},"schema":"https://github.com/citation-style-language/schema/raw/master/csl-citation.json"}</w:instrText>
      </w:r>
      <w:r>
        <w:rPr>
          <w:color w:val="000000" w:themeColor="text1"/>
        </w:rPr>
        <w:fldChar w:fldCharType="separate"/>
      </w:r>
      <w:r>
        <w:rPr>
          <w:noProof/>
          <w:color w:val="000000" w:themeColor="text1"/>
          <w:vertAlign w:val="superscript"/>
          <w:lang w:eastAsia="zh-CN"/>
        </w:rPr>
        <w:t>38,39</w:t>
      </w:r>
      <w:r>
        <w:rPr>
          <w:color w:val="000000" w:themeColor="text1"/>
        </w:rPr>
        <w:fldChar w:fldCharType="end"/>
      </w:r>
    </w:p>
    <w:p w14:paraId="1D58BDD6" w14:textId="77777777" w:rsidR="003B79BC" w:rsidRDefault="00000000">
      <w:pPr>
        <w:jc w:val="center"/>
        <w:rPr>
          <w:color w:val="000000" w:themeColor="text1"/>
          <w:lang w:eastAsia="zh-CN"/>
        </w:rPr>
      </w:pPr>
      <w:r>
        <w:rPr>
          <w:noProof/>
          <w:color w:val="000000" w:themeColor="text1"/>
          <w:lang w:val="en-US"/>
        </w:rPr>
        <w:drawing>
          <wp:inline distT="0" distB="0" distL="0" distR="0" wp14:anchorId="43B6A083" wp14:editId="5038A398">
            <wp:extent cx="3790950" cy="708660"/>
            <wp:effectExtent l="0" t="0" r="0" b="0"/>
            <wp:docPr id="2064732777" name="Picture 206473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32777" name="Picture 2064732777"/>
                    <pic:cNvPicPr>
                      <a:picLocks noChangeAspect="1"/>
                    </pic:cNvPicPr>
                  </pic:nvPicPr>
                  <pic:blipFill>
                    <a:blip r:embed="rId17"/>
                    <a:srcRect l="32843" t="44239" r="20247" b="40157"/>
                    <a:stretch>
                      <a:fillRect/>
                    </a:stretch>
                  </pic:blipFill>
                  <pic:spPr>
                    <a:xfrm>
                      <a:off x="0" y="0"/>
                      <a:ext cx="3818988" cy="714135"/>
                    </a:xfrm>
                    <a:prstGeom prst="rect">
                      <a:avLst/>
                    </a:prstGeom>
                    <a:ln>
                      <a:noFill/>
                    </a:ln>
                  </pic:spPr>
                </pic:pic>
              </a:graphicData>
            </a:graphic>
          </wp:inline>
        </w:drawing>
      </w:r>
    </w:p>
    <w:p w14:paraId="70778405" w14:textId="77777777" w:rsidR="003B79BC" w:rsidRDefault="003B79BC">
      <w:pPr>
        <w:jc w:val="center"/>
        <w:rPr>
          <w:color w:val="000000" w:themeColor="text1"/>
          <w:lang w:eastAsia="zh-CN"/>
        </w:rPr>
      </w:pPr>
    </w:p>
    <w:p w14:paraId="3410A662" w14:textId="096FAE0D" w:rsidR="003B79BC" w:rsidRDefault="00000000">
      <w:pPr>
        <w:pStyle w:val="Caption"/>
        <w:spacing w:after="0"/>
        <w:rPr>
          <w:rFonts w:eastAsiaTheme="minorEastAsia"/>
          <w:i w:val="0"/>
          <w:iCs w:val="0"/>
          <w:color w:val="000000" w:themeColor="text1"/>
          <w:sz w:val="24"/>
          <w:szCs w:val="24"/>
          <w:lang w:eastAsia="zh-CN"/>
        </w:rPr>
      </w:pPr>
      <w:r>
        <w:rPr>
          <w:i w:val="0"/>
          <w:iCs w:val="0"/>
          <w:color w:val="000000" w:themeColor="text1"/>
          <w:sz w:val="24"/>
          <w:szCs w:val="24"/>
          <w:lang w:eastAsia="zh-CN"/>
        </w:rPr>
        <w:t xml:space="preserve">Gambar </w:t>
      </w:r>
      <w:r>
        <w:rPr>
          <w:i w:val="0"/>
          <w:iCs w:val="0"/>
          <w:color w:val="000000" w:themeColor="text1"/>
          <w:sz w:val="24"/>
          <w:szCs w:val="24"/>
        </w:rPr>
        <w:fldChar w:fldCharType="begin"/>
      </w:r>
      <w:r>
        <w:rPr>
          <w:i w:val="0"/>
          <w:iCs w:val="0"/>
          <w:color w:val="000000" w:themeColor="text1"/>
          <w:sz w:val="24"/>
          <w:szCs w:val="24"/>
          <w:lang w:eastAsia="zh-CN"/>
        </w:rPr>
        <w:instrText xml:space="preserve"> SEQ Gambar \* ARABIC </w:instrText>
      </w:r>
      <w:r>
        <w:rPr>
          <w:i w:val="0"/>
          <w:iCs w:val="0"/>
          <w:color w:val="000000" w:themeColor="text1"/>
          <w:sz w:val="24"/>
          <w:szCs w:val="24"/>
        </w:rPr>
        <w:fldChar w:fldCharType="separate"/>
      </w:r>
      <w:r w:rsidR="00D671E3">
        <w:rPr>
          <w:i w:val="0"/>
          <w:iCs w:val="0"/>
          <w:noProof/>
          <w:color w:val="000000" w:themeColor="text1"/>
          <w:sz w:val="24"/>
          <w:szCs w:val="24"/>
          <w:lang w:eastAsia="zh-CN"/>
        </w:rPr>
        <w:t>4</w:t>
      </w:r>
      <w:r>
        <w:rPr>
          <w:i w:val="0"/>
          <w:iCs w:val="0"/>
          <w:color w:val="000000" w:themeColor="text1"/>
          <w:sz w:val="24"/>
          <w:szCs w:val="24"/>
        </w:rPr>
        <w:fldChar w:fldCharType="end"/>
      </w:r>
      <w:r>
        <w:rPr>
          <w:i w:val="0"/>
          <w:iCs w:val="0"/>
          <w:color w:val="000000" w:themeColor="text1"/>
          <w:sz w:val="24"/>
          <w:szCs w:val="24"/>
          <w:lang w:val="id-ID" w:eastAsia="zh-CN"/>
        </w:rPr>
        <w:t>. Visual analogue scale (VAS) untuk menilai nyeri</w:t>
      </w:r>
    </w:p>
    <w:p w14:paraId="7DCBCD19" w14:textId="77777777" w:rsidR="003B79BC" w:rsidRDefault="00000000">
      <w:pPr>
        <w:tabs>
          <w:tab w:val="left" w:pos="1134"/>
        </w:tabs>
        <w:ind w:left="1134" w:hanging="1134"/>
        <w:jc w:val="both"/>
        <w:rPr>
          <w:rFonts w:eastAsiaTheme="minorEastAsia"/>
          <w:color w:val="000000" w:themeColor="text1"/>
          <w:sz w:val="20"/>
          <w:lang w:eastAsia="zh-CN"/>
        </w:rPr>
      </w:pPr>
      <w:r>
        <w:rPr>
          <w:rFonts w:eastAsiaTheme="minorEastAsia"/>
          <w:color w:val="000000" w:themeColor="text1"/>
          <w:sz w:val="20"/>
          <w:szCs w:val="20"/>
          <w:lang w:val="id-ID" w:eastAsia="zh-CN"/>
        </w:rPr>
        <w:t>Dikutip dari:</w:t>
      </w:r>
      <w:r>
        <w:rPr>
          <w:rFonts w:eastAsiaTheme="minorEastAsia"/>
          <w:color w:val="000000" w:themeColor="text1"/>
          <w:sz w:val="20"/>
          <w:szCs w:val="20"/>
          <w:lang w:val="id-ID" w:eastAsia="zh-CN"/>
        </w:rPr>
        <w:tab/>
      </w:r>
      <w:r>
        <w:rPr>
          <w:color w:val="000000" w:themeColor="text1"/>
          <w:sz w:val="20"/>
          <w:lang w:eastAsia="zh-CN"/>
        </w:rPr>
        <w:t>Mohamed RE, Amin MA, Omar HM. Computed tomography-guided celiac plexus neurolysis for intractable pain of unresectable pancreatic cancer. Egypt J Radiol Nucl Med. 2017;48(3):627-</w:t>
      </w:r>
      <w:r>
        <w:rPr>
          <w:color w:val="000000" w:themeColor="text1"/>
          <w:sz w:val="20"/>
          <w:lang w:val="id-ID" w:eastAsia="zh-CN"/>
        </w:rPr>
        <w:t>6</w:t>
      </w:r>
      <w:r>
        <w:rPr>
          <w:color w:val="000000" w:themeColor="text1"/>
          <w:sz w:val="20"/>
          <w:lang w:eastAsia="zh-CN"/>
        </w:rPr>
        <w:t>37.</w:t>
      </w:r>
    </w:p>
    <w:p w14:paraId="0E882D93" w14:textId="77777777" w:rsidR="003B79BC" w:rsidRDefault="003B79BC">
      <w:pPr>
        <w:tabs>
          <w:tab w:val="left" w:pos="1134"/>
        </w:tabs>
        <w:ind w:left="1134" w:hanging="1134"/>
        <w:jc w:val="both"/>
        <w:rPr>
          <w:rFonts w:eastAsiaTheme="minorEastAsia"/>
          <w:color w:val="000000" w:themeColor="text1"/>
          <w:lang w:eastAsia="zh-CN"/>
        </w:rPr>
      </w:pPr>
    </w:p>
    <w:p w14:paraId="19490CB0" w14:textId="77777777" w:rsidR="003B79BC" w:rsidRDefault="003B79BC">
      <w:pPr>
        <w:rPr>
          <w:lang w:val="id-ID" w:eastAsia="zh-CN"/>
        </w:rPr>
      </w:pPr>
    </w:p>
    <w:p w14:paraId="22787CD4" w14:textId="77777777" w:rsidR="003B79BC" w:rsidRDefault="00000000">
      <w:pPr>
        <w:pStyle w:val="Heading2"/>
        <w:numPr>
          <w:ilvl w:val="0"/>
          <w:numId w:val="6"/>
        </w:numPr>
        <w:spacing w:after="0"/>
        <w:ind w:left="709" w:hanging="709"/>
        <w:rPr>
          <w:color w:val="auto"/>
          <w:szCs w:val="24"/>
          <w:lang w:val="en-US" w:eastAsia="zh-CN"/>
        </w:rPr>
      </w:pPr>
      <w:bookmarkStart w:id="30" w:name="_Hlk138118064"/>
      <w:bookmarkStart w:id="31" w:name="_Toc158290245"/>
      <w:r>
        <w:rPr>
          <w:rFonts w:cs="Times New Roman"/>
          <w:szCs w:val="24"/>
          <w:lang w:val="id-ID" w:eastAsia="zh-CN"/>
        </w:rPr>
        <w:t>D</w:t>
      </w:r>
      <w:r>
        <w:rPr>
          <w:rFonts w:cs="Times New Roman"/>
          <w:szCs w:val="24"/>
          <w:lang w:eastAsia="zh-CN"/>
        </w:rPr>
        <w:t>exme</w:t>
      </w:r>
      <w:r>
        <w:rPr>
          <w:rFonts w:cs="Times New Roman"/>
          <w:szCs w:val="24"/>
          <w:lang w:val="en-US" w:eastAsia="zh-CN"/>
        </w:rPr>
        <w:t>de</w:t>
      </w:r>
      <w:r>
        <w:rPr>
          <w:rFonts w:cs="Times New Roman"/>
          <w:szCs w:val="24"/>
          <w:lang w:eastAsia="zh-CN"/>
        </w:rPr>
        <w:t>tomidine</w:t>
      </w:r>
      <w:bookmarkEnd w:id="30"/>
      <w:bookmarkEnd w:id="31"/>
      <w:r>
        <w:rPr>
          <w:color w:val="auto"/>
          <w:szCs w:val="24"/>
          <w:lang w:val="en-US" w:eastAsia="zh-CN"/>
        </w:rPr>
        <w:t xml:space="preserve"> </w:t>
      </w:r>
    </w:p>
    <w:p w14:paraId="03599009" w14:textId="77777777" w:rsidR="003B79BC" w:rsidRDefault="00000000">
      <w:pPr>
        <w:pStyle w:val="Heading3"/>
        <w:numPr>
          <w:ilvl w:val="0"/>
          <w:numId w:val="9"/>
        </w:numPr>
        <w:ind w:left="426" w:hanging="426"/>
        <w:rPr>
          <w:lang w:val="id-ID" w:eastAsia="zh-CN"/>
        </w:rPr>
      </w:pPr>
      <w:bookmarkStart w:id="32" w:name="_Toc158290246"/>
      <w:r>
        <w:rPr>
          <w:lang w:val="id-ID" w:eastAsia="zh-CN"/>
        </w:rPr>
        <w:t xml:space="preserve">Pengertian dan Fungsi </w:t>
      </w:r>
      <w:r>
        <w:rPr>
          <w:lang w:eastAsia="zh-CN"/>
        </w:rPr>
        <w:t>Dexme</w:t>
      </w:r>
      <w:r>
        <w:rPr>
          <w:lang w:val="en-US" w:eastAsia="zh-CN"/>
        </w:rPr>
        <w:t>de</w:t>
      </w:r>
      <w:r>
        <w:rPr>
          <w:lang w:eastAsia="zh-CN"/>
        </w:rPr>
        <w:t>tomidine</w:t>
      </w:r>
      <w:bookmarkEnd w:id="32"/>
    </w:p>
    <w:p w14:paraId="1DF75388" w14:textId="77777777" w:rsidR="003B79BC" w:rsidRPr="00F426C1" w:rsidRDefault="00000000">
      <w:pPr>
        <w:spacing w:line="360" w:lineRule="auto"/>
        <w:ind w:firstLine="709"/>
        <w:jc w:val="both"/>
        <w:rPr>
          <w:rFonts w:eastAsiaTheme="minorEastAsia"/>
          <w:lang w:val="pt-BR" w:eastAsia="zh-CN"/>
        </w:rPr>
      </w:pPr>
      <w:r w:rsidRPr="00374F09">
        <w:rPr>
          <w:color w:val="000000"/>
          <w:lang w:val="id-ID" w:eastAsia="zh-CN"/>
        </w:rPr>
        <w:t>D</w:t>
      </w:r>
      <w:r>
        <w:rPr>
          <w:color w:val="000000"/>
          <w:lang w:val="id-ID" w:eastAsia="zh-CN"/>
        </w:rPr>
        <w:t>e</w:t>
      </w:r>
      <w:r w:rsidRPr="00374F09">
        <w:rPr>
          <w:color w:val="000000"/>
          <w:lang w:val="id-ID" w:eastAsia="zh-CN"/>
        </w:rPr>
        <w:t xml:space="preserve">xmedetomidine adalah </w:t>
      </w:r>
      <w:r>
        <w:rPr>
          <w:color w:val="000000"/>
          <w:lang w:val="id-ID" w:eastAsia="zh-CN"/>
        </w:rPr>
        <w:t>a</w:t>
      </w:r>
      <w:r w:rsidRPr="00374F09">
        <w:rPr>
          <w:color w:val="000000"/>
          <w:lang w:val="id-ID" w:eastAsia="zh-CN"/>
        </w:rPr>
        <w:t>2-agonis yang</w:t>
      </w:r>
      <w:r>
        <w:rPr>
          <w:color w:val="000000"/>
          <w:lang w:val="id-ID" w:eastAsia="zh-CN"/>
        </w:rPr>
        <w:t xml:space="preserve"> sangat selektif</w:t>
      </w:r>
      <w:r w:rsidRPr="00374F09">
        <w:rPr>
          <w:color w:val="000000"/>
          <w:lang w:val="id-ID" w:eastAsia="zh-CN"/>
        </w:rPr>
        <w:t xml:space="preserve"> </w:t>
      </w:r>
      <w:r>
        <w:rPr>
          <w:color w:val="000000"/>
          <w:lang w:val="id-ID" w:eastAsia="zh-CN"/>
        </w:rPr>
        <w:t xml:space="preserve">yang </w:t>
      </w:r>
      <w:r w:rsidRPr="00374F09">
        <w:rPr>
          <w:color w:val="000000"/>
          <w:lang w:val="id-ID" w:eastAsia="zh-CN"/>
        </w:rPr>
        <w:t>memberikan sedasi yang sejajar dengan tidur alami, anxiolysis, simpatolisis dan efek hemat anestesi tanpa depresi pernapasan yang signifikan secara klinis.</w:t>
      </w:r>
      <w:r>
        <w:rPr>
          <w:color w:val="000000"/>
          <w:lang w:val="en-US"/>
        </w:rPr>
        <w:fldChar w:fldCharType="begin" w:fldLock="1"/>
      </w:r>
      <w:r w:rsidRPr="00374F09">
        <w:rPr>
          <w:color w:val="000000"/>
          <w:lang w:val="id-ID" w:eastAsia="zh-CN"/>
        </w:rPr>
        <w:instrText>ADDIN CSL_CITATION {"citationItems":[{"id":"ITEM-1","itemData":{"DOI":"10.1016/j.bjae.2020.05.004","ISSN":"20585357","author":[{"dropping-particle":"","family":"Lin","given":"R.","non-dropping-particle":"","parse-names":false,"suffix":""},{"dropping-particle":"","family":"Ansermino","given":"J. M.","non-dropping-particle":"","parse-names":false,"suffix":""}],"container-title":"BJA Education","id":"ITEM-1","issue":"10","issued":{"date-parts":[["2020"]]},"page":"348-353","publisher":"Elsevier Ltd","title":"Dexmedetomidine in paediatric anaesthesia","type":"article-journal","volume":"20"},"uris":["http://www.mendeley.com/documents/?uuid=fd8874cb-7019-426e-8746-8c8f47420af2"]}],"mendeley":{"formattedCitation":"&lt;sup&gt;16&lt;/sup&gt;","plainTextFormattedCitation":"16","previouslyFormattedCitation":"&lt;sup&gt;16&lt;/sup&gt;"},"properties":{"noteIndex":0},"schema":"https://github.com/citation-style-language/schema/raw/master/csl-citation.json"}</w:instrText>
      </w:r>
      <w:r>
        <w:rPr>
          <w:color w:val="000000"/>
          <w:lang w:val="en-US"/>
        </w:rPr>
        <w:fldChar w:fldCharType="separate"/>
      </w:r>
      <w:r>
        <w:rPr>
          <w:noProof/>
          <w:color w:val="000000"/>
          <w:vertAlign w:val="superscript"/>
          <w:lang w:val="en-US" w:eastAsia="zh-CN"/>
        </w:rPr>
        <w:t>16</w:t>
      </w:r>
      <w:r>
        <w:rPr>
          <w:color w:val="000000"/>
          <w:lang w:val="en-US"/>
        </w:rPr>
        <w:fldChar w:fldCharType="end"/>
      </w:r>
      <w:r>
        <w:rPr>
          <w:color w:val="2197D2"/>
          <w:lang w:val="id-ID" w:eastAsia="zh-CN"/>
        </w:rPr>
        <w:t xml:space="preserve"> </w:t>
      </w:r>
      <w:r>
        <w:rPr>
          <w:rFonts w:eastAsia="MinionPro-Regular"/>
          <w:lang w:val="en-US" w:eastAsia="zh-CN"/>
        </w:rPr>
        <w:t>De</w:t>
      </w:r>
      <w:r>
        <w:rPr>
          <w:rFonts w:eastAsia="MinionPro-Regular"/>
          <w:lang w:val="en-US"/>
        </w:rPr>
        <w:t xml:space="preserve">xmedetomidine </w:t>
      </w:r>
      <w:proofErr w:type="spellStart"/>
      <w:r>
        <w:rPr>
          <w:rFonts w:eastAsia="MinionPro-Regular"/>
          <w:lang w:val="en-US"/>
        </w:rPr>
        <w:t>menginduksi</w:t>
      </w:r>
      <w:proofErr w:type="spellEnd"/>
      <w:r>
        <w:rPr>
          <w:rFonts w:eastAsia="MinionPro-Regular"/>
          <w:lang w:val="en-US"/>
        </w:rPr>
        <w:t xml:space="preserve"> </w:t>
      </w:r>
      <w:proofErr w:type="spellStart"/>
      <w:r>
        <w:rPr>
          <w:rFonts w:eastAsia="MinionPro-Regular"/>
          <w:lang w:val="en-US"/>
        </w:rPr>
        <w:t>respons</w:t>
      </w:r>
      <w:proofErr w:type="spellEnd"/>
      <w:r>
        <w:rPr>
          <w:rFonts w:eastAsia="MinionPro-Regular"/>
          <w:lang w:val="en-US"/>
        </w:rPr>
        <w:t xml:space="preserve"> </w:t>
      </w:r>
      <w:proofErr w:type="spellStart"/>
      <w:r>
        <w:rPr>
          <w:rFonts w:eastAsia="MinionPro-Regular"/>
          <w:lang w:val="en-US"/>
        </w:rPr>
        <w:t>sedatif</w:t>
      </w:r>
      <w:proofErr w:type="spellEnd"/>
      <w:r>
        <w:rPr>
          <w:rFonts w:eastAsia="MinionPro-Regular"/>
          <w:lang w:val="en-US"/>
        </w:rPr>
        <w:t xml:space="preserve"> yang </w:t>
      </w:r>
      <w:proofErr w:type="spellStart"/>
      <w:r>
        <w:rPr>
          <w:rFonts w:eastAsia="MinionPro-Regular"/>
          <w:lang w:val="en-US"/>
        </w:rPr>
        <w:t>unik</w:t>
      </w:r>
      <w:proofErr w:type="spellEnd"/>
      <w:r>
        <w:rPr>
          <w:rFonts w:eastAsia="MinionPro-Regular"/>
          <w:lang w:val="en-US"/>
        </w:rPr>
        <w:t xml:space="preserve">, yang </w:t>
      </w:r>
      <w:proofErr w:type="spellStart"/>
      <w:r>
        <w:rPr>
          <w:rFonts w:eastAsia="MinionPro-Regular"/>
          <w:lang w:val="en-US"/>
        </w:rPr>
        <w:t>menunjukkan</w:t>
      </w:r>
      <w:proofErr w:type="spellEnd"/>
      <w:r>
        <w:rPr>
          <w:rFonts w:eastAsia="MinionPro-Regular"/>
          <w:lang w:val="en-US"/>
        </w:rPr>
        <w:t xml:space="preserve"> </w:t>
      </w:r>
      <w:proofErr w:type="spellStart"/>
      <w:r>
        <w:rPr>
          <w:rFonts w:eastAsia="MinionPro-Regular"/>
          <w:lang w:val="en-US"/>
        </w:rPr>
        <w:t>transisi</w:t>
      </w:r>
      <w:proofErr w:type="spellEnd"/>
      <w:r>
        <w:rPr>
          <w:rFonts w:eastAsia="MinionPro-Regular"/>
          <w:lang w:val="en-US"/>
        </w:rPr>
        <w:t xml:space="preserve"> yang </w:t>
      </w:r>
      <w:proofErr w:type="spellStart"/>
      <w:r>
        <w:rPr>
          <w:rFonts w:eastAsia="MinionPro-Regular"/>
          <w:lang w:val="en-US"/>
        </w:rPr>
        <w:t>mudah</w:t>
      </w:r>
      <w:proofErr w:type="spellEnd"/>
      <w:r>
        <w:rPr>
          <w:rFonts w:eastAsia="MinionPro-Regular"/>
          <w:lang w:val="en-US"/>
        </w:rPr>
        <w:t xml:space="preserve"> </w:t>
      </w:r>
      <w:proofErr w:type="spellStart"/>
      <w:r>
        <w:rPr>
          <w:rFonts w:eastAsia="MinionPro-Regular"/>
          <w:lang w:val="en-US"/>
        </w:rPr>
        <w:t>dari</w:t>
      </w:r>
      <w:proofErr w:type="spellEnd"/>
      <w:r>
        <w:rPr>
          <w:rFonts w:eastAsia="MinionPro-Regular"/>
          <w:lang w:val="en-US"/>
        </w:rPr>
        <w:t xml:space="preserve"> </w:t>
      </w:r>
      <w:proofErr w:type="spellStart"/>
      <w:r>
        <w:rPr>
          <w:rFonts w:eastAsia="MinionPro-Regular"/>
          <w:lang w:val="en-US"/>
        </w:rPr>
        <w:t>tidur</w:t>
      </w:r>
      <w:proofErr w:type="spellEnd"/>
      <w:r>
        <w:rPr>
          <w:rFonts w:eastAsia="MinionPro-Regular"/>
          <w:lang w:val="en-US"/>
        </w:rPr>
        <w:t xml:space="preserve"> ke </w:t>
      </w:r>
      <w:proofErr w:type="spellStart"/>
      <w:r>
        <w:rPr>
          <w:rFonts w:eastAsia="MinionPro-Regular"/>
          <w:lang w:val="en-US"/>
        </w:rPr>
        <w:t>terjaga</w:t>
      </w:r>
      <w:proofErr w:type="spellEnd"/>
      <w:r>
        <w:rPr>
          <w:rFonts w:eastAsia="MinionPro-Regular"/>
          <w:lang w:val="en-US"/>
        </w:rPr>
        <w:t xml:space="preserve">, </w:t>
      </w:r>
      <w:proofErr w:type="spellStart"/>
      <w:r>
        <w:rPr>
          <w:rFonts w:eastAsia="MinionPro-Regular"/>
          <w:lang w:val="en-US"/>
        </w:rPr>
        <w:t>sehingga</w:t>
      </w:r>
      <w:proofErr w:type="spellEnd"/>
      <w:r>
        <w:rPr>
          <w:rFonts w:eastAsia="MinionPro-Regular"/>
          <w:lang w:val="en-US"/>
        </w:rPr>
        <w:t xml:space="preserve"> </w:t>
      </w:r>
      <w:proofErr w:type="spellStart"/>
      <w:r>
        <w:rPr>
          <w:rFonts w:eastAsia="MinionPro-Regular"/>
          <w:lang w:val="en-US"/>
        </w:rPr>
        <w:t>memungkinkan</w:t>
      </w:r>
      <w:proofErr w:type="spellEnd"/>
      <w:r>
        <w:rPr>
          <w:rFonts w:eastAsia="MinionPro-Regular"/>
          <w:lang w:val="en-US"/>
        </w:rPr>
        <w:t xml:space="preserve"> pasien untuk </w:t>
      </w:r>
      <w:proofErr w:type="spellStart"/>
      <w:r>
        <w:rPr>
          <w:rFonts w:eastAsia="MinionPro-Regular"/>
          <w:lang w:val="en-US"/>
        </w:rPr>
        <w:t>bersikap</w:t>
      </w:r>
      <w:proofErr w:type="spellEnd"/>
      <w:r>
        <w:rPr>
          <w:rFonts w:eastAsia="MinionPro-Regular"/>
          <w:lang w:val="en-US"/>
        </w:rPr>
        <w:t xml:space="preserve"> </w:t>
      </w:r>
      <w:proofErr w:type="spellStart"/>
      <w:r>
        <w:rPr>
          <w:rFonts w:eastAsia="MinionPro-Regular"/>
          <w:lang w:val="en-US"/>
        </w:rPr>
        <w:t>kooperatif</w:t>
      </w:r>
      <w:proofErr w:type="spellEnd"/>
      <w:r>
        <w:rPr>
          <w:rFonts w:eastAsia="MinionPro-Regular"/>
          <w:lang w:val="en-US"/>
        </w:rPr>
        <w:t xml:space="preserve"> dan </w:t>
      </w:r>
      <w:proofErr w:type="spellStart"/>
      <w:r>
        <w:rPr>
          <w:rFonts w:eastAsia="MinionPro-Regular"/>
          <w:lang w:val="en-US"/>
        </w:rPr>
        <w:t>komunikatif</w:t>
      </w:r>
      <w:proofErr w:type="spellEnd"/>
      <w:r>
        <w:rPr>
          <w:rFonts w:eastAsia="MinionPro-Regular"/>
          <w:lang w:val="en-US"/>
        </w:rPr>
        <w:t xml:space="preserve"> saat </w:t>
      </w:r>
      <w:proofErr w:type="spellStart"/>
      <w:r>
        <w:rPr>
          <w:rFonts w:eastAsia="MinionPro-Regular"/>
          <w:lang w:val="en-US"/>
        </w:rPr>
        <w:t>distimulasi</w:t>
      </w:r>
      <w:proofErr w:type="spellEnd"/>
      <w:r>
        <w:rPr>
          <w:rFonts w:eastAsia="MinionPro-Regular"/>
          <w:lang w:val="en-US"/>
        </w:rPr>
        <w:t xml:space="preserve">. Dexmedetomidine dapat </w:t>
      </w:r>
      <w:proofErr w:type="spellStart"/>
      <w:r>
        <w:rPr>
          <w:rFonts w:eastAsia="MinionPro-Regular"/>
          <w:lang w:val="en-US"/>
        </w:rPr>
        <w:t>menghasilkan</w:t>
      </w:r>
      <w:proofErr w:type="spellEnd"/>
      <w:r>
        <w:rPr>
          <w:rFonts w:eastAsia="MinionPro-Regular"/>
          <w:lang w:val="en-US"/>
        </w:rPr>
        <w:t xml:space="preserve"> </w:t>
      </w:r>
      <w:proofErr w:type="spellStart"/>
      <w:r>
        <w:rPr>
          <w:rFonts w:eastAsia="MinionPro-Regular"/>
          <w:lang w:val="en-US"/>
        </w:rPr>
        <w:t>lebih</w:t>
      </w:r>
      <w:proofErr w:type="spellEnd"/>
      <w:r>
        <w:rPr>
          <w:rFonts w:eastAsia="MinionPro-Regular"/>
          <w:lang w:val="en-US"/>
        </w:rPr>
        <w:t xml:space="preserve"> </w:t>
      </w:r>
      <w:proofErr w:type="spellStart"/>
      <w:r>
        <w:rPr>
          <w:rFonts w:eastAsia="MinionPro-Regular"/>
          <w:lang w:val="en-US"/>
        </w:rPr>
        <w:t>sedikit</w:t>
      </w:r>
      <w:proofErr w:type="spellEnd"/>
      <w:r>
        <w:rPr>
          <w:rFonts w:eastAsia="MinionPro-Regular"/>
          <w:lang w:val="en-US"/>
        </w:rPr>
        <w:t xml:space="preserve"> delirium </w:t>
      </w:r>
      <w:proofErr w:type="spellStart"/>
      <w:r>
        <w:rPr>
          <w:rFonts w:eastAsia="MinionPro-Regular"/>
          <w:lang w:val="en-US"/>
        </w:rPr>
        <w:t>daripada</w:t>
      </w:r>
      <w:proofErr w:type="spellEnd"/>
      <w:r>
        <w:rPr>
          <w:rFonts w:eastAsia="MinionPro-Regular"/>
          <w:lang w:val="en-US"/>
        </w:rPr>
        <w:t xml:space="preserve"> obat </w:t>
      </w:r>
      <w:proofErr w:type="spellStart"/>
      <w:r>
        <w:rPr>
          <w:rFonts w:eastAsia="MinionPro-Regular"/>
          <w:lang w:val="en-US"/>
        </w:rPr>
        <w:t>penenang</w:t>
      </w:r>
      <w:proofErr w:type="spellEnd"/>
      <w:r>
        <w:rPr>
          <w:rFonts w:eastAsia="MinionPro-Regular"/>
          <w:lang w:val="en-US"/>
        </w:rPr>
        <w:t xml:space="preserve"> lain atau </w:t>
      </w:r>
      <w:proofErr w:type="spellStart"/>
      <w:r>
        <w:rPr>
          <w:rFonts w:eastAsia="MinionPro-Regular"/>
          <w:lang w:val="en-US"/>
        </w:rPr>
        <w:t>bahkan</w:t>
      </w:r>
      <w:proofErr w:type="spellEnd"/>
      <w:r>
        <w:rPr>
          <w:rFonts w:eastAsia="MinionPro-Regular"/>
          <w:lang w:val="en-US"/>
        </w:rPr>
        <w:t xml:space="preserve"> </w:t>
      </w:r>
      <w:proofErr w:type="spellStart"/>
      <w:r>
        <w:rPr>
          <w:rFonts w:eastAsia="MinionPro-Regular"/>
          <w:lang w:val="en-US"/>
        </w:rPr>
        <w:t>mencegah</w:t>
      </w:r>
      <w:proofErr w:type="spellEnd"/>
      <w:r>
        <w:rPr>
          <w:rFonts w:eastAsia="MinionPro-Regular"/>
          <w:lang w:val="en-US"/>
        </w:rPr>
        <w:t xml:space="preserve"> delirium. </w:t>
      </w:r>
      <w:proofErr w:type="spellStart"/>
      <w:r>
        <w:rPr>
          <w:rFonts w:eastAsia="MinionPro-Regular"/>
          <w:lang w:val="en-US"/>
        </w:rPr>
        <w:t>Efek</w:t>
      </w:r>
      <w:proofErr w:type="spellEnd"/>
      <w:r>
        <w:rPr>
          <w:rFonts w:eastAsia="MinionPro-Regular"/>
          <w:lang w:val="en-US"/>
        </w:rPr>
        <w:t xml:space="preserve"> </w:t>
      </w:r>
      <w:proofErr w:type="spellStart"/>
      <w:r>
        <w:rPr>
          <w:rFonts w:eastAsia="MinionPro-Regular"/>
          <w:lang w:val="en-US"/>
        </w:rPr>
        <w:t>analgesik</w:t>
      </w:r>
      <w:proofErr w:type="spellEnd"/>
      <w:r>
        <w:rPr>
          <w:rFonts w:eastAsia="MinionPro-Regular"/>
          <w:lang w:val="en-US"/>
        </w:rPr>
        <w:t xml:space="preserve"> dexmedetomidine tidak </w:t>
      </w:r>
      <w:proofErr w:type="spellStart"/>
      <w:r>
        <w:rPr>
          <w:rFonts w:eastAsia="MinionPro-Regular"/>
          <w:lang w:val="en-US"/>
        </w:rPr>
        <w:t>kuat</w:t>
      </w:r>
      <w:proofErr w:type="spellEnd"/>
      <w:r>
        <w:rPr>
          <w:rFonts w:eastAsia="MinionPro-Regular"/>
          <w:lang w:val="id-ID"/>
        </w:rPr>
        <w:t>,</w:t>
      </w:r>
      <w:r>
        <w:rPr>
          <w:rFonts w:eastAsia="MinionPro-Regular"/>
          <w:lang w:val="en-US"/>
        </w:rPr>
        <w:t xml:space="preserve"> </w:t>
      </w:r>
      <w:r>
        <w:rPr>
          <w:rFonts w:eastAsia="MinionPro-Regular"/>
          <w:lang w:val="id-ID"/>
        </w:rPr>
        <w:t>n</w:t>
      </w:r>
      <w:proofErr w:type="spellStart"/>
      <w:r>
        <w:rPr>
          <w:rFonts w:eastAsia="MinionPro-Regular"/>
          <w:lang w:val="en-US"/>
        </w:rPr>
        <w:t>amun</w:t>
      </w:r>
      <w:proofErr w:type="spellEnd"/>
      <w:r>
        <w:rPr>
          <w:rFonts w:eastAsia="MinionPro-Regular"/>
          <w:lang w:val="id-ID"/>
        </w:rPr>
        <w:t xml:space="preserve"> </w:t>
      </w:r>
      <w:r>
        <w:rPr>
          <w:rFonts w:eastAsia="MinionPro-Regular"/>
          <w:lang w:val="en-US"/>
        </w:rPr>
        <w:t xml:space="preserve">dapat </w:t>
      </w:r>
      <w:proofErr w:type="spellStart"/>
      <w:r>
        <w:rPr>
          <w:rFonts w:eastAsia="MinionPro-Regular"/>
          <w:lang w:val="en-US"/>
        </w:rPr>
        <w:t>diberikan</w:t>
      </w:r>
      <w:proofErr w:type="spellEnd"/>
      <w:r>
        <w:rPr>
          <w:rFonts w:eastAsia="MinionPro-Regular"/>
          <w:lang w:val="en-US"/>
        </w:rPr>
        <w:t xml:space="preserve"> </w:t>
      </w:r>
      <w:proofErr w:type="spellStart"/>
      <w:r>
        <w:rPr>
          <w:rFonts w:eastAsia="MinionPro-Regular"/>
          <w:lang w:val="en-US"/>
        </w:rPr>
        <w:t>sebagai</w:t>
      </w:r>
      <w:proofErr w:type="spellEnd"/>
      <w:r>
        <w:rPr>
          <w:rFonts w:eastAsia="MinionPro-Regular"/>
          <w:lang w:val="en-US"/>
        </w:rPr>
        <w:t xml:space="preserve"> </w:t>
      </w:r>
      <w:proofErr w:type="spellStart"/>
      <w:r>
        <w:rPr>
          <w:rFonts w:eastAsia="MinionPro-Regular"/>
          <w:lang w:val="en-US"/>
        </w:rPr>
        <w:t>adjuvan</w:t>
      </w:r>
      <w:proofErr w:type="spellEnd"/>
      <w:r>
        <w:rPr>
          <w:rFonts w:eastAsia="MinionPro-Regular"/>
          <w:lang w:val="en-US"/>
        </w:rPr>
        <w:t xml:space="preserve"> </w:t>
      </w:r>
      <w:proofErr w:type="spellStart"/>
      <w:r>
        <w:rPr>
          <w:rFonts w:eastAsia="MinionPro-Regular"/>
          <w:lang w:val="en-US"/>
        </w:rPr>
        <w:t>analgesik</w:t>
      </w:r>
      <w:proofErr w:type="spellEnd"/>
      <w:r>
        <w:rPr>
          <w:rFonts w:eastAsia="MinionPro-Regular"/>
          <w:lang w:val="en-US"/>
        </w:rPr>
        <w:t>.</w:t>
      </w:r>
      <w:r>
        <w:rPr>
          <w:rFonts w:eastAsia="MinionPro-Regular"/>
          <w:lang w:val="en-US"/>
        </w:rPr>
        <w:fldChar w:fldCharType="begin" w:fldLock="1"/>
      </w:r>
      <w:r>
        <w:rPr>
          <w:rFonts w:eastAsia="MinionPro-Regular"/>
          <w:lang w:val="en-US"/>
        </w:rPr>
        <w:instrText>ADDIN CSL_CITATION {"citationItems":[{"id":"ITEM-1","itemData":{"DOI":"10.4097/kja.19259","ISBN":"0000000226752","ISSN":"20057563","PMID":"31220910","abstract":"Dexmedetomidine is a potent, highly selective α-2 adrenoceptor agonist, with sedative, analgesic, anxiolytic, sympatholytic, and opioid-sparing properties. Dexmedetomidine induces a unique sedative response, which shows an easy transition from sleep to wakefulness, thus allowing a patient to be cooperative and communicative when stimulated. Dexmedetomidine may produce less delirium than other sedatives or even prevent delirium. The analgesic effect of dexmedetomidine is not strong; however, it can be administered as a useful analgesic adjuvant. As an anesthetic adjuvant, dexmedetomidine decreases the need for opioids, inhalational anesthetics, and intravenous anesthetics. The sympatholytic effect of dexmedetomidine may provide stable hemodynamics during the perioperative period. Dexmedetomidine-induced cooperative sedation with minimal respiratory depression provides safe and acceptable conditions during neurosurgical proce</w:instrText>
      </w:r>
      <w:r w:rsidRPr="00374F09">
        <w:rPr>
          <w:rFonts w:eastAsia="MinionPro-Regular"/>
          <w:lang w:val="pt-BR"/>
        </w:rPr>
        <w:instrText xml:space="preserve">dures in awake patients and awake fiberoptic intubation. Despite the lack of pediatric labelling, dexmedetomidine has been widely studied for pediatric use in various applications. Most adverse events associated with dexmedetomidine occur during or shortly after a loading infusion. There are some case reports of dexmedetomidine-related </w:instrText>
      </w:r>
      <w:r w:rsidRPr="00F426C1">
        <w:rPr>
          <w:rFonts w:eastAsia="MinionPro-Regular"/>
          <w:lang w:val="pt-BR"/>
        </w:rPr>
        <w:instrText>cardiac arrest following severe bradycardia. Some extended applications of dexmedetomidine discussed in this review are promising, but still limited, and further research is required. The pharmacological properties and possible adverse effects of dexmedetomidine should be well understood by the anesthesiologist prior to use. Moreover, it is necessary to select patients carefully and to determine the appropriate dosage of dexmedetomidine to ensure patient safety.","author":[{"dropping-particle":"","family":"Lee","given":"Seongheon","non-dropping-particle":"","parse-names":false,"suffix":""}],"container-title":"Korean Journal of Anesthesiology","id":"ITEM-1","issue":"4","issued":{"date-parts":[["2019"]]},"page":"323-330","title":"Dexmedetomidine: Present and future directions","type":"article-journal","volume":"72"},"uris":["http://www.mendeley.com/documents/?uuid=531553d9-2cd6-4a8b-abbf-08231c80ca22"]}],"mendeley":{"formattedCitation":"&lt;sup&gt;9&lt;/sup&gt;","plainTextFormattedCitation":"9","previouslyFormattedCitation":"&lt;sup&gt;9&lt;/sup&gt;"},"properties":{"noteIndex":0},"schema":"https://github.com/citation-style-language/schema/raw/master/csl-citation.json"}</w:instrText>
      </w:r>
      <w:r>
        <w:rPr>
          <w:rFonts w:eastAsia="MinionPro-Regular"/>
          <w:lang w:val="en-US"/>
        </w:rPr>
        <w:fldChar w:fldCharType="separate"/>
      </w:r>
      <w:r w:rsidRPr="00F426C1">
        <w:rPr>
          <w:rFonts w:eastAsia="MinionPro-Regular"/>
          <w:noProof/>
          <w:vertAlign w:val="superscript"/>
          <w:lang w:val="pt-BR"/>
        </w:rPr>
        <w:t>9</w:t>
      </w:r>
      <w:r>
        <w:rPr>
          <w:rFonts w:eastAsia="MinionPro-Regular"/>
          <w:lang w:val="en-US"/>
        </w:rPr>
        <w:fldChar w:fldCharType="end"/>
      </w:r>
      <w:r>
        <w:rPr>
          <w:rFonts w:eastAsia="MinionPro-Regular"/>
          <w:lang w:val="id-ID"/>
        </w:rPr>
        <w:t xml:space="preserve"> </w:t>
      </w:r>
      <w:r w:rsidRPr="00F426C1">
        <w:rPr>
          <w:rFonts w:eastAsia="MinionPro-Regular"/>
          <w:color w:val="000000"/>
          <w:lang w:val="pt-BR"/>
        </w:rPr>
        <w:t>Dexmedetomidine secara nyata dapat mengurangi kebutuhan anestesi inhalasi dan anestesi intravena. Dexmedetomidine juga dapat menurunkan dosis opioid yang diperlukan, baik perioperatif maupun postoperatif, pada pasien yang menjalani berbagai prosedur pembedahan. Efek hemat opioid dari dexmedetomidine ini mengurangi penggunaan opioid dan dengan demikian mengurangi risiko depresi pernapasan yang diinduksi opioid pada pasien bariatrik atau mereka yang memiliki penyakit pernapasan signifikan.</w:t>
      </w:r>
      <w:r>
        <w:rPr>
          <w:rFonts w:eastAsia="MinionPro-Regular"/>
          <w:lang w:val="en-US"/>
        </w:rPr>
        <w:fldChar w:fldCharType="begin" w:fldLock="1"/>
      </w:r>
      <w:r w:rsidRPr="00F426C1">
        <w:rPr>
          <w:rFonts w:eastAsia="MinionPro-Regular"/>
          <w:lang w:val="pt-BR"/>
        </w:rPr>
        <w:instrText xml:space="preserve">ADDIN CSL_CITATION {"citationItems":[{"id":"ITEM-1","itemData":{"DOI":"10.4097/kja.19259","ISBN":"0000000226752","ISSN":"20057563","PMID":"31220910","abstract":"Dexmedetomidine is a potent, highly selective </w:instrText>
      </w:r>
      <w:r>
        <w:rPr>
          <w:rFonts w:eastAsia="MinionPro-Regular"/>
          <w:lang w:val="en-US"/>
        </w:rPr>
        <w:instrText>α</w:instrText>
      </w:r>
      <w:r w:rsidRPr="00F426C1">
        <w:rPr>
          <w:rFonts w:eastAsia="MinionPro-Regular"/>
          <w:lang w:val="pt-BR"/>
        </w:rPr>
        <w:instrText>-2 adrenoceptor agonist, with sedative, analgesic, anxiolytic, sympatholytic, and opioid-sparing properties. Dexmedetomidine induces a unique sedative response, which shows an easy transition from sleep to wakefulness, thus allowing a patient to be cooperative and communicative when stimulated. Dexmedetomidine may produce less delirium than other sedatives or even prevent delirium. The analgesic effect of dexmedetomidine is not strong; however, it can be administered as a useful analgesic adjuvant. As an anesthetic adjuvant, dexmedetomidine decreases the need for opioids, inhalational anesthetics, and intravenous anesthetics. The sympatholytic effect of dexmedetomidine may provide stable hemodynamics during the perioperative period. Dexmedetomidine-induced cooperative sedation with minimal respiratory depression provides safe and acceptable conditions during neurosurgical procedures in awake patients and awake fiberoptic intubation. Despite the lack of pediatric labelling, dexmedetomidine has been widely studied for pediatric use in various applications. Most adverse events associated with dexmedetomidine occur during or shortly after a loading infusion. There are some case reports of dexmedetomidine-related cardiac arrest following severe bradycardia. Some extended applications of dexmedetomidine discussed in this review are promising, but still limited, and further research is required. The pharmacological properties and possible adverse effects of dexmedetomidine should be well understood by the anesthesiologist prior to use. Moreover, it is necessary to select patients carefully and to determine the appropriate dosage of dexmedetomidine to ensure patient safety.","author":[{"dropping-particle":"","family":"Lee","given":"Seongheon","non-dropping-particle":"","parse-names":false,"suffix":""}],"container-title":"Korean Journal of Anesthesiology","id":"ITEM-1","issue":"4","issued":{"date-parts":[["2019"]]},"page":"323-330","title":"Dexmedetomidine: Present and future directions","type":"article-journal","volume":"72"},"uris":["http://www.mendeley.com/documents/?uuid=531553d9-2cd6-4a8b-abbf-08231c80ca22"]}],"mendeley":{"formattedCitation":"&lt;sup&gt;9&lt;/sup&gt;","plainTextFormattedCitation":"9","previouslyFormattedCitation":"&lt;sup&gt;9&lt;/sup&gt;"},"properties":{"noteIndex":0},"schema":"https://github.com/citation-style-language/schema/raw/master/csl-citation.json"}</w:instrText>
      </w:r>
      <w:r>
        <w:rPr>
          <w:rFonts w:eastAsia="MinionPro-Regular"/>
          <w:lang w:val="en-US"/>
        </w:rPr>
        <w:fldChar w:fldCharType="separate"/>
      </w:r>
      <w:r w:rsidRPr="00F426C1">
        <w:rPr>
          <w:rFonts w:eastAsia="MinionPro-Regular"/>
          <w:noProof/>
          <w:vertAlign w:val="superscript"/>
          <w:lang w:val="pt-BR"/>
        </w:rPr>
        <w:t>9</w:t>
      </w:r>
      <w:r>
        <w:rPr>
          <w:rFonts w:eastAsia="MinionPro-Regular"/>
          <w:lang w:val="en-US"/>
        </w:rPr>
        <w:fldChar w:fldCharType="end"/>
      </w:r>
    </w:p>
    <w:p w14:paraId="344C4CF7" w14:textId="77777777" w:rsidR="003B79BC" w:rsidRDefault="00000000">
      <w:pPr>
        <w:pStyle w:val="Heading3"/>
        <w:numPr>
          <w:ilvl w:val="0"/>
          <w:numId w:val="9"/>
        </w:numPr>
        <w:ind w:left="426" w:hanging="426"/>
        <w:rPr>
          <w:lang w:val="id-ID"/>
        </w:rPr>
      </w:pPr>
      <w:bookmarkStart w:id="33" w:name="_Toc158290247"/>
      <w:r>
        <w:rPr>
          <w:lang w:val="id-ID"/>
        </w:rPr>
        <w:t xml:space="preserve">Indikasi dan kontraindikasi </w:t>
      </w:r>
      <w:r>
        <w:t>dexme</w:t>
      </w:r>
      <w:r w:rsidRPr="00F426C1">
        <w:rPr>
          <w:lang w:val="pt-BR"/>
        </w:rPr>
        <w:t>de</w:t>
      </w:r>
      <w:r>
        <w:t>tomidine</w:t>
      </w:r>
      <w:bookmarkEnd w:id="33"/>
    </w:p>
    <w:p w14:paraId="6E318149" w14:textId="77777777" w:rsidR="003B79BC" w:rsidRDefault="00000000">
      <w:pPr>
        <w:spacing w:line="360" w:lineRule="auto"/>
        <w:ind w:firstLine="709"/>
        <w:jc w:val="both"/>
        <w:rPr>
          <w:color w:val="000000"/>
          <w:lang w:val="id-ID"/>
        </w:rPr>
      </w:pPr>
      <w:r w:rsidRPr="00374F09">
        <w:rPr>
          <w:color w:val="000000"/>
          <w:lang w:val="id-ID"/>
        </w:rPr>
        <w:t>Indikasi yang disetujui FDA untuk dexmedetomidine adalah sedasi pada pasien yang diintubasi dan ventilasi mekanis di unit perawatan intensif (ICU) dan sedasi peri-prosedural (atau peri-operatif) pada pasien yang tidak diintubasi.</w:t>
      </w:r>
      <w:r>
        <w:rPr>
          <w:color w:val="000000"/>
          <w:lang w:val="en-US"/>
        </w:rPr>
        <w:fldChar w:fldCharType="begin" w:fldLock="1"/>
      </w:r>
      <w:r w:rsidRPr="00374F09">
        <w:rPr>
          <w:color w:val="000000"/>
          <w:lang w:val="id-ID"/>
        </w:rPr>
        <w:instrText>ADDIN CSL_CITATION {"citationItems":[{"id":"ITEM-1","itemData":{"author":[{"dropping-particle":"","family":"Reel","given":"Bradley","non-dropping-particle":"","parse-names":false,"suffix":""},{"dropping-particle":"V.","family":"Maani","given":"Christopher","non-dropping-particle":"","parse-names":false,"suffix":""}],"container-title":"StatPearls Publishing","id":"ITEM-1","issued":{"date-parts":[["2022"]]},"title":"Dexmedetomidine","type":"article-journal"},"uris":["http://www.mendeley.com/documents/?uuid=8ae9ef01-ad03-4bfb-8622-fd1b3bb3b699"]}],"mendeley":{"formattedCitation":"&lt;sup&gt;40&lt;/sup&gt;","plainTextFormattedCitation":"40","previouslyFormattedCitation":"&lt;sup&gt;40&lt;/sup&gt;"},"properties":{"noteIndex":0},"schema":"https://github.com/citation-style-language/schema/raw/master/csl-citation.json"}</w:instrText>
      </w:r>
      <w:r>
        <w:rPr>
          <w:color w:val="000000"/>
          <w:lang w:val="en-US"/>
        </w:rPr>
        <w:fldChar w:fldCharType="separate"/>
      </w:r>
      <w:r w:rsidRPr="00F426C1">
        <w:rPr>
          <w:noProof/>
          <w:color w:val="000000"/>
          <w:vertAlign w:val="superscript"/>
          <w:lang w:val="en-US"/>
        </w:rPr>
        <w:t>40</w:t>
      </w:r>
      <w:r>
        <w:rPr>
          <w:color w:val="000000"/>
          <w:lang w:val="en-US"/>
        </w:rPr>
        <w:fldChar w:fldCharType="end"/>
      </w:r>
      <w:r>
        <w:rPr>
          <w:color w:val="000000"/>
          <w:lang w:val="id-ID"/>
        </w:rPr>
        <w:t xml:space="preserve"> </w:t>
      </w:r>
      <w:proofErr w:type="spellStart"/>
      <w:r w:rsidRPr="00F426C1">
        <w:rPr>
          <w:color w:val="000000"/>
          <w:lang w:val="en-US"/>
        </w:rPr>
        <w:t>Kontraindikasi</w:t>
      </w:r>
      <w:proofErr w:type="spellEnd"/>
      <w:r w:rsidRPr="00F426C1">
        <w:rPr>
          <w:color w:val="000000"/>
          <w:lang w:val="en-US"/>
        </w:rPr>
        <w:t xml:space="preserve"> </w:t>
      </w:r>
      <w:proofErr w:type="spellStart"/>
      <w:r w:rsidRPr="00F426C1">
        <w:rPr>
          <w:color w:val="000000"/>
          <w:lang w:val="en-US"/>
        </w:rPr>
        <w:t>relatif</w:t>
      </w:r>
      <w:proofErr w:type="spellEnd"/>
      <w:r w:rsidRPr="00F426C1">
        <w:rPr>
          <w:color w:val="000000"/>
          <w:lang w:val="en-US"/>
        </w:rPr>
        <w:t xml:space="preserve"> atau </w:t>
      </w:r>
      <w:proofErr w:type="spellStart"/>
      <w:r w:rsidRPr="00F426C1">
        <w:rPr>
          <w:color w:val="000000"/>
          <w:lang w:val="en-US"/>
        </w:rPr>
        <w:t>tindakan</w:t>
      </w:r>
      <w:proofErr w:type="spellEnd"/>
      <w:r w:rsidRPr="00F426C1">
        <w:rPr>
          <w:color w:val="000000"/>
          <w:lang w:val="en-US"/>
        </w:rPr>
        <w:t xml:space="preserve"> </w:t>
      </w:r>
      <w:proofErr w:type="spellStart"/>
      <w:r w:rsidRPr="00F426C1">
        <w:rPr>
          <w:color w:val="000000"/>
          <w:lang w:val="en-US"/>
        </w:rPr>
        <w:t>pencegahan</w:t>
      </w:r>
      <w:proofErr w:type="spellEnd"/>
      <w:r w:rsidRPr="00F426C1">
        <w:rPr>
          <w:color w:val="000000"/>
          <w:lang w:val="en-US"/>
        </w:rPr>
        <w:t xml:space="preserve"> untuk </w:t>
      </w:r>
      <w:proofErr w:type="spellStart"/>
      <w:r w:rsidRPr="00F426C1">
        <w:rPr>
          <w:color w:val="000000"/>
          <w:lang w:val="en-US"/>
        </w:rPr>
        <w:t>penggunaan</w:t>
      </w:r>
      <w:proofErr w:type="spellEnd"/>
      <w:r w:rsidRPr="00F426C1">
        <w:rPr>
          <w:color w:val="000000"/>
          <w:lang w:val="en-US"/>
        </w:rPr>
        <w:t xml:space="preserve"> </w:t>
      </w:r>
      <w:r w:rsidRPr="00F426C1">
        <w:rPr>
          <w:color w:val="000000"/>
          <w:lang w:val="en-US"/>
        </w:rPr>
        <w:lastRenderedPageBreak/>
        <w:t xml:space="preserve">dexmedetomidine </w:t>
      </w:r>
      <w:r>
        <w:rPr>
          <w:color w:val="000000"/>
          <w:lang w:val="id-ID"/>
        </w:rPr>
        <w:t>yaitu b</w:t>
      </w:r>
      <w:proofErr w:type="spellStart"/>
      <w:r w:rsidRPr="00F426C1">
        <w:rPr>
          <w:color w:val="000000"/>
          <w:lang w:val="en-US"/>
        </w:rPr>
        <w:t>olus</w:t>
      </w:r>
      <w:proofErr w:type="spellEnd"/>
      <w:r w:rsidRPr="00F426C1">
        <w:rPr>
          <w:color w:val="000000"/>
          <w:lang w:val="en-US"/>
        </w:rPr>
        <w:t xml:space="preserve"> </w:t>
      </w:r>
      <w:proofErr w:type="spellStart"/>
      <w:r w:rsidRPr="00F426C1">
        <w:rPr>
          <w:color w:val="000000"/>
          <w:lang w:val="en-US"/>
        </w:rPr>
        <w:t>cepat</w:t>
      </w:r>
      <w:proofErr w:type="spellEnd"/>
      <w:r w:rsidRPr="00F426C1">
        <w:rPr>
          <w:color w:val="000000"/>
          <w:lang w:val="en-US"/>
        </w:rPr>
        <w:t xml:space="preserve"> dexmedetomidine dengan </w:t>
      </w:r>
      <w:proofErr w:type="spellStart"/>
      <w:r w:rsidRPr="00F426C1">
        <w:rPr>
          <w:color w:val="000000"/>
          <w:lang w:val="en-US"/>
        </w:rPr>
        <w:t>konsentrasi</w:t>
      </w:r>
      <w:proofErr w:type="spellEnd"/>
      <w:r w:rsidRPr="00F426C1">
        <w:rPr>
          <w:color w:val="000000"/>
          <w:lang w:val="en-US"/>
        </w:rPr>
        <w:t xml:space="preserve"> darah </w:t>
      </w:r>
      <w:proofErr w:type="spellStart"/>
      <w:r w:rsidRPr="00F426C1">
        <w:rPr>
          <w:color w:val="000000"/>
          <w:lang w:val="en-US"/>
        </w:rPr>
        <w:t>tinggi</w:t>
      </w:r>
      <w:proofErr w:type="spellEnd"/>
      <w:r w:rsidRPr="00F426C1">
        <w:rPr>
          <w:color w:val="000000"/>
          <w:lang w:val="en-US"/>
        </w:rPr>
        <w:t xml:space="preserve"> </w:t>
      </w:r>
      <w:proofErr w:type="spellStart"/>
      <w:r w:rsidRPr="00F426C1">
        <w:rPr>
          <w:color w:val="000000"/>
          <w:lang w:val="en-US"/>
        </w:rPr>
        <w:t>dari</w:t>
      </w:r>
      <w:proofErr w:type="spellEnd"/>
      <w:r w:rsidRPr="00F426C1">
        <w:rPr>
          <w:color w:val="000000"/>
          <w:lang w:val="en-US"/>
        </w:rPr>
        <w:t xml:space="preserve"> </w:t>
      </w:r>
      <w:proofErr w:type="spellStart"/>
      <w:r w:rsidRPr="00F426C1">
        <w:rPr>
          <w:color w:val="000000"/>
          <w:lang w:val="en-US"/>
        </w:rPr>
        <w:t>anestesi</w:t>
      </w:r>
      <w:proofErr w:type="spellEnd"/>
      <w:r w:rsidRPr="00F426C1">
        <w:rPr>
          <w:color w:val="000000"/>
          <w:lang w:val="en-US"/>
        </w:rPr>
        <w:t xml:space="preserve"> </w:t>
      </w:r>
      <w:proofErr w:type="spellStart"/>
      <w:r w:rsidRPr="00F426C1">
        <w:rPr>
          <w:color w:val="000000"/>
          <w:lang w:val="en-US"/>
        </w:rPr>
        <w:t>volatil</w:t>
      </w:r>
      <w:proofErr w:type="spellEnd"/>
      <w:r>
        <w:rPr>
          <w:color w:val="000000"/>
          <w:lang w:val="id-ID"/>
        </w:rPr>
        <w:t>, k</w:t>
      </w:r>
      <w:proofErr w:type="spellStart"/>
      <w:r w:rsidRPr="00F426C1">
        <w:rPr>
          <w:color w:val="000000"/>
          <w:lang w:val="en-US"/>
        </w:rPr>
        <w:t>elainan</w:t>
      </w:r>
      <w:proofErr w:type="spellEnd"/>
      <w:r w:rsidRPr="00F426C1">
        <w:rPr>
          <w:color w:val="000000"/>
          <w:lang w:val="en-US"/>
        </w:rPr>
        <w:t xml:space="preserve"> </w:t>
      </w:r>
      <w:proofErr w:type="spellStart"/>
      <w:r w:rsidRPr="00F426C1">
        <w:rPr>
          <w:color w:val="000000"/>
          <w:lang w:val="en-US"/>
        </w:rPr>
        <w:t>konduksi</w:t>
      </w:r>
      <w:proofErr w:type="spellEnd"/>
      <w:r w:rsidRPr="00F426C1">
        <w:rPr>
          <w:color w:val="000000"/>
          <w:lang w:val="en-US"/>
        </w:rPr>
        <w:t xml:space="preserve"> </w:t>
      </w:r>
      <w:proofErr w:type="spellStart"/>
      <w:r w:rsidRPr="00F426C1">
        <w:rPr>
          <w:color w:val="000000"/>
          <w:lang w:val="en-US"/>
        </w:rPr>
        <w:t>jantung</w:t>
      </w:r>
      <w:proofErr w:type="spellEnd"/>
      <w:r>
        <w:rPr>
          <w:color w:val="000000"/>
          <w:lang w:val="id-ID"/>
        </w:rPr>
        <w:t>, s</w:t>
      </w:r>
      <w:r w:rsidRPr="00F426C1">
        <w:rPr>
          <w:color w:val="000000"/>
          <w:lang w:val="en-US"/>
        </w:rPr>
        <w:t xml:space="preserve">yok </w:t>
      </w:r>
      <w:proofErr w:type="spellStart"/>
      <w:r w:rsidRPr="00F426C1">
        <w:rPr>
          <w:color w:val="000000"/>
          <w:lang w:val="en-US"/>
        </w:rPr>
        <w:t>septik</w:t>
      </w:r>
      <w:proofErr w:type="spellEnd"/>
      <w:r>
        <w:rPr>
          <w:color w:val="000000"/>
          <w:lang w:val="id-ID"/>
        </w:rPr>
        <w:t>, p</w:t>
      </w:r>
      <w:proofErr w:type="spellStart"/>
      <w:r w:rsidRPr="00F426C1">
        <w:rPr>
          <w:color w:val="000000"/>
          <w:lang w:val="en-US"/>
        </w:rPr>
        <w:t>engobatan</w:t>
      </w:r>
      <w:proofErr w:type="spellEnd"/>
      <w:r w:rsidRPr="00F426C1">
        <w:rPr>
          <w:color w:val="000000"/>
          <w:lang w:val="en-US"/>
        </w:rPr>
        <w:t xml:space="preserve"> </w:t>
      </w:r>
      <w:proofErr w:type="spellStart"/>
      <w:r w:rsidRPr="00F426C1">
        <w:rPr>
          <w:color w:val="000000"/>
          <w:lang w:val="en-US"/>
        </w:rPr>
        <w:t>bersamaan</w:t>
      </w:r>
      <w:proofErr w:type="spellEnd"/>
      <w:r w:rsidRPr="00F426C1">
        <w:rPr>
          <w:color w:val="000000"/>
          <w:lang w:val="en-US"/>
        </w:rPr>
        <w:t xml:space="preserve"> dengan </w:t>
      </w:r>
      <w:proofErr w:type="spellStart"/>
      <w:r w:rsidRPr="00F426C1">
        <w:rPr>
          <w:color w:val="000000"/>
          <w:lang w:val="en-US"/>
        </w:rPr>
        <w:t>digoksin</w:t>
      </w:r>
      <w:proofErr w:type="spellEnd"/>
      <w:r w:rsidRPr="00F426C1">
        <w:rPr>
          <w:color w:val="000000"/>
          <w:lang w:val="en-US"/>
        </w:rPr>
        <w:t>,</w:t>
      </w:r>
      <w:r>
        <w:rPr>
          <w:color w:val="000000"/>
          <w:lang w:val="id-ID"/>
        </w:rPr>
        <w:t xml:space="preserve"> </w:t>
      </w:r>
      <w:r>
        <w:rPr>
          <w:i/>
          <w:iCs/>
          <w:color w:val="000000"/>
          <w:lang w:val="en-US"/>
        </w:rPr>
        <w:t>β</w:t>
      </w:r>
      <w:r w:rsidRPr="00F426C1">
        <w:rPr>
          <w:i/>
          <w:iCs/>
          <w:color w:val="000000"/>
          <w:lang w:val="en-US"/>
        </w:rPr>
        <w:t>-adrenergic blockers</w:t>
      </w:r>
      <w:r w:rsidRPr="00F426C1">
        <w:rPr>
          <w:color w:val="000000"/>
          <w:lang w:val="en-US"/>
        </w:rPr>
        <w:t xml:space="preserve">, </w:t>
      </w:r>
      <w:r w:rsidRPr="00F426C1">
        <w:rPr>
          <w:i/>
          <w:iCs/>
          <w:color w:val="000000"/>
          <w:lang w:val="en-US"/>
        </w:rPr>
        <w:t>calcium channel blockers</w:t>
      </w:r>
      <w:r w:rsidRPr="00F426C1">
        <w:rPr>
          <w:color w:val="000000"/>
          <w:lang w:val="en-US"/>
        </w:rPr>
        <w:t xml:space="preserve">, </w:t>
      </w:r>
      <w:r w:rsidRPr="00F426C1">
        <w:rPr>
          <w:i/>
          <w:iCs/>
          <w:color w:val="000000"/>
          <w:lang w:val="en-US"/>
        </w:rPr>
        <w:t>monoamine oxidase inhibitors</w:t>
      </w:r>
      <w:r w:rsidRPr="00F426C1">
        <w:rPr>
          <w:color w:val="000000"/>
          <w:lang w:val="en-US"/>
        </w:rPr>
        <w:t xml:space="preserve"> atau </w:t>
      </w:r>
      <w:proofErr w:type="spellStart"/>
      <w:r w:rsidRPr="00F426C1">
        <w:rPr>
          <w:color w:val="000000"/>
          <w:lang w:val="en-US"/>
        </w:rPr>
        <w:t>agen</w:t>
      </w:r>
      <w:proofErr w:type="spellEnd"/>
      <w:r w:rsidRPr="00F426C1">
        <w:rPr>
          <w:color w:val="000000"/>
          <w:lang w:val="en-US"/>
        </w:rPr>
        <w:t xml:space="preserve"> lain yang </w:t>
      </w:r>
      <w:proofErr w:type="spellStart"/>
      <w:r w:rsidRPr="00F426C1">
        <w:rPr>
          <w:color w:val="000000"/>
          <w:lang w:val="en-US"/>
        </w:rPr>
        <w:t>menjadi</w:t>
      </w:r>
      <w:proofErr w:type="spellEnd"/>
      <w:r w:rsidRPr="00F426C1">
        <w:rPr>
          <w:color w:val="000000"/>
          <w:lang w:val="en-US"/>
        </w:rPr>
        <w:t xml:space="preserve"> </w:t>
      </w:r>
      <w:proofErr w:type="spellStart"/>
      <w:r w:rsidRPr="00F426C1">
        <w:rPr>
          <w:color w:val="000000"/>
          <w:lang w:val="en-US"/>
        </w:rPr>
        <w:t>predisposisi</w:t>
      </w:r>
      <w:proofErr w:type="spellEnd"/>
      <w:r w:rsidRPr="00F426C1">
        <w:rPr>
          <w:color w:val="000000"/>
          <w:lang w:val="en-US"/>
        </w:rPr>
        <w:t xml:space="preserve"> </w:t>
      </w:r>
      <w:proofErr w:type="spellStart"/>
      <w:r w:rsidRPr="00F426C1">
        <w:rPr>
          <w:color w:val="000000"/>
          <w:lang w:val="en-US"/>
        </w:rPr>
        <w:t>bradikardia</w:t>
      </w:r>
      <w:proofErr w:type="spellEnd"/>
      <w:r w:rsidRPr="00F426C1">
        <w:rPr>
          <w:color w:val="000000"/>
          <w:lang w:val="en-US"/>
        </w:rPr>
        <w:t xml:space="preserve"> atau </w:t>
      </w:r>
      <w:proofErr w:type="spellStart"/>
      <w:r w:rsidRPr="00F426C1">
        <w:rPr>
          <w:color w:val="000000"/>
          <w:lang w:val="en-US"/>
        </w:rPr>
        <w:t>hipotensi</w:t>
      </w:r>
      <w:proofErr w:type="spellEnd"/>
      <w:r>
        <w:rPr>
          <w:color w:val="000000" w:themeColor="text1"/>
          <w:lang w:val="id-ID"/>
        </w:rPr>
        <w:t>,</w:t>
      </w:r>
      <w:r>
        <w:rPr>
          <w:color w:val="2197D2"/>
          <w:lang w:val="id-ID"/>
        </w:rPr>
        <w:t xml:space="preserve"> </w:t>
      </w:r>
      <w:r>
        <w:rPr>
          <w:color w:val="000000"/>
          <w:lang w:val="id-ID"/>
        </w:rPr>
        <w:t>h</w:t>
      </w:r>
      <w:proofErr w:type="spellStart"/>
      <w:r w:rsidRPr="00F426C1">
        <w:rPr>
          <w:color w:val="000000"/>
          <w:lang w:val="en-US"/>
        </w:rPr>
        <w:t>ipertensi</w:t>
      </w:r>
      <w:proofErr w:type="spellEnd"/>
      <w:r w:rsidRPr="00F426C1">
        <w:rPr>
          <w:color w:val="000000"/>
          <w:lang w:val="en-US"/>
        </w:rPr>
        <w:t xml:space="preserve"> </w:t>
      </w:r>
      <w:proofErr w:type="spellStart"/>
      <w:r w:rsidRPr="00F426C1">
        <w:rPr>
          <w:color w:val="000000"/>
          <w:lang w:val="en-US"/>
        </w:rPr>
        <w:t>kronis</w:t>
      </w:r>
      <w:proofErr w:type="spellEnd"/>
      <w:r>
        <w:rPr>
          <w:color w:val="000000"/>
          <w:lang w:val="id-ID"/>
        </w:rPr>
        <w:t xml:space="preserve"> dan p</w:t>
      </w:r>
      <w:proofErr w:type="spellStart"/>
      <w:r w:rsidRPr="00F426C1">
        <w:rPr>
          <w:color w:val="000000"/>
          <w:lang w:val="en-US"/>
        </w:rPr>
        <w:t>e</w:t>
      </w:r>
      <w:r>
        <w:rPr>
          <w:color w:val="000000"/>
          <w:lang w:val="en-US"/>
        </w:rPr>
        <w:t>nyakit</w:t>
      </w:r>
      <w:proofErr w:type="spellEnd"/>
      <w:r>
        <w:rPr>
          <w:color w:val="000000"/>
          <w:lang w:val="en-US"/>
        </w:rPr>
        <w:t xml:space="preserve"> </w:t>
      </w:r>
      <w:proofErr w:type="spellStart"/>
      <w:r>
        <w:rPr>
          <w:color w:val="000000"/>
          <w:lang w:val="en-US"/>
        </w:rPr>
        <w:t>hati</w:t>
      </w:r>
      <w:proofErr w:type="spellEnd"/>
      <w:r>
        <w:rPr>
          <w:color w:val="000000"/>
          <w:lang w:val="id-ID"/>
        </w:rPr>
        <w:t>.</w:t>
      </w:r>
      <w:r>
        <w:rPr>
          <w:color w:val="000000"/>
          <w:lang w:val="id-ID"/>
        </w:rPr>
        <w:fldChar w:fldCharType="begin" w:fldLock="1"/>
      </w:r>
      <w:r>
        <w:rPr>
          <w:color w:val="000000"/>
          <w:lang w:val="id-ID"/>
        </w:rPr>
        <w:instrText>ADDIN CSL_CITATION {"citationItems":[{"id":"ITEM-1","itemData":{"DOI":"10.1016/j.bjae.2020.05.004","ISSN":"20585357","author":[{"dropping-particle":"","family":"Lin","given":"R.","non-dropping-particle":"","parse-names":false,"suffix":""},{"dropping-particle":"","family":"Ansermino","given":"J. M.","non-dropping-particle":"","parse-names":false,"suffix":""}],"container-title":"BJA Education","id":"ITEM-1","issue":"10","issued":{"date-parts":[["2020"]]},"page":"348-353","publisher":"Elsevier Ltd","title":"Dexmedetomidine in paediatric anaesthesia","type":"article-journal","volume":"20"},"uris":["http://www.mendeley.com/documents/?uuid=fd8874cb-7019-426e-8746-8c8f47420af2"]}],"mendeley":{"formattedCitation":"&lt;sup&gt;16&lt;/sup&gt;","plainTextFormattedCitation":"16","previouslyFormattedCitation":"&lt;sup&gt;16&lt;/sup&gt;"},"properties":{"noteIndex":0},"schema":"https://github.com/citation-style-language/schema/raw/master/csl-citation.json"}</w:instrText>
      </w:r>
      <w:r>
        <w:rPr>
          <w:color w:val="000000"/>
          <w:lang w:val="id-ID"/>
        </w:rPr>
        <w:fldChar w:fldCharType="separate"/>
      </w:r>
      <w:r>
        <w:rPr>
          <w:noProof/>
          <w:color w:val="000000"/>
          <w:vertAlign w:val="superscript"/>
          <w:lang w:val="id-ID"/>
        </w:rPr>
        <w:t>16</w:t>
      </w:r>
      <w:r>
        <w:rPr>
          <w:color w:val="000000"/>
          <w:lang w:val="id-ID"/>
        </w:rPr>
        <w:fldChar w:fldCharType="end"/>
      </w:r>
    </w:p>
    <w:p w14:paraId="7C39BA63" w14:textId="77777777" w:rsidR="003B79BC" w:rsidRDefault="003B79BC">
      <w:pPr>
        <w:spacing w:line="360" w:lineRule="auto"/>
        <w:ind w:firstLine="709"/>
        <w:jc w:val="both"/>
        <w:rPr>
          <w:color w:val="000000"/>
          <w:lang w:val="en-US"/>
        </w:rPr>
      </w:pPr>
    </w:p>
    <w:p w14:paraId="4DB06552" w14:textId="77777777" w:rsidR="003B79BC" w:rsidRDefault="00000000">
      <w:pPr>
        <w:pStyle w:val="Heading3"/>
        <w:numPr>
          <w:ilvl w:val="0"/>
          <w:numId w:val="9"/>
        </w:numPr>
        <w:ind w:left="426" w:hanging="426"/>
        <w:rPr>
          <w:lang w:val="id-ID"/>
        </w:rPr>
      </w:pPr>
      <w:bookmarkStart w:id="34" w:name="_Toc158290248"/>
      <w:r>
        <w:rPr>
          <w:lang w:val="id-ID"/>
        </w:rPr>
        <w:t xml:space="preserve">Mekanisme Aksi </w:t>
      </w:r>
      <w:r>
        <w:t>Dexme</w:t>
      </w:r>
      <w:r>
        <w:rPr>
          <w:lang w:val="en-US"/>
        </w:rPr>
        <w:t>de</w:t>
      </w:r>
      <w:r>
        <w:t>tomidine</w:t>
      </w:r>
      <w:bookmarkEnd w:id="34"/>
    </w:p>
    <w:p w14:paraId="032BD049" w14:textId="77777777" w:rsidR="003B79BC" w:rsidRDefault="00000000">
      <w:pPr>
        <w:spacing w:line="360" w:lineRule="auto"/>
        <w:ind w:firstLine="709"/>
        <w:jc w:val="both"/>
        <w:rPr>
          <w:color w:val="000000"/>
          <w:lang w:val="en-US"/>
        </w:rPr>
      </w:pPr>
      <w:r w:rsidRPr="00F426C1">
        <w:rPr>
          <w:color w:val="000000"/>
          <w:lang w:val="id-ID"/>
        </w:rPr>
        <w:t>Dexmedetomidine</w:t>
      </w:r>
      <w:r>
        <w:rPr>
          <w:color w:val="000000"/>
          <w:lang w:val="id-ID"/>
        </w:rPr>
        <w:t xml:space="preserve"> </w:t>
      </w:r>
      <w:r w:rsidRPr="00F426C1">
        <w:rPr>
          <w:color w:val="000000"/>
          <w:lang w:val="id-ID"/>
        </w:rPr>
        <w:t xml:space="preserve">memiliki sifat anti-inflamasi. </w:t>
      </w:r>
      <w:r>
        <w:rPr>
          <w:color w:val="000000"/>
          <w:lang w:val="id-ID"/>
        </w:rPr>
        <w:t xml:space="preserve">Penggunaan </w:t>
      </w:r>
      <w:r w:rsidRPr="00F426C1">
        <w:rPr>
          <w:color w:val="000000"/>
          <w:lang w:val="id-ID"/>
        </w:rPr>
        <w:t xml:space="preserve">dexmedetomidine perioperatif dilaporkan dapat menekan stres bedah dan peradangan dan menjaga kekebalan pasien bedah. Sebagai pembantu anestesi, dexmedetomidine menghambat konsentrasi epinefrin, norepinefrin, kortisol, dan glukosa darah, dan mengurangi stres perioperatif pada orang dewasa. </w:t>
      </w:r>
      <w:r>
        <w:rPr>
          <w:color w:val="000000"/>
          <w:lang w:val="id-ID"/>
        </w:rPr>
        <w:t>D</w:t>
      </w:r>
      <w:r w:rsidRPr="00F426C1">
        <w:rPr>
          <w:color w:val="000000"/>
          <w:lang w:val="id-ID"/>
        </w:rPr>
        <w:t>exmedetomidine juga menghambat respon inflamasi, menstabilkan integritas penghalang darah-tulang belakang, meningkatkan viabilitas saraf, dan melindungi sumsum tulang belakang dari cedera iskemia-reperfusi dengan mengurangi aktivasi mikroglial dan menghambat sistem inflamasi kB faktor nuklir</w:t>
      </w:r>
      <w:r>
        <w:rPr>
          <w:color w:val="000000"/>
          <w:lang w:val="id-ID"/>
        </w:rPr>
        <w:t xml:space="preserve"> (NF-</w:t>
      </w:r>
      <w:r w:rsidRPr="00F426C1">
        <w:rPr>
          <w:color w:val="000000"/>
          <w:lang w:val="id-ID"/>
        </w:rPr>
        <w:t>kB</w:t>
      </w:r>
      <w:r>
        <w:rPr>
          <w:color w:val="000000"/>
          <w:lang w:val="id-ID"/>
        </w:rPr>
        <w:t>)</w:t>
      </w:r>
      <w:r w:rsidRPr="00F426C1">
        <w:rPr>
          <w:color w:val="000000"/>
          <w:lang w:val="id-ID"/>
        </w:rPr>
        <w:t xml:space="preserve"> yang diperantarai reseptor 4 seperti toll dan apoptosis yang bergantung pada caspase-3.</w:t>
      </w:r>
      <w:r>
        <w:rPr>
          <w:color w:val="000000"/>
          <w:lang w:val="en-US"/>
        </w:rPr>
        <w:fldChar w:fldCharType="begin" w:fldLock="1"/>
      </w:r>
      <w:r w:rsidRPr="00F426C1">
        <w:rPr>
          <w:color w:val="000000"/>
          <w:lang w:val="id-ID"/>
        </w:rPr>
        <w:instrText>ADDIN CSL_CITATION {"citationItems":[{"id":"ITEM-1","itemData":{"DOI":"10.3390/jcm9092724","ISSN":"20770383","abstract":"Over the past few years, despite the lack of approved pediatric labelling, dexmedetomidine’s (DEX) use has become more prevalent in pediatric clinical practice as well as in research trials. Its respiratory-sparing effects and bioavailability by various routes are only some of the valued features of DEX. In recent years the potential organ-protective effects of DEX, with the possibility for preserving neurocognitive function, has put it in the forefront of clinical and bench research. This comprehensive review focused on the pediatric literature but presents relevant, supporting adult and animal studies in order to detail the recent growing body of literature around the pharmacology, end-organ effects, organ-protective effects, alternative routes of administration, synergetic effects, and clinical applications, with considerations for the future.","author":[{"dropping-particle":"","family":"Mahmoud","given":"Mohamed","non-dropping-particle":"","parse-names":false,"suffix":""},{"dropping-particle":"","family":"Barbi","given":"Egidio","non-dropping-particle":"","parse-names":false,"suffix":""},{"dropping-particle":"","family":"Mason","given":"Keira P.","non-dropping-particle":"","parse-names":false,"suffix":""}],"container-title":"Journal of Clinical Medicine","id":"ITEM-1","issue":"9","issued":{"date-parts":[["2020"]]},"page":"1-23","title":"Dexmedetomidine: What’s new for pediatrics? a narrative review","type":"article-journal","volume":"9"},"uris":["http://www.mendeley.com/documents/?uuid=900b2112-9b10-4818-b50e-48dfe5a649d3"]}],"mendeley":{"formattedCitation":"&lt;sup&gt;41&lt;/sup&gt;","plainTextFormattedCitation":"41","previouslyFormattedCitation":"&lt;sup&gt;41&lt;/sup&gt;"},"properties":{"noteIndex":0},"schema":"https://github.com/citation-style-language/schema/raw/master/csl-citation.json"}</w:instrText>
      </w:r>
      <w:r>
        <w:rPr>
          <w:color w:val="000000"/>
          <w:lang w:val="en-US"/>
        </w:rPr>
        <w:fldChar w:fldCharType="separate"/>
      </w:r>
      <w:r>
        <w:rPr>
          <w:noProof/>
          <w:color w:val="000000"/>
          <w:vertAlign w:val="superscript"/>
          <w:lang w:val="en-US"/>
        </w:rPr>
        <w:t>41</w:t>
      </w:r>
      <w:r>
        <w:rPr>
          <w:color w:val="000000"/>
          <w:lang w:val="en-US"/>
        </w:rPr>
        <w:fldChar w:fldCharType="end"/>
      </w:r>
    </w:p>
    <w:p w14:paraId="42E23DA9" w14:textId="77777777" w:rsidR="003B79BC" w:rsidRDefault="00000000">
      <w:pPr>
        <w:jc w:val="center"/>
        <w:rPr>
          <w:color w:val="000000"/>
          <w:lang w:val="en-US"/>
        </w:rPr>
      </w:pPr>
      <w:r>
        <w:rPr>
          <w:noProof/>
        </w:rPr>
        <w:lastRenderedPageBreak/>
        <w:drawing>
          <wp:inline distT="0" distB="0" distL="0" distR="0" wp14:anchorId="27E8EE8A" wp14:editId="2E13E253">
            <wp:extent cx="3600450" cy="4194175"/>
            <wp:effectExtent l="0" t="0" r="0" b="0"/>
            <wp:docPr id="2138359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359441" name="Picture 1"/>
                    <pic:cNvPicPr>
                      <a:picLocks noChangeAspect="1"/>
                    </pic:cNvPicPr>
                  </pic:nvPicPr>
                  <pic:blipFill>
                    <a:blip r:embed="rId18"/>
                    <a:srcRect l="44372" t="18324" r="23388" b="14878"/>
                    <a:stretch>
                      <a:fillRect/>
                    </a:stretch>
                  </pic:blipFill>
                  <pic:spPr>
                    <a:xfrm>
                      <a:off x="0" y="0"/>
                      <a:ext cx="3605788" cy="4200557"/>
                    </a:xfrm>
                    <a:prstGeom prst="rect">
                      <a:avLst/>
                    </a:prstGeom>
                    <a:ln>
                      <a:noFill/>
                    </a:ln>
                  </pic:spPr>
                </pic:pic>
              </a:graphicData>
            </a:graphic>
          </wp:inline>
        </w:drawing>
      </w:r>
    </w:p>
    <w:p w14:paraId="7C645EA0" w14:textId="77777777" w:rsidR="003B79BC" w:rsidRDefault="003B79BC">
      <w:pPr>
        <w:rPr>
          <w:color w:val="000000"/>
          <w:lang w:val="en-US"/>
        </w:rPr>
      </w:pPr>
    </w:p>
    <w:p w14:paraId="318F15FD" w14:textId="2584D13E" w:rsidR="003B79BC" w:rsidRDefault="00000000">
      <w:pPr>
        <w:pStyle w:val="Caption"/>
        <w:spacing w:after="0"/>
        <w:rPr>
          <w:b/>
          <w:bCs/>
          <w:i w:val="0"/>
          <w:iCs w:val="0"/>
          <w:color w:val="000000"/>
          <w:sz w:val="24"/>
          <w:szCs w:val="24"/>
          <w:lang w:val="en-US"/>
        </w:rPr>
      </w:pPr>
      <w:r>
        <w:rPr>
          <w:i w:val="0"/>
          <w:iCs w:val="0"/>
          <w:color w:val="000000" w:themeColor="text1"/>
          <w:sz w:val="24"/>
          <w:szCs w:val="24"/>
        </w:rPr>
        <w:t xml:space="preserve">Gambar </w:t>
      </w:r>
      <w:r>
        <w:rPr>
          <w:i w:val="0"/>
          <w:iCs w:val="0"/>
          <w:color w:val="000000" w:themeColor="text1"/>
          <w:sz w:val="24"/>
          <w:szCs w:val="24"/>
        </w:rPr>
        <w:fldChar w:fldCharType="begin"/>
      </w:r>
      <w:r>
        <w:rPr>
          <w:i w:val="0"/>
          <w:iCs w:val="0"/>
          <w:color w:val="000000" w:themeColor="text1"/>
          <w:sz w:val="24"/>
          <w:szCs w:val="24"/>
        </w:rPr>
        <w:instrText xml:space="preserve"> SEQ Gambar \* ARABIC </w:instrText>
      </w:r>
      <w:r>
        <w:rPr>
          <w:i w:val="0"/>
          <w:iCs w:val="0"/>
          <w:color w:val="000000" w:themeColor="text1"/>
          <w:sz w:val="24"/>
          <w:szCs w:val="24"/>
        </w:rPr>
        <w:fldChar w:fldCharType="separate"/>
      </w:r>
      <w:r w:rsidR="00D671E3">
        <w:rPr>
          <w:i w:val="0"/>
          <w:iCs w:val="0"/>
          <w:noProof/>
          <w:color w:val="000000" w:themeColor="text1"/>
          <w:sz w:val="24"/>
          <w:szCs w:val="24"/>
        </w:rPr>
        <w:t>5</w:t>
      </w:r>
      <w:r>
        <w:rPr>
          <w:i w:val="0"/>
          <w:iCs w:val="0"/>
          <w:color w:val="000000" w:themeColor="text1"/>
          <w:sz w:val="24"/>
          <w:szCs w:val="24"/>
        </w:rPr>
        <w:fldChar w:fldCharType="end"/>
      </w:r>
      <w:r>
        <w:rPr>
          <w:i w:val="0"/>
          <w:iCs w:val="0"/>
          <w:color w:val="000000" w:themeColor="text1"/>
          <w:sz w:val="24"/>
          <w:szCs w:val="24"/>
          <w:lang w:val="id-ID"/>
        </w:rPr>
        <w:t>. Efek antiinflamasi dexmedetomidine pascapembedahan</w:t>
      </w:r>
    </w:p>
    <w:p w14:paraId="594B5A1C" w14:textId="77777777" w:rsidR="003B79BC" w:rsidRDefault="00000000">
      <w:pPr>
        <w:tabs>
          <w:tab w:val="left" w:pos="1134"/>
        </w:tabs>
        <w:ind w:left="1134" w:hanging="1134"/>
        <w:rPr>
          <w:color w:val="000000"/>
          <w:sz w:val="20"/>
          <w:szCs w:val="20"/>
          <w:lang w:val="id-ID"/>
        </w:rPr>
      </w:pPr>
      <w:r>
        <w:rPr>
          <w:color w:val="000000"/>
          <w:sz w:val="20"/>
          <w:szCs w:val="20"/>
          <w:lang w:val="id-ID"/>
        </w:rPr>
        <w:t xml:space="preserve">Dikutip dari: </w:t>
      </w:r>
      <w:r>
        <w:rPr>
          <w:color w:val="000000"/>
          <w:sz w:val="20"/>
          <w:szCs w:val="20"/>
          <w:lang w:val="id-ID"/>
        </w:rPr>
        <w:tab/>
      </w:r>
      <w:r>
        <w:rPr>
          <w:sz w:val="20"/>
          <w:szCs w:val="20"/>
        </w:rPr>
        <w:t>Mahmoud M, Barbi E, Mason KP. Dexmedetomidine: What’s new for pediatrics? a narrative review. J Clin Med. 2020;9(9):1–23.</w:t>
      </w:r>
    </w:p>
    <w:p w14:paraId="3ACCBDC9" w14:textId="77777777" w:rsidR="003B79BC" w:rsidRDefault="003B79BC">
      <w:pPr>
        <w:autoSpaceDE w:val="0"/>
        <w:autoSpaceDN w:val="0"/>
        <w:adjustRightInd w:val="0"/>
        <w:rPr>
          <w:b/>
          <w:bCs/>
          <w:color w:val="000000"/>
          <w:lang w:val="id-ID"/>
        </w:rPr>
      </w:pPr>
    </w:p>
    <w:p w14:paraId="5B99AB26" w14:textId="77777777" w:rsidR="003B79BC" w:rsidRDefault="00000000">
      <w:pPr>
        <w:spacing w:line="360" w:lineRule="auto"/>
        <w:ind w:firstLine="709"/>
        <w:jc w:val="both"/>
        <w:rPr>
          <w:rFonts w:eastAsia="MinionPro-Regular"/>
          <w:color w:val="000000"/>
          <w:lang w:val="en-US"/>
        </w:rPr>
      </w:pPr>
      <w:bookmarkStart w:id="35" w:name="_Hlk138230268"/>
      <w:r w:rsidRPr="00F426C1">
        <w:rPr>
          <w:color w:val="000000"/>
          <w:lang w:val="pt-BR"/>
        </w:rPr>
        <w:t>D</w:t>
      </w:r>
      <w:r>
        <w:rPr>
          <w:color w:val="000000"/>
          <w:lang w:val="id-ID"/>
        </w:rPr>
        <w:t>e</w:t>
      </w:r>
      <w:r w:rsidRPr="00F426C1">
        <w:rPr>
          <w:color w:val="000000"/>
          <w:lang w:val="pt-BR"/>
        </w:rPr>
        <w:t>xmedetomidine menghasilkan efek sedatif melalui</w:t>
      </w:r>
      <w:r>
        <w:rPr>
          <w:color w:val="000000"/>
          <w:lang w:val="id-ID"/>
        </w:rPr>
        <w:t xml:space="preserve"> a</w:t>
      </w:r>
      <w:r w:rsidRPr="00F426C1">
        <w:rPr>
          <w:color w:val="000000"/>
          <w:lang w:val="pt-BR"/>
        </w:rPr>
        <w:t>2</w:t>
      </w:r>
      <w:r>
        <w:rPr>
          <w:color w:val="000000"/>
          <w:lang w:val="id-ID"/>
        </w:rPr>
        <w:t>-</w:t>
      </w:r>
      <w:r w:rsidRPr="00F426C1">
        <w:rPr>
          <w:color w:val="000000"/>
          <w:lang w:val="pt-BR"/>
        </w:rPr>
        <w:t xml:space="preserve">adrenoseptor di locus coeruleus di sistem saraf pusat. Dosis intraoperatif tunggal tanpa infus berikutnya telah terbukti mengurangi kebutuhan analgesik pascabedah, memberikan pemulihan yang lebih </w:t>
      </w:r>
      <w:r>
        <w:rPr>
          <w:color w:val="000000"/>
          <w:lang w:val="id-ID"/>
        </w:rPr>
        <w:t>baik</w:t>
      </w:r>
      <w:r w:rsidRPr="00F426C1">
        <w:rPr>
          <w:color w:val="000000"/>
          <w:lang w:val="pt-BR"/>
        </w:rPr>
        <w:t xml:space="preserve"> dari anestesi dan memperpanjang anestesi regional.</w:t>
      </w:r>
      <w:r>
        <w:rPr>
          <w:color w:val="000000"/>
          <w:lang w:val="en-US"/>
        </w:rPr>
        <w:fldChar w:fldCharType="begin" w:fldLock="1"/>
      </w:r>
      <w:r w:rsidRPr="00F426C1">
        <w:rPr>
          <w:color w:val="000000"/>
          <w:lang w:val="pt-BR"/>
        </w:rPr>
        <w:instrText>ADDIN CSL_CITATION {"citationItems":[{"id":"ITEM-1","itemData":{"DOI":"10.1016/j.bjae.2020.05.004","ISSN":"20585357","author":[{"dropping-particle":"","family":"Lin","given":"R.","non-dropping-particle":"","parse-names":false,"suffix":""},{"dropping-particle":"","family":"Ansermino","given":"J. M.","non-dropping-particle":"","parse-names":false,"suffix":""}],"container-title":"BJA Education","id":"ITEM-1","issue":"10","issued":{"date-parts":[["2020"]]},"page":"348-353","publisher":"Elsevier Ltd","title":"Dexmedetomidine in paediatric anaesthesia","type":"article-journal","volume":"20"},"uris":["http://www.mendeley.com/documents/?uuid=fd8874cb-7019-426e-8746-8c8f47420af2"]}],"mendeley":{"formattedCitation":"&lt;sup&gt;16&lt;/sup&gt;","plainTextFormattedCitation":"16","previouslyFormattedCitation":"&lt;sup&gt;16&lt;/sup&gt;"},"properties":{"noteIndex":0},"schema":"https://github.com/citation-style-language/schema/raw/master/csl-citation.json"}</w:instrText>
      </w:r>
      <w:r>
        <w:rPr>
          <w:color w:val="000000"/>
          <w:lang w:val="en-US"/>
        </w:rPr>
        <w:fldChar w:fldCharType="separate"/>
      </w:r>
      <w:r>
        <w:rPr>
          <w:noProof/>
          <w:color w:val="000000"/>
          <w:vertAlign w:val="superscript"/>
          <w:lang w:val="en-US"/>
        </w:rPr>
        <w:t>16</w:t>
      </w:r>
      <w:r>
        <w:rPr>
          <w:color w:val="000000"/>
          <w:lang w:val="en-US"/>
        </w:rPr>
        <w:fldChar w:fldCharType="end"/>
      </w:r>
      <w:r>
        <w:rPr>
          <w:rFonts w:eastAsiaTheme="minorEastAsia"/>
          <w:lang w:val="id-ID" w:eastAsia="zh-CN"/>
        </w:rPr>
        <w:t xml:space="preserve"> </w:t>
      </w:r>
      <w:bookmarkEnd w:id="35"/>
      <w:r>
        <w:rPr>
          <w:rFonts w:eastAsia="MinionPro-Regular"/>
          <w:color w:val="000000"/>
          <w:lang w:val="en-US"/>
        </w:rPr>
        <w:t xml:space="preserve">Dexmedetomidine </w:t>
      </w:r>
      <w:proofErr w:type="spellStart"/>
      <w:r>
        <w:rPr>
          <w:rFonts w:eastAsia="MinionPro-Regular"/>
          <w:color w:val="000000"/>
          <w:lang w:val="en-US"/>
        </w:rPr>
        <w:t>menginduksi</w:t>
      </w:r>
      <w:proofErr w:type="spellEnd"/>
      <w:r>
        <w:rPr>
          <w:rFonts w:eastAsia="MinionPro-Regular"/>
          <w:color w:val="000000"/>
          <w:lang w:val="en-US"/>
        </w:rPr>
        <w:t xml:space="preserve"> </w:t>
      </w:r>
      <w:proofErr w:type="spellStart"/>
      <w:r>
        <w:rPr>
          <w:rFonts w:eastAsia="MinionPro-Regular"/>
          <w:color w:val="000000"/>
          <w:lang w:val="en-US"/>
        </w:rPr>
        <w:t>respon</w:t>
      </w:r>
      <w:proofErr w:type="spellEnd"/>
      <w:r>
        <w:rPr>
          <w:rFonts w:eastAsia="MinionPro-Regular"/>
          <w:color w:val="000000"/>
          <w:lang w:val="en-US"/>
        </w:rPr>
        <w:t xml:space="preserve"> obat </w:t>
      </w:r>
      <w:proofErr w:type="spellStart"/>
      <w:r>
        <w:rPr>
          <w:rFonts w:eastAsia="MinionPro-Regular"/>
          <w:color w:val="000000"/>
          <w:lang w:val="en-US"/>
        </w:rPr>
        <w:t>penenang</w:t>
      </w:r>
      <w:proofErr w:type="spellEnd"/>
      <w:r>
        <w:rPr>
          <w:rFonts w:eastAsia="MinionPro-Regular"/>
          <w:color w:val="000000"/>
          <w:lang w:val="en-US"/>
        </w:rPr>
        <w:t xml:space="preserve"> yang </w:t>
      </w:r>
      <w:proofErr w:type="spellStart"/>
      <w:r>
        <w:rPr>
          <w:rFonts w:eastAsia="MinionPro-Regular"/>
          <w:color w:val="000000"/>
          <w:lang w:val="en-US"/>
        </w:rPr>
        <w:t>unik</w:t>
      </w:r>
      <w:proofErr w:type="spellEnd"/>
      <w:r>
        <w:rPr>
          <w:rFonts w:eastAsia="MinionPro-Regular"/>
          <w:color w:val="000000"/>
          <w:lang w:val="en-US"/>
        </w:rPr>
        <w:t xml:space="preserve">, yang </w:t>
      </w:r>
      <w:proofErr w:type="spellStart"/>
      <w:r>
        <w:rPr>
          <w:rFonts w:eastAsia="MinionPro-Regular"/>
          <w:color w:val="000000"/>
          <w:lang w:val="en-US"/>
        </w:rPr>
        <w:t>dikenal</w:t>
      </w:r>
      <w:proofErr w:type="spellEnd"/>
      <w:r>
        <w:rPr>
          <w:rFonts w:eastAsia="MinionPro-Regular"/>
          <w:color w:val="000000"/>
          <w:lang w:val="en-US"/>
        </w:rPr>
        <w:t xml:space="preserve"> </w:t>
      </w:r>
      <w:proofErr w:type="spellStart"/>
      <w:r>
        <w:rPr>
          <w:rFonts w:eastAsia="MinionPro-Regular"/>
          <w:color w:val="000000"/>
          <w:lang w:val="en-US"/>
        </w:rPr>
        <w:t>sebagai</w:t>
      </w:r>
      <w:proofErr w:type="spellEnd"/>
      <w:r>
        <w:rPr>
          <w:rFonts w:eastAsia="MinionPro-Regular"/>
          <w:color w:val="000000"/>
          <w:lang w:val="id-ID"/>
        </w:rPr>
        <w:t xml:space="preserve"> </w:t>
      </w:r>
      <w:r>
        <w:rPr>
          <w:rFonts w:eastAsia="MinionPro-Regular"/>
          <w:color w:val="000000"/>
          <w:lang w:val="en-US"/>
        </w:rPr>
        <w:t>“</w:t>
      </w:r>
      <w:proofErr w:type="spellStart"/>
      <w:r>
        <w:rPr>
          <w:rFonts w:eastAsia="MinionPro-Regular"/>
          <w:color w:val="000000"/>
          <w:lang w:val="en-US"/>
        </w:rPr>
        <w:t>sedasi</w:t>
      </w:r>
      <w:proofErr w:type="spellEnd"/>
      <w:r>
        <w:rPr>
          <w:rFonts w:eastAsia="MinionPro-Regular"/>
          <w:color w:val="000000"/>
          <w:lang w:val="en-US"/>
        </w:rPr>
        <w:t xml:space="preserve"> yang dapat </w:t>
      </w:r>
      <w:proofErr w:type="spellStart"/>
      <w:r>
        <w:rPr>
          <w:rFonts w:eastAsia="MinionPro-Regular"/>
          <w:color w:val="000000"/>
          <w:lang w:val="en-US"/>
        </w:rPr>
        <w:t>dibangunkan</w:t>
      </w:r>
      <w:proofErr w:type="spellEnd"/>
      <w:r>
        <w:rPr>
          <w:rFonts w:eastAsia="MinionPro-Regular"/>
          <w:color w:val="000000"/>
          <w:lang w:val="en-US"/>
        </w:rPr>
        <w:t>”</w:t>
      </w:r>
      <w:r>
        <w:rPr>
          <w:rFonts w:eastAsia="MinionPro-Regular"/>
          <w:color w:val="000000"/>
          <w:lang w:val="id-ID"/>
        </w:rPr>
        <w:t xml:space="preserve"> </w:t>
      </w:r>
      <w:proofErr w:type="spellStart"/>
      <w:r>
        <w:rPr>
          <w:rFonts w:eastAsia="MinionPro-Regular"/>
          <w:color w:val="000000"/>
          <w:lang w:val="en-US"/>
        </w:rPr>
        <w:t>atau“sedasi</w:t>
      </w:r>
      <w:proofErr w:type="spellEnd"/>
      <w:r>
        <w:rPr>
          <w:rFonts w:eastAsia="MinionPro-Regular"/>
          <w:color w:val="000000"/>
          <w:lang w:val="en-US"/>
        </w:rPr>
        <w:t xml:space="preserve"> </w:t>
      </w:r>
      <w:proofErr w:type="spellStart"/>
      <w:r>
        <w:rPr>
          <w:rFonts w:eastAsia="MinionPro-Regular"/>
          <w:color w:val="000000"/>
          <w:lang w:val="en-US"/>
        </w:rPr>
        <w:t>kooperatif</w:t>
      </w:r>
      <w:proofErr w:type="spellEnd"/>
      <w:r>
        <w:rPr>
          <w:rFonts w:eastAsia="MinionPro-Regular"/>
          <w:color w:val="000000"/>
          <w:lang w:val="en-US"/>
        </w:rPr>
        <w:t>”, yang</w:t>
      </w:r>
      <w:r>
        <w:rPr>
          <w:rFonts w:eastAsia="MinionPro-Regular"/>
          <w:color w:val="000000"/>
          <w:lang w:val="id-ID"/>
        </w:rPr>
        <w:t xml:space="preserve"> </w:t>
      </w:r>
      <w:proofErr w:type="spellStart"/>
      <w:r>
        <w:rPr>
          <w:rFonts w:eastAsia="MinionPro-Regular"/>
          <w:color w:val="000000"/>
          <w:lang w:val="en-US"/>
        </w:rPr>
        <w:t>menunjukkan</w:t>
      </w:r>
      <w:proofErr w:type="spellEnd"/>
      <w:r>
        <w:rPr>
          <w:rFonts w:eastAsia="MinionPro-Regular"/>
          <w:color w:val="000000"/>
          <w:lang w:val="en-US"/>
        </w:rPr>
        <w:t xml:space="preserve"> </w:t>
      </w:r>
      <w:proofErr w:type="spellStart"/>
      <w:r>
        <w:rPr>
          <w:rFonts w:eastAsia="MinionPro-Regular"/>
          <w:color w:val="000000"/>
          <w:lang w:val="en-US"/>
        </w:rPr>
        <w:t>transisi</w:t>
      </w:r>
      <w:proofErr w:type="spellEnd"/>
      <w:r>
        <w:rPr>
          <w:rFonts w:eastAsia="MinionPro-Regular"/>
          <w:color w:val="000000"/>
          <w:lang w:val="en-US"/>
        </w:rPr>
        <w:t xml:space="preserve"> yang </w:t>
      </w:r>
      <w:proofErr w:type="spellStart"/>
      <w:r>
        <w:rPr>
          <w:rFonts w:eastAsia="MinionPro-Regular"/>
          <w:color w:val="000000"/>
          <w:lang w:val="en-US"/>
        </w:rPr>
        <w:t>mudah</w:t>
      </w:r>
      <w:proofErr w:type="spellEnd"/>
      <w:r>
        <w:rPr>
          <w:rFonts w:eastAsia="MinionPro-Regular"/>
          <w:color w:val="000000"/>
          <w:lang w:val="en-US"/>
        </w:rPr>
        <w:t xml:space="preserve"> </w:t>
      </w:r>
      <w:proofErr w:type="spellStart"/>
      <w:r>
        <w:rPr>
          <w:rFonts w:eastAsia="MinionPro-Regular"/>
          <w:color w:val="000000"/>
          <w:lang w:val="en-US"/>
        </w:rPr>
        <w:t>dari</w:t>
      </w:r>
      <w:proofErr w:type="spellEnd"/>
      <w:r>
        <w:rPr>
          <w:rFonts w:eastAsia="MinionPro-Regular"/>
          <w:color w:val="000000"/>
          <w:lang w:val="en-US"/>
        </w:rPr>
        <w:t xml:space="preserve"> </w:t>
      </w:r>
      <w:proofErr w:type="spellStart"/>
      <w:r>
        <w:rPr>
          <w:rFonts w:eastAsia="MinionPro-Regular"/>
          <w:color w:val="000000"/>
          <w:lang w:val="en-US"/>
        </w:rPr>
        <w:t>tidur</w:t>
      </w:r>
      <w:proofErr w:type="spellEnd"/>
      <w:r>
        <w:rPr>
          <w:rFonts w:eastAsia="MinionPro-Regular"/>
          <w:color w:val="000000"/>
          <w:lang w:val="en-US"/>
        </w:rPr>
        <w:t xml:space="preserve"> ke </w:t>
      </w:r>
      <w:proofErr w:type="spellStart"/>
      <w:r>
        <w:rPr>
          <w:rFonts w:eastAsia="MinionPro-Regular"/>
          <w:color w:val="000000"/>
          <w:lang w:val="en-US"/>
        </w:rPr>
        <w:t>terjaga</w:t>
      </w:r>
      <w:proofErr w:type="spellEnd"/>
      <w:r>
        <w:rPr>
          <w:rFonts w:eastAsia="MinionPro-Regular"/>
          <w:color w:val="000000"/>
          <w:lang w:val="en-US"/>
        </w:rPr>
        <w:t xml:space="preserve">, </w:t>
      </w:r>
      <w:proofErr w:type="spellStart"/>
      <w:r>
        <w:rPr>
          <w:rFonts w:eastAsia="MinionPro-Regular"/>
          <w:color w:val="000000"/>
          <w:lang w:val="en-US"/>
        </w:rPr>
        <w:t>sehingga</w:t>
      </w:r>
      <w:proofErr w:type="spellEnd"/>
      <w:r>
        <w:rPr>
          <w:rFonts w:eastAsia="MinionPro-Regular"/>
          <w:color w:val="000000"/>
          <w:lang w:val="en-US"/>
        </w:rPr>
        <w:t xml:space="preserve"> </w:t>
      </w:r>
      <w:proofErr w:type="spellStart"/>
      <w:r>
        <w:rPr>
          <w:rFonts w:eastAsia="MinionPro-Regular"/>
          <w:color w:val="000000"/>
          <w:lang w:val="en-US"/>
        </w:rPr>
        <w:t>memungkinkan</w:t>
      </w:r>
      <w:proofErr w:type="spellEnd"/>
      <w:r>
        <w:rPr>
          <w:rFonts w:eastAsia="MinionPro-Regular"/>
          <w:color w:val="000000"/>
          <w:lang w:val="en-US"/>
        </w:rPr>
        <w:t xml:space="preserve"> pasien </w:t>
      </w:r>
      <w:proofErr w:type="spellStart"/>
      <w:r>
        <w:rPr>
          <w:rFonts w:eastAsia="MinionPro-Regular"/>
          <w:color w:val="000000"/>
          <w:lang w:val="en-US"/>
        </w:rPr>
        <w:t>bersikap</w:t>
      </w:r>
      <w:proofErr w:type="spellEnd"/>
      <w:r>
        <w:rPr>
          <w:rFonts w:eastAsia="MinionPro-Regular"/>
          <w:color w:val="000000"/>
          <w:lang w:val="en-US"/>
        </w:rPr>
        <w:t xml:space="preserve"> </w:t>
      </w:r>
      <w:proofErr w:type="spellStart"/>
      <w:r>
        <w:rPr>
          <w:rFonts w:eastAsia="MinionPro-Regular"/>
          <w:color w:val="000000"/>
          <w:lang w:val="en-US"/>
        </w:rPr>
        <w:t>kooperatif</w:t>
      </w:r>
      <w:proofErr w:type="spellEnd"/>
      <w:r>
        <w:rPr>
          <w:rFonts w:eastAsia="MinionPro-Regular"/>
          <w:color w:val="000000"/>
          <w:lang w:val="en-US"/>
        </w:rPr>
        <w:t xml:space="preserve"> dan </w:t>
      </w:r>
      <w:proofErr w:type="spellStart"/>
      <w:r>
        <w:rPr>
          <w:rFonts w:eastAsia="MinionPro-Regular"/>
          <w:color w:val="000000"/>
          <w:lang w:val="en-US"/>
        </w:rPr>
        <w:t>komunikatif</w:t>
      </w:r>
      <w:proofErr w:type="spellEnd"/>
      <w:r>
        <w:rPr>
          <w:rFonts w:eastAsia="MinionPro-Regular"/>
          <w:color w:val="000000"/>
          <w:lang w:val="en-US"/>
        </w:rPr>
        <w:t xml:space="preserve"> saat </w:t>
      </w:r>
      <w:proofErr w:type="spellStart"/>
      <w:r>
        <w:rPr>
          <w:rFonts w:eastAsia="MinionPro-Regular"/>
          <w:color w:val="000000"/>
          <w:lang w:val="en-US"/>
        </w:rPr>
        <w:t>distimulasi</w:t>
      </w:r>
      <w:proofErr w:type="spellEnd"/>
      <w:r>
        <w:rPr>
          <w:rFonts w:eastAsia="MinionPro-Regular"/>
          <w:color w:val="000000"/>
          <w:lang w:val="en-US"/>
        </w:rPr>
        <w:t xml:space="preserve">. </w:t>
      </w:r>
      <w:r>
        <w:rPr>
          <w:rFonts w:eastAsia="MinionPro-Regular"/>
          <w:color w:val="000000"/>
          <w:lang w:val="id-ID"/>
        </w:rPr>
        <w:t xml:space="preserve">Sifat sedatif </w:t>
      </w:r>
      <w:r>
        <w:rPr>
          <w:rFonts w:eastAsia="MinionPro-Regular"/>
          <w:color w:val="000000"/>
          <w:lang w:val="en-US"/>
        </w:rPr>
        <w:t xml:space="preserve">dexmedetomidine </w:t>
      </w:r>
      <w:proofErr w:type="spellStart"/>
      <w:r>
        <w:rPr>
          <w:rFonts w:eastAsia="MinionPro-Regular"/>
          <w:color w:val="000000"/>
          <w:lang w:val="en-US"/>
        </w:rPr>
        <w:t>mirip</w:t>
      </w:r>
      <w:proofErr w:type="spellEnd"/>
      <w:r>
        <w:rPr>
          <w:rFonts w:eastAsia="MinionPro-Regular"/>
          <w:color w:val="000000"/>
          <w:lang w:val="en-US"/>
        </w:rPr>
        <w:t xml:space="preserve"> dengan </w:t>
      </w:r>
      <w:proofErr w:type="spellStart"/>
      <w:r>
        <w:rPr>
          <w:rFonts w:eastAsia="MinionPro-Regular"/>
          <w:color w:val="000000"/>
          <w:lang w:val="en-US"/>
        </w:rPr>
        <w:t>tidur</w:t>
      </w:r>
      <w:proofErr w:type="spellEnd"/>
      <w:r>
        <w:rPr>
          <w:rFonts w:eastAsia="MinionPro-Regular"/>
          <w:color w:val="000000"/>
          <w:lang w:val="en-US"/>
        </w:rPr>
        <w:t xml:space="preserve"> </w:t>
      </w:r>
      <w:proofErr w:type="spellStart"/>
      <w:r>
        <w:rPr>
          <w:rFonts w:eastAsia="MinionPro-Regular"/>
          <w:color w:val="000000"/>
          <w:lang w:val="en-US"/>
        </w:rPr>
        <w:t>alami</w:t>
      </w:r>
      <w:proofErr w:type="spellEnd"/>
      <w:r>
        <w:rPr>
          <w:rFonts w:eastAsia="MinionPro-Regular"/>
          <w:color w:val="000000"/>
          <w:lang w:val="en-US"/>
        </w:rPr>
        <w:t xml:space="preserve">. Dexmedetomidine </w:t>
      </w:r>
      <w:proofErr w:type="spellStart"/>
      <w:r>
        <w:rPr>
          <w:rFonts w:eastAsia="MinionPro-Regular"/>
          <w:color w:val="000000"/>
          <w:lang w:val="en-US"/>
        </w:rPr>
        <w:t>diketahui</w:t>
      </w:r>
      <w:proofErr w:type="spellEnd"/>
      <w:r>
        <w:rPr>
          <w:rFonts w:eastAsia="MinionPro-Regular"/>
          <w:color w:val="000000"/>
          <w:lang w:val="en-US"/>
        </w:rPr>
        <w:t xml:space="preserve"> dapat </w:t>
      </w:r>
      <w:proofErr w:type="spellStart"/>
      <w:r>
        <w:rPr>
          <w:rFonts w:eastAsia="MinionPro-Regular"/>
          <w:color w:val="000000"/>
          <w:lang w:val="en-US"/>
        </w:rPr>
        <w:t>menekan</w:t>
      </w:r>
      <w:proofErr w:type="spellEnd"/>
      <w:r>
        <w:rPr>
          <w:rFonts w:eastAsia="MinionPro-Regular"/>
          <w:color w:val="000000"/>
          <w:lang w:val="en-US"/>
        </w:rPr>
        <w:t xml:space="preserve"> noradrenergic neuronal firing </w:t>
      </w:r>
      <w:proofErr w:type="spellStart"/>
      <w:r>
        <w:rPr>
          <w:rFonts w:eastAsia="MinionPro-Regular"/>
          <w:color w:val="000000"/>
          <w:lang w:val="en-US"/>
        </w:rPr>
        <w:t>dari</w:t>
      </w:r>
      <w:proofErr w:type="spellEnd"/>
      <w:r>
        <w:rPr>
          <w:rFonts w:eastAsia="MinionPro-Regular"/>
          <w:color w:val="000000"/>
          <w:lang w:val="en-US"/>
        </w:rPr>
        <w:t xml:space="preserve"> locus </w:t>
      </w:r>
      <w:proofErr w:type="spellStart"/>
      <w:r>
        <w:rPr>
          <w:rFonts w:eastAsia="MinionPro-Regular"/>
          <w:color w:val="000000"/>
          <w:lang w:val="en-US"/>
        </w:rPr>
        <w:t>ceruleus</w:t>
      </w:r>
      <w:proofErr w:type="spellEnd"/>
      <w:r>
        <w:rPr>
          <w:rFonts w:eastAsia="MinionPro-Regular"/>
          <w:color w:val="000000"/>
          <w:lang w:val="en-US"/>
        </w:rPr>
        <w:t xml:space="preserve"> di </w:t>
      </w:r>
      <w:proofErr w:type="spellStart"/>
      <w:r>
        <w:rPr>
          <w:rFonts w:eastAsia="MinionPro-Regular"/>
          <w:color w:val="000000"/>
          <w:lang w:val="en-US"/>
        </w:rPr>
        <w:t>batang</w:t>
      </w:r>
      <w:proofErr w:type="spellEnd"/>
      <w:r>
        <w:rPr>
          <w:rFonts w:eastAsia="MinionPro-Regular"/>
          <w:color w:val="000000"/>
          <w:lang w:val="en-US"/>
        </w:rPr>
        <w:t xml:space="preserve"> </w:t>
      </w:r>
      <w:proofErr w:type="spellStart"/>
      <w:r>
        <w:rPr>
          <w:rFonts w:eastAsia="MinionPro-Regular"/>
          <w:color w:val="000000"/>
          <w:lang w:val="en-US"/>
        </w:rPr>
        <w:t>otak</w:t>
      </w:r>
      <w:proofErr w:type="spellEnd"/>
      <w:r>
        <w:rPr>
          <w:rFonts w:eastAsia="MinionPro-Regular"/>
          <w:color w:val="000000"/>
          <w:lang w:val="en-US"/>
        </w:rPr>
        <w:t xml:space="preserve">, yang </w:t>
      </w:r>
      <w:proofErr w:type="spellStart"/>
      <w:r>
        <w:rPr>
          <w:rFonts w:eastAsia="MinionPro-Regular"/>
          <w:color w:val="000000"/>
          <w:lang w:val="en-US"/>
        </w:rPr>
        <w:t>menyebabkan</w:t>
      </w:r>
      <w:proofErr w:type="spellEnd"/>
      <w:r>
        <w:rPr>
          <w:rFonts w:eastAsia="MinionPro-Regular"/>
          <w:color w:val="000000"/>
          <w:lang w:val="en-US"/>
        </w:rPr>
        <w:t xml:space="preserve"> </w:t>
      </w:r>
      <w:proofErr w:type="spellStart"/>
      <w:r>
        <w:rPr>
          <w:rFonts w:eastAsia="MinionPro-Regular"/>
          <w:color w:val="000000"/>
          <w:lang w:val="en-US"/>
        </w:rPr>
        <w:t>hilangnya</w:t>
      </w:r>
      <w:proofErr w:type="spellEnd"/>
      <w:r>
        <w:rPr>
          <w:rFonts w:eastAsia="MinionPro-Regular"/>
          <w:color w:val="000000"/>
          <w:lang w:val="en-US"/>
        </w:rPr>
        <w:t xml:space="preserve"> </w:t>
      </w:r>
      <w:proofErr w:type="spellStart"/>
      <w:r>
        <w:rPr>
          <w:rFonts w:eastAsia="MinionPro-Regular"/>
          <w:color w:val="000000"/>
          <w:lang w:val="en-US"/>
        </w:rPr>
        <w:t>kesadaran</w:t>
      </w:r>
      <w:proofErr w:type="spellEnd"/>
      <w:r>
        <w:rPr>
          <w:rFonts w:eastAsia="MinionPro-Regular"/>
          <w:color w:val="000000"/>
          <w:lang w:val="en-US"/>
        </w:rPr>
        <w:t xml:space="preserve"> </w:t>
      </w:r>
      <w:proofErr w:type="spellStart"/>
      <w:r>
        <w:rPr>
          <w:rFonts w:eastAsia="MinionPro-Regular"/>
          <w:color w:val="000000"/>
          <w:lang w:val="en-US"/>
        </w:rPr>
        <w:t>melalui</w:t>
      </w:r>
      <w:proofErr w:type="spellEnd"/>
      <w:r>
        <w:rPr>
          <w:rFonts w:eastAsia="MinionPro-Regular"/>
          <w:color w:val="000000"/>
          <w:lang w:val="en-US"/>
        </w:rPr>
        <w:t xml:space="preserve"> </w:t>
      </w:r>
      <w:proofErr w:type="spellStart"/>
      <w:r>
        <w:rPr>
          <w:rFonts w:eastAsia="MinionPro-Regular"/>
          <w:color w:val="000000"/>
          <w:lang w:val="en-US"/>
        </w:rPr>
        <w:t>aktivasi</w:t>
      </w:r>
      <w:proofErr w:type="spellEnd"/>
      <w:r>
        <w:rPr>
          <w:rFonts w:eastAsia="MinionPro-Regular"/>
          <w:color w:val="000000"/>
          <w:lang w:val="en-US"/>
        </w:rPr>
        <w:t xml:space="preserve"> </w:t>
      </w:r>
      <w:proofErr w:type="spellStart"/>
      <w:r>
        <w:rPr>
          <w:rFonts w:eastAsia="MinionPro-Regular"/>
          <w:color w:val="000000"/>
          <w:lang w:val="en-US"/>
        </w:rPr>
        <w:t>jalur</w:t>
      </w:r>
      <w:proofErr w:type="spellEnd"/>
      <w:r>
        <w:rPr>
          <w:rFonts w:eastAsia="MinionPro-Regular"/>
          <w:color w:val="000000"/>
          <w:lang w:val="en-US"/>
        </w:rPr>
        <w:t xml:space="preserve"> </w:t>
      </w:r>
      <w:proofErr w:type="spellStart"/>
      <w:r>
        <w:rPr>
          <w:rFonts w:eastAsia="MinionPro-Regular"/>
          <w:color w:val="000000"/>
          <w:lang w:val="en-US"/>
        </w:rPr>
        <w:t>peningkatan</w:t>
      </w:r>
      <w:proofErr w:type="spellEnd"/>
      <w:r>
        <w:rPr>
          <w:rFonts w:eastAsia="MinionPro-Regular"/>
          <w:color w:val="000000"/>
          <w:lang w:val="en-US"/>
        </w:rPr>
        <w:t xml:space="preserve"> </w:t>
      </w:r>
      <w:proofErr w:type="spellStart"/>
      <w:r>
        <w:rPr>
          <w:rFonts w:eastAsia="MinionPro-Regular"/>
          <w:color w:val="000000"/>
          <w:lang w:val="en-US"/>
        </w:rPr>
        <w:t>tidur</w:t>
      </w:r>
      <w:proofErr w:type="spellEnd"/>
      <w:r>
        <w:rPr>
          <w:rFonts w:eastAsia="MinionPro-Regular"/>
          <w:color w:val="000000"/>
          <w:lang w:val="en-US"/>
        </w:rPr>
        <w:t xml:space="preserve"> endogen. Dexmedetomidine </w:t>
      </w:r>
      <w:proofErr w:type="spellStart"/>
      <w:r>
        <w:rPr>
          <w:rFonts w:eastAsia="MinionPro-Regular"/>
          <w:color w:val="000000"/>
          <w:lang w:val="en-US"/>
        </w:rPr>
        <w:t>menunjukkan</w:t>
      </w:r>
      <w:proofErr w:type="spellEnd"/>
      <w:r>
        <w:rPr>
          <w:rFonts w:eastAsia="MinionPro-Regular"/>
          <w:color w:val="000000"/>
          <w:lang w:val="en-US"/>
        </w:rPr>
        <w:t xml:space="preserve"> </w:t>
      </w:r>
      <w:proofErr w:type="spellStart"/>
      <w:r>
        <w:rPr>
          <w:rFonts w:eastAsia="MinionPro-Regular"/>
          <w:color w:val="000000"/>
          <w:lang w:val="en-US"/>
        </w:rPr>
        <w:t>efek</w:t>
      </w:r>
      <w:proofErr w:type="spellEnd"/>
      <w:r>
        <w:rPr>
          <w:rFonts w:eastAsia="MinionPro-Regular"/>
          <w:color w:val="000000"/>
          <w:lang w:val="en-US"/>
        </w:rPr>
        <w:t xml:space="preserve"> </w:t>
      </w:r>
      <w:proofErr w:type="spellStart"/>
      <w:r>
        <w:rPr>
          <w:rFonts w:eastAsia="MinionPro-Regular"/>
          <w:color w:val="000000"/>
          <w:lang w:val="en-US"/>
        </w:rPr>
        <w:t>sedatif</w:t>
      </w:r>
      <w:proofErr w:type="spellEnd"/>
      <w:r>
        <w:rPr>
          <w:rFonts w:eastAsia="MinionPro-Regular"/>
          <w:color w:val="000000"/>
          <w:lang w:val="en-US"/>
        </w:rPr>
        <w:t xml:space="preserve"> </w:t>
      </w:r>
      <w:proofErr w:type="spellStart"/>
      <w:r>
        <w:rPr>
          <w:rFonts w:eastAsia="MinionPro-Regular"/>
          <w:color w:val="000000"/>
          <w:lang w:val="en-US"/>
        </w:rPr>
        <w:t>tergantung</w:t>
      </w:r>
      <w:proofErr w:type="spellEnd"/>
      <w:r>
        <w:rPr>
          <w:rFonts w:eastAsia="MinionPro-Regular"/>
          <w:color w:val="000000"/>
          <w:lang w:val="en-US"/>
        </w:rPr>
        <w:t xml:space="preserve"> dosis. Jika dosis </w:t>
      </w:r>
      <w:r>
        <w:rPr>
          <w:rFonts w:eastAsia="MinionPro-Regular"/>
          <w:color w:val="000000"/>
          <w:lang w:val="en-US"/>
        </w:rPr>
        <w:lastRenderedPageBreak/>
        <w:t xml:space="preserve">yang </w:t>
      </w:r>
      <w:proofErr w:type="spellStart"/>
      <w:r>
        <w:rPr>
          <w:rFonts w:eastAsia="MinionPro-Regular"/>
          <w:color w:val="000000"/>
          <w:lang w:val="en-US"/>
        </w:rPr>
        <w:t>cukup</w:t>
      </w:r>
      <w:proofErr w:type="spellEnd"/>
      <w:r>
        <w:rPr>
          <w:rFonts w:eastAsia="MinionPro-Regular"/>
          <w:color w:val="000000"/>
          <w:lang w:val="en-US"/>
        </w:rPr>
        <w:t xml:space="preserve"> </w:t>
      </w:r>
      <w:proofErr w:type="spellStart"/>
      <w:r>
        <w:rPr>
          <w:rFonts w:eastAsia="MinionPro-Regular"/>
          <w:color w:val="000000"/>
          <w:lang w:val="en-US"/>
        </w:rPr>
        <w:t>besar</w:t>
      </w:r>
      <w:proofErr w:type="spellEnd"/>
      <w:r>
        <w:rPr>
          <w:rFonts w:eastAsia="MinionPro-Regular"/>
          <w:color w:val="000000"/>
          <w:lang w:val="en-US"/>
        </w:rPr>
        <w:t xml:space="preserve"> </w:t>
      </w:r>
      <w:proofErr w:type="spellStart"/>
      <w:r>
        <w:rPr>
          <w:rFonts w:eastAsia="MinionPro-Regular"/>
          <w:color w:val="000000"/>
          <w:lang w:val="en-US"/>
        </w:rPr>
        <w:t>diberikan</w:t>
      </w:r>
      <w:proofErr w:type="spellEnd"/>
      <w:r>
        <w:rPr>
          <w:rFonts w:eastAsia="MinionPro-Regular"/>
          <w:color w:val="000000"/>
          <w:lang w:val="en-US"/>
        </w:rPr>
        <w:t xml:space="preserve">, dexmedetomidine </w:t>
      </w:r>
      <w:proofErr w:type="spellStart"/>
      <w:r>
        <w:rPr>
          <w:rFonts w:eastAsia="MinionPro-Regular"/>
          <w:color w:val="000000"/>
          <w:lang w:val="en-US"/>
        </w:rPr>
        <w:t>menghasilkan</w:t>
      </w:r>
      <w:proofErr w:type="spellEnd"/>
      <w:r>
        <w:rPr>
          <w:rFonts w:eastAsia="MinionPro-Regular"/>
          <w:color w:val="000000"/>
          <w:lang w:val="en-US"/>
        </w:rPr>
        <w:t xml:space="preserve"> </w:t>
      </w:r>
      <w:proofErr w:type="spellStart"/>
      <w:r>
        <w:rPr>
          <w:rFonts w:eastAsia="MinionPro-Regular"/>
          <w:color w:val="000000"/>
          <w:lang w:val="en-US"/>
        </w:rPr>
        <w:t>sedasi</w:t>
      </w:r>
      <w:proofErr w:type="spellEnd"/>
      <w:r>
        <w:rPr>
          <w:rFonts w:eastAsia="MinionPro-Regular"/>
          <w:color w:val="000000"/>
          <w:lang w:val="en-US"/>
        </w:rPr>
        <w:t xml:space="preserve"> dalam atau </w:t>
      </w:r>
      <w:proofErr w:type="spellStart"/>
      <w:r>
        <w:rPr>
          <w:rFonts w:eastAsia="MinionPro-Regular"/>
          <w:color w:val="000000"/>
          <w:lang w:val="en-US"/>
        </w:rPr>
        <w:t>bahkan</w:t>
      </w:r>
      <w:proofErr w:type="spellEnd"/>
      <w:r>
        <w:rPr>
          <w:rFonts w:eastAsia="MinionPro-Regular"/>
          <w:color w:val="000000"/>
          <w:lang w:val="en-US"/>
        </w:rPr>
        <w:t xml:space="preserve"> </w:t>
      </w:r>
      <w:proofErr w:type="spellStart"/>
      <w:r>
        <w:rPr>
          <w:rFonts w:eastAsia="MinionPro-Regular"/>
          <w:color w:val="000000"/>
          <w:lang w:val="en-US"/>
        </w:rPr>
        <w:t>anestesi</w:t>
      </w:r>
      <w:proofErr w:type="spellEnd"/>
      <w:r>
        <w:rPr>
          <w:rFonts w:eastAsia="MinionPro-Regular"/>
          <w:color w:val="000000"/>
          <w:lang w:val="en-US"/>
        </w:rPr>
        <w:t xml:space="preserve"> </w:t>
      </w:r>
      <w:proofErr w:type="spellStart"/>
      <w:r>
        <w:rPr>
          <w:rFonts w:eastAsia="MinionPro-Regular"/>
          <w:color w:val="000000"/>
          <w:lang w:val="en-US"/>
        </w:rPr>
        <w:t>umum</w:t>
      </w:r>
      <w:proofErr w:type="spellEnd"/>
      <w:r>
        <w:rPr>
          <w:rFonts w:eastAsia="MinionPro-Regular"/>
          <w:color w:val="000000"/>
          <w:lang w:val="en-US"/>
        </w:rPr>
        <w:t xml:space="preserve">, yang </w:t>
      </w:r>
      <w:proofErr w:type="spellStart"/>
      <w:r>
        <w:rPr>
          <w:rFonts w:eastAsia="MinionPro-Regular"/>
          <w:color w:val="000000"/>
          <w:lang w:val="en-US"/>
        </w:rPr>
        <w:t>menunjukkan</w:t>
      </w:r>
      <w:proofErr w:type="spellEnd"/>
      <w:r>
        <w:rPr>
          <w:rFonts w:eastAsia="MinionPro-Regular"/>
          <w:color w:val="000000"/>
          <w:lang w:val="en-US"/>
        </w:rPr>
        <w:t xml:space="preserve"> </w:t>
      </w:r>
      <w:proofErr w:type="spellStart"/>
      <w:r>
        <w:rPr>
          <w:rFonts w:eastAsia="MinionPro-Regular"/>
          <w:color w:val="000000"/>
          <w:lang w:val="en-US"/>
        </w:rPr>
        <w:t>bahwa</w:t>
      </w:r>
      <w:proofErr w:type="spellEnd"/>
      <w:r>
        <w:rPr>
          <w:rFonts w:eastAsia="MinionPro-Regular"/>
          <w:color w:val="000000"/>
          <w:lang w:val="en-US"/>
        </w:rPr>
        <w:t xml:space="preserve"> dexmedetomidine </w:t>
      </w:r>
      <w:proofErr w:type="spellStart"/>
      <w:r>
        <w:rPr>
          <w:rFonts w:eastAsia="MinionPro-Regular"/>
          <w:color w:val="000000"/>
          <w:lang w:val="en-US"/>
        </w:rPr>
        <w:t>memiliki</w:t>
      </w:r>
      <w:proofErr w:type="spellEnd"/>
      <w:r>
        <w:rPr>
          <w:rFonts w:eastAsia="MinionPro-Regular"/>
          <w:color w:val="000000"/>
          <w:lang w:val="en-US"/>
        </w:rPr>
        <w:t xml:space="preserve"> </w:t>
      </w:r>
      <w:proofErr w:type="spellStart"/>
      <w:r>
        <w:rPr>
          <w:rFonts w:eastAsia="MinionPro-Regular"/>
          <w:color w:val="000000"/>
          <w:lang w:val="en-US"/>
        </w:rPr>
        <w:t>potensi</w:t>
      </w:r>
      <w:proofErr w:type="spellEnd"/>
      <w:r>
        <w:rPr>
          <w:rFonts w:eastAsia="MinionPro-Regular"/>
          <w:color w:val="000000"/>
          <w:lang w:val="en-US"/>
        </w:rPr>
        <w:t xml:space="preserve"> untuk </w:t>
      </w:r>
      <w:proofErr w:type="spellStart"/>
      <w:r>
        <w:rPr>
          <w:rFonts w:eastAsia="MinionPro-Regular"/>
          <w:color w:val="000000"/>
          <w:lang w:val="en-US"/>
        </w:rPr>
        <w:t>menjadi</w:t>
      </w:r>
      <w:proofErr w:type="spellEnd"/>
      <w:r>
        <w:rPr>
          <w:rFonts w:eastAsia="MinionPro-Regular"/>
          <w:color w:val="000000"/>
          <w:lang w:val="en-US"/>
        </w:rPr>
        <w:t xml:space="preserve"> </w:t>
      </w:r>
      <w:proofErr w:type="spellStart"/>
      <w:r>
        <w:rPr>
          <w:rFonts w:eastAsia="MinionPro-Regular"/>
          <w:color w:val="000000"/>
          <w:lang w:val="en-US"/>
        </w:rPr>
        <w:t>bagian</w:t>
      </w:r>
      <w:proofErr w:type="spellEnd"/>
      <w:r>
        <w:rPr>
          <w:rFonts w:eastAsia="MinionPro-Regular"/>
          <w:color w:val="000000"/>
          <w:lang w:val="en-US"/>
        </w:rPr>
        <w:t xml:space="preserve"> </w:t>
      </w:r>
      <w:proofErr w:type="spellStart"/>
      <w:r>
        <w:rPr>
          <w:rFonts w:eastAsia="MinionPro-Regular"/>
          <w:color w:val="000000"/>
          <w:lang w:val="en-US"/>
        </w:rPr>
        <w:t>dari</w:t>
      </w:r>
      <w:proofErr w:type="spellEnd"/>
      <w:r>
        <w:rPr>
          <w:rFonts w:eastAsia="MinionPro-Regular"/>
          <w:color w:val="000000"/>
          <w:lang w:val="en-US"/>
        </w:rPr>
        <w:t xml:space="preserve"> strategi </w:t>
      </w:r>
      <w:proofErr w:type="spellStart"/>
      <w:r>
        <w:rPr>
          <w:rFonts w:eastAsia="MinionPro-Regular"/>
          <w:color w:val="000000"/>
          <w:lang w:val="en-US"/>
        </w:rPr>
        <w:t>anestesi</w:t>
      </w:r>
      <w:proofErr w:type="spellEnd"/>
      <w:r>
        <w:rPr>
          <w:rFonts w:eastAsia="MinionPro-Regular"/>
          <w:color w:val="000000"/>
          <w:lang w:val="en-US"/>
        </w:rPr>
        <w:t xml:space="preserve"> </w:t>
      </w:r>
      <w:proofErr w:type="spellStart"/>
      <w:r>
        <w:rPr>
          <w:rFonts w:eastAsia="MinionPro-Regular"/>
          <w:color w:val="000000"/>
          <w:lang w:val="en-US"/>
        </w:rPr>
        <w:t>intravena</w:t>
      </w:r>
      <w:proofErr w:type="spellEnd"/>
      <w:r>
        <w:rPr>
          <w:rFonts w:eastAsia="MinionPro-Regular"/>
          <w:color w:val="000000"/>
          <w:lang w:val="en-US"/>
        </w:rPr>
        <w:t xml:space="preserve"> total. </w:t>
      </w:r>
      <w:proofErr w:type="spellStart"/>
      <w:r>
        <w:rPr>
          <w:rFonts w:eastAsia="MinionPro-Regular"/>
          <w:color w:val="000000"/>
          <w:lang w:val="en-US"/>
        </w:rPr>
        <w:t>Namun</w:t>
      </w:r>
      <w:proofErr w:type="spellEnd"/>
      <w:r>
        <w:rPr>
          <w:rFonts w:eastAsia="MinionPro-Regular"/>
          <w:color w:val="000000"/>
          <w:lang w:val="en-US"/>
        </w:rPr>
        <w:t xml:space="preserve">, </w:t>
      </w:r>
      <w:proofErr w:type="spellStart"/>
      <w:r>
        <w:rPr>
          <w:rFonts w:eastAsia="MinionPro-Regular"/>
          <w:color w:val="000000"/>
          <w:lang w:val="en-US"/>
        </w:rPr>
        <w:t>efek</w:t>
      </w:r>
      <w:proofErr w:type="spellEnd"/>
      <w:r>
        <w:rPr>
          <w:rFonts w:eastAsia="MinionPro-Regular"/>
          <w:color w:val="000000"/>
          <w:lang w:val="en-US"/>
        </w:rPr>
        <w:t xml:space="preserve"> </w:t>
      </w:r>
      <w:proofErr w:type="spellStart"/>
      <w:r>
        <w:rPr>
          <w:rFonts w:eastAsia="MinionPro-Regular"/>
          <w:color w:val="000000"/>
          <w:lang w:val="en-US"/>
        </w:rPr>
        <w:t>kardiovaskular</w:t>
      </w:r>
      <w:proofErr w:type="spellEnd"/>
      <w:r>
        <w:rPr>
          <w:rFonts w:eastAsia="MinionPro-Regular"/>
          <w:color w:val="000000"/>
          <w:lang w:val="en-US"/>
        </w:rPr>
        <w:t xml:space="preserve"> </w:t>
      </w:r>
      <w:proofErr w:type="spellStart"/>
      <w:r>
        <w:rPr>
          <w:rFonts w:eastAsia="MinionPro-Regular"/>
          <w:color w:val="000000"/>
          <w:lang w:val="en-US"/>
        </w:rPr>
        <w:t>dari</w:t>
      </w:r>
      <w:proofErr w:type="spellEnd"/>
      <w:r>
        <w:rPr>
          <w:rFonts w:eastAsia="MinionPro-Regular"/>
          <w:color w:val="000000"/>
          <w:lang w:val="en-US"/>
        </w:rPr>
        <w:t xml:space="preserve"> dexmedetomidine dapat </w:t>
      </w:r>
      <w:proofErr w:type="spellStart"/>
      <w:r>
        <w:rPr>
          <w:rFonts w:eastAsia="MinionPro-Regular"/>
          <w:color w:val="000000"/>
          <w:lang w:val="en-US"/>
        </w:rPr>
        <w:t>membatasi</w:t>
      </w:r>
      <w:proofErr w:type="spellEnd"/>
      <w:r>
        <w:rPr>
          <w:rFonts w:eastAsia="MinionPro-Regular"/>
          <w:color w:val="000000"/>
          <w:lang w:val="en-US"/>
        </w:rPr>
        <w:t xml:space="preserve"> </w:t>
      </w:r>
      <w:proofErr w:type="spellStart"/>
      <w:r>
        <w:rPr>
          <w:rFonts w:eastAsia="MinionPro-Regular"/>
          <w:color w:val="000000"/>
          <w:lang w:val="en-US"/>
        </w:rPr>
        <w:t>aplikasi</w:t>
      </w:r>
      <w:proofErr w:type="spellEnd"/>
      <w:r>
        <w:rPr>
          <w:rFonts w:eastAsia="MinionPro-Regular"/>
          <w:color w:val="000000"/>
          <w:lang w:val="en-US"/>
        </w:rPr>
        <w:t xml:space="preserve"> ini, </w:t>
      </w:r>
      <w:proofErr w:type="spellStart"/>
      <w:r>
        <w:rPr>
          <w:rFonts w:eastAsia="MinionPro-Regular"/>
          <w:color w:val="000000"/>
          <w:lang w:val="en-US"/>
        </w:rPr>
        <w:t>terutama</w:t>
      </w:r>
      <w:proofErr w:type="spellEnd"/>
      <w:r>
        <w:rPr>
          <w:rFonts w:eastAsia="MinionPro-Regular"/>
          <w:color w:val="000000"/>
          <w:lang w:val="en-US"/>
        </w:rPr>
        <w:t xml:space="preserve"> pada pasien yang </w:t>
      </w:r>
      <w:proofErr w:type="spellStart"/>
      <w:r>
        <w:rPr>
          <w:rFonts w:eastAsia="MinionPro-Regular"/>
          <w:color w:val="000000"/>
          <w:lang w:val="en-US"/>
        </w:rPr>
        <w:t>kurang</w:t>
      </w:r>
      <w:proofErr w:type="spellEnd"/>
      <w:r>
        <w:rPr>
          <w:rFonts w:eastAsia="MinionPro-Regular"/>
          <w:color w:val="000000"/>
          <w:lang w:val="en-US"/>
        </w:rPr>
        <w:t xml:space="preserve"> </w:t>
      </w:r>
      <w:proofErr w:type="spellStart"/>
      <w:r>
        <w:rPr>
          <w:rFonts w:eastAsia="MinionPro-Regular"/>
          <w:color w:val="000000"/>
          <w:lang w:val="en-US"/>
        </w:rPr>
        <w:t>sehat</w:t>
      </w:r>
      <w:proofErr w:type="spellEnd"/>
      <w:r>
        <w:rPr>
          <w:rFonts w:eastAsia="MinionPro-Regular"/>
          <w:color w:val="000000"/>
          <w:lang w:val="id-ID"/>
        </w:rPr>
        <w:t>.</w:t>
      </w:r>
      <w:r>
        <w:rPr>
          <w:rFonts w:eastAsia="MinionPro-Regular"/>
          <w:color w:val="000000"/>
          <w:lang w:val="en-US"/>
        </w:rPr>
        <w:t xml:space="preserve"> Dexmedetomidine dapat </w:t>
      </w:r>
      <w:proofErr w:type="spellStart"/>
      <w:r>
        <w:rPr>
          <w:rFonts w:eastAsia="MinionPro-Regular"/>
          <w:color w:val="000000"/>
          <w:lang w:val="en-US"/>
        </w:rPr>
        <w:t>memberikan</w:t>
      </w:r>
      <w:proofErr w:type="spellEnd"/>
      <w:r>
        <w:rPr>
          <w:rFonts w:eastAsia="MinionPro-Regular"/>
          <w:color w:val="000000"/>
          <w:lang w:val="en-US"/>
        </w:rPr>
        <w:t xml:space="preserve"> </w:t>
      </w:r>
      <w:proofErr w:type="spellStart"/>
      <w:r>
        <w:rPr>
          <w:rFonts w:eastAsia="MinionPro-Regular"/>
          <w:color w:val="000000"/>
          <w:lang w:val="en-US"/>
        </w:rPr>
        <w:t>sedasi</w:t>
      </w:r>
      <w:proofErr w:type="spellEnd"/>
      <w:r>
        <w:rPr>
          <w:rFonts w:eastAsia="MinionPro-Regular"/>
          <w:color w:val="000000"/>
          <w:lang w:val="en-US"/>
        </w:rPr>
        <w:t xml:space="preserve"> yang </w:t>
      </w:r>
      <w:proofErr w:type="spellStart"/>
      <w:r>
        <w:rPr>
          <w:rFonts w:eastAsia="MinionPro-Regular"/>
          <w:color w:val="000000"/>
          <w:lang w:val="en-US"/>
        </w:rPr>
        <w:t>memadai</w:t>
      </w:r>
      <w:proofErr w:type="spellEnd"/>
      <w:r>
        <w:rPr>
          <w:rFonts w:eastAsia="MinionPro-Regular"/>
          <w:color w:val="000000"/>
          <w:lang w:val="en-US"/>
        </w:rPr>
        <w:t xml:space="preserve"> pada pasien </w:t>
      </w:r>
      <w:proofErr w:type="spellStart"/>
      <w:r>
        <w:rPr>
          <w:rFonts w:eastAsia="MinionPro-Regular"/>
          <w:color w:val="000000"/>
          <w:lang w:val="en-US"/>
        </w:rPr>
        <w:t>sakit</w:t>
      </w:r>
      <w:proofErr w:type="spellEnd"/>
      <w:r>
        <w:rPr>
          <w:rFonts w:eastAsia="MinionPro-Regular"/>
          <w:color w:val="000000"/>
          <w:lang w:val="en-US"/>
        </w:rPr>
        <w:t xml:space="preserve"> </w:t>
      </w:r>
      <w:proofErr w:type="spellStart"/>
      <w:r>
        <w:rPr>
          <w:rFonts w:eastAsia="MinionPro-Regular"/>
          <w:color w:val="000000"/>
          <w:lang w:val="en-US"/>
        </w:rPr>
        <w:t>kritis</w:t>
      </w:r>
      <w:proofErr w:type="spellEnd"/>
      <w:r>
        <w:rPr>
          <w:rFonts w:eastAsia="MinionPro-Regular"/>
          <w:color w:val="000000"/>
          <w:lang w:val="en-US"/>
        </w:rPr>
        <w:t xml:space="preserve">. Bila </w:t>
      </w:r>
      <w:proofErr w:type="spellStart"/>
      <w:r>
        <w:rPr>
          <w:rFonts w:eastAsia="MinionPro-Regular"/>
          <w:color w:val="000000"/>
          <w:lang w:val="en-US"/>
        </w:rPr>
        <w:t>dibandingkan</w:t>
      </w:r>
      <w:proofErr w:type="spellEnd"/>
      <w:r>
        <w:rPr>
          <w:rFonts w:eastAsia="MinionPro-Regular"/>
          <w:color w:val="000000"/>
          <w:lang w:val="en-US"/>
        </w:rPr>
        <w:t xml:space="preserve"> dengan </w:t>
      </w:r>
      <w:proofErr w:type="spellStart"/>
      <w:r>
        <w:rPr>
          <w:rFonts w:eastAsia="MinionPro-Regular"/>
          <w:color w:val="000000"/>
          <w:lang w:val="en-US"/>
        </w:rPr>
        <w:t>kelompok</w:t>
      </w:r>
      <w:proofErr w:type="spellEnd"/>
      <w:r>
        <w:rPr>
          <w:rFonts w:eastAsia="MinionPro-Regular"/>
          <w:color w:val="000000"/>
          <w:lang w:val="en-US"/>
        </w:rPr>
        <w:t xml:space="preserve"> propofol, </w:t>
      </w:r>
      <w:proofErr w:type="spellStart"/>
      <w:r>
        <w:rPr>
          <w:rFonts w:eastAsia="MinionPro-Regular"/>
          <w:color w:val="000000"/>
          <w:lang w:val="en-US"/>
        </w:rPr>
        <w:t>denyut</w:t>
      </w:r>
      <w:proofErr w:type="spellEnd"/>
      <w:r>
        <w:rPr>
          <w:rFonts w:eastAsia="MinionPro-Regular"/>
          <w:color w:val="000000"/>
          <w:lang w:val="en-US"/>
        </w:rPr>
        <w:t xml:space="preserve"> </w:t>
      </w:r>
      <w:proofErr w:type="spellStart"/>
      <w:r>
        <w:rPr>
          <w:rFonts w:eastAsia="MinionPro-Regular"/>
          <w:color w:val="000000"/>
          <w:lang w:val="en-US"/>
        </w:rPr>
        <w:t>jantung</w:t>
      </w:r>
      <w:proofErr w:type="spellEnd"/>
      <w:r>
        <w:rPr>
          <w:rFonts w:eastAsia="MinionPro-Regular"/>
          <w:color w:val="000000"/>
          <w:lang w:val="en-US"/>
        </w:rPr>
        <w:t xml:space="preserve"> rata-rata </w:t>
      </w:r>
      <w:proofErr w:type="spellStart"/>
      <w:r>
        <w:rPr>
          <w:rFonts w:eastAsia="MinionPro-Regular"/>
          <w:color w:val="000000"/>
          <w:lang w:val="en-US"/>
        </w:rPr>
        <w:t>sebagian</w:t>
      </w:r>
      <w:proofErr w:type="spellEnd"/>
      <w:r>
        <w:rPr>
          <w:rFonts w:eastAsia="MinionPro-Regular"/>
          <w:color w:val="000000"/>
          <w:lang w:val="en-US"/>
        </w:rPr>
        <w:t xml:space="preserve"> </w:t>
      </w:r>
      <w:proofErr w:type="spellStart"/>
      <w:r>
        <w:rPr>
          <w:rFonts w:eastAsia="MinionPro-Regular"/>
          <w:color w:val="000000"/>
          <w:lang w:val="en-US"/>
        </w:rPr>
        <w:t>besar</w:t>
      </w:r>
      <w:proofErr w:type="spellEnd"/>
      <w:r>
        <w:rPr>
          <w:rFonts w:eastAsia="MinionPro-Regular"/>
          <w:color w:val="000000"/>
          <w:lang w:val="en-US"/>
        </w:rPr>
        <w:t xml:space="preserve"> </w:t>
      </w:r>
      <w:proofErr w:type="spellStart"/>
      <w:r>
        <w:rPr>
          <w:rFonts w:eastAsia="MinionPro-Regular"/>
          <w:color w:val="000000"/>
          <w:lang w:val="en-US"/>
        </w:rPr>
        <w:t>lebih</w:t>
      </w:r>
      <w:proofErr w:type="spellEnd"/>
      <w:r>
        <w:rPr>
          <w:rFonts w:eastAsia="MinionPro-Regular"/>
          <w:color w:val="000000"/>
          <w:lang w:val="en-US"/>
        </w:rPr>
        <w:t xml:space="preserve"> </w:t>
      </w:r>
      <w:proofErr w:type="spellStart"/>
      <w:r>
        <w:rPr>
          <w:rFonts w:eastAsia="MinionPro-Regular"/>
          <w:color w:val="000000"/>
          <w:lang w:val="en-US"/>
        </w:rPr>
        <w:t>rendah</w:t>
      </w:r>
      <w:proofErr w:type="spellEnd"/>
      <w:r>
        <w:rPr>
          <w:rFonts w:eastAsia="MinionPro-Regular"/>
          <w:color w:val="000000"/>
          <w:lang w:val="en-US"/>
        </w:rPr>
        <w:t xml:space="preserve">, </w:t>
      </w:r>
      <w:proofErr w:type="spellStart"/>
      <w:r>
        <w:rPr>
          <w:rFonts w:eastAsia="MinionPro-Regular"/>
          <w:color w:val="000000"/>
          <w:lang w:val="en-US"/>
        </w:rPr>
        <w:t>tetapi</w:t>
      </w:r>
      <w:proofErr w:type="spellEnd"/>
      <w:r>
        <w:rPr>
          <w:rFonts w:eastAsia="MinionPro-Regular"/>
          <w:color w:val="000000"/>
          <w:lang w:val="en-US"/>
        </w:rPr>
        <w:t xml:space="preserve"> tidak </w:t>
      </w:r>
      <w:proofErr w:type="spellStart"/>
      <w:r>
        <w:rPr>
          <w:rFonts w:eastAsia="MinionPro-Regular"/>
          <w:color w:val="000000"/>
          <w:lang w:val="en-US"/>
        </w:rPr>
        <w:t>kurang</w:t>
      </w:r>
      <w:proofErr w:type="spellEnd"/>
      <w:r>
        <w:rPr>
          <w:rFonts w:eastAsia="MinionPro-Regular"/>
          <w:color w:val="000000"/>
          <w:lang w:val="en-US"/>
        </w:rPr>
        <w:t xml:space="preserve"> </w:t>
      </w:r>
      <w:proofErr w:type="spellStart"/>
      <w:r>
        <w:rPr>
          <w:rFonts w:eastAsia="MinionPro-Regular"/>
          <w:color w:val="000000"/>
          <w:lang w:val="en-US"/>
        </w:rPr>
        <w:t>dari</w:t>
      </w:r>
      <w:proofErr w:type="spellEnd"/>
      <w:r>
        <w:rPr>
          <w:rFonts w:eastAsia="MinionPro-Regular"/>
          <w:color w:val="000000"/>
          <w:lang w:val="en-US"/>
        </w:rPr>
        <w:t xml:space="preserve"> 60 </w:t>
      </w:r>
      <w:proofErr w:type="spellStart"/>
      <w:r>
        <w:rPr>
          <w:rFonts w:eastAsia="MinionPro-Regular"/>
          <w:color w:val="000000"/>
          <w:lang w:val="en-US"/>
        </w:rPr>
        <w:t>denyut</w:t>
      </w:r>
      <w:proofErr w:type="spellEnd"/>
      <w:r>
        <w:rPr>
          <w:rFonts w:eastAsia="MinionPro-Regular"/>
          <w:color w:val="000000"/>
          <w:lang w:val="en-US"/>
        </w:rPr>
        <w:t xml:space="preserve">/menit, dan </w:t>
      </w:r>
      <w:proofErr w:type="spellStart"/>
      <w:r>
        <w:rPr>
          <w:rFonts w:eastAsia="MinionPro-Regular"/>
          <w:color w:val="000000"/>
          <w:lang w:val="en-US"/>
        </w:rPr>
        <w:t>kebutuhan</w:t>
      </w:r>
      <w:proofErr w:type="spellEnd"/>
      <w:r>
        <w:rPr>
          <w:rFonts w:eastAsia="MinionPro-Regular"/>
          <w:color w:val="000000"/>
          <w:lang w:val="en-US"/>
        </w:rPr>
        <w:t xml:space="preserve"> opioid </w:t>
      </w:r>
      <w:proofErr w:type="spellStart"/>
      <w:r>
        <w:rPr>
          <w:rFonts w:eastAsia="MinionPro-Regular"/>
          <w:color w:val="000000"/>
          <w:lang w:val="en-US"/>
        </w:rPr>
        <w:t>secara</w:t>
      </w:r>
      <w:proofErr w:type="spellEnd"/>
      <w:r>
        <w:rPr>
          <w:rFonts w:eastAsia="MinionPro-Regular"/>
          <w:color w:val="000000"/>
          <w:lang w:val="en-US"/>
        </w:rPr>
        <w:t xml:space="preserve"> </w:t>
      </w:r>
      <w:proofErr w:type="spellStart"/>
      <w:r>
        <w:rPr>
          <w:rFonts w:eastAsia="MinionPro-Regular"/>
          <w:color w:val="000000"/>
          <w:lang w:val="en-US"/>
        </w:rPr>
        <w:t>signifikan</w:t>
      </w:r>
      <w:proofErr w:type="spellEnd"/>
      <w:r>
        <w:rPr>
          <w:rFonts w:eastAsia="MinionPro-Regular"/>
          <w:color w:val="000000"/>
          <w:lang w:val="en-US"/>
        </w:rPr>
        <w:t xml:space="preserve"> </w:t>
      </w:r>
      <w:proofErr w:type="spellStart"/>
      <w:r>
        <w:rPr>
          <w:rFonts w:eastAsia="MinionPro-Regular"/>
          <w:color w:val="000000"/>
          <w:lang w:val="en-US"/>
        </w:rPr>
        <w:t>lebih</w:t>
      </w:r>
      <w:proofErr w:type="spellEnd"/>
      <w:r>
        <w:rPr>
          <w:rFonts w:eastAsia="MinionPro-Regular"/>
          <w:color w:val="000000"/>
          <w:lang w:val="en-US"/>
        </w:rPr>
        <w:t xml:space="preserve"> </w:t>
      </w:r>
      <w:proofErr w:type="spellStart"/>
      <w:r>
        <w:rPr>
          <w:rFonts w:eastAsia="MinionPro-Regular"/>
          <w:color w:val="000000"/>
          <w:lang w:val="en-US"/>
        </w:rPr>
        <w:t>rendah</w:t>
      </w:r>
      <w:proofErr w:type="spellEnd"/>
      <w:r>
        <w:rPr>
          <w:rFonts w:eastAsia="MinionPro-Regular"/>
          <w:color w:val="000000"/>
          <w:lang w:val="en-US"/>
        </w:rPr>
        <w:t xml:space="preserve"> pada </w:t>
      </w:r>
      <w:proofErr w:type="spellStart"/>
      <w:r>
        <w:rPr>
          <w:rFonts w:eastAsia="MinionPro-Regular"/>
          <w:color w:val="000000"/>
          <w:lang w:val="en-US"/>
        </w:rPr>
        <w:t>kelompok</w:t>
      </w:r>
      <w:proofErr w:type="spellEnd"/>
      <w:r>
        <w:rPr>
          <w:rFonts w:eastAsia="MinionPro-Regular"/>
          <w:color w:val="000000"/>
          <w:lang w:val="en-US"/>
        </w:rPr>
        <w:t xml:space="preserve"> dexmedetomidine. Selain itu, </w:t>
      </w:r>
      <w:proofErr w:type="spellStart"/>
      <w:r>
        <w:rPr>
          <w:rFonts w:eastAsia="MinionPro-Regular"/>
          <w:color w:val="000000"/>
          <w:lang w:val="en-US"/>
        </w:rPr>
        <w:t>penelitian</w:t>
      </w:r>
      <w:proofErr w:type="spellEnd"/>
      <w:r>
        <w:rPr>
          <w:rFonts w:eastAsia="MinionPro-Regular"/>
          <w:color w:val="000000"/>
          <w:lang w:val="en-US"/>
        </w:rPr>
        <w:t xml:space="preserve"> </w:t>
      </w:r>
      <w:proofErr w:type="spellStart"/>
      <w:r>
        <w:rPr>
          <w:rFonts w:eastAsia="MinionPro-Regular"/>
          <w:color w:val="000000"/>
          <w:lang w:val="en-US"/>
        </w:rPr>
        <w:t>terbaru</w:t>
      </w:r>
      <w:proofErr w:type="spellEnd"/>
      <w:r>
        <w:rPr>
          <w:rFonts w:eastAsia="MinionPro-Regular"/>
          <w:color w:val="000000"/>
          <w:lang w:val="en-US"/>
        </w:rPr>
        <w:t xml:space="preserve"> </w:t>
      </w:r>
      <w:proofErr w:type="spellStart"/>
      <w:r>
        <w:rPr>
          <w:rFonts w:eastAsia="MinionPro-Regular"/>
          <w:color w:val="000000"/>
          <w:lang w:val="en-US"/>
        </w:rPr>
        <w:t>menunjukkan</w:t>
      </w:r>
      <w:proofErr w:type="spellEnd"/>
      <w:r>
        <w:rPr>
          <w:rFonts w:eastAsia="MinionPro-Regular"/>
          <w:color w:val="000000"/>
          <w:lang w:val="en-US"/>
        </w:rPr>
        <w:t xml:space="preserve"> </w:t>
      </w:r>
      <w:proofErr w:type="spellStart"/>
      <w:r>
        <w:rPr>
          <w:rFonts w:eastAsia="MinionPro-Regular"/>
          <w:color w:val="000000"/>
          <w:lang w:val="en-US"/>
        </w:rPr>
        <w:t>bahwa</w:t>
      </w:r>
      <w:proofErr w:type="spellEnd"/>
      <w:r>
        <w:rPr>
          <w:rFonts w:eastAsia="MinionPro-Regular"/>
          <w:color w:val="000000"/>
          <w:lang w:val="en-US"/>
        </w:rPr>
        <w:t xml:space="preserve"> dexmedetomidine </w:t>
      </w:r>
      <w:proofErr w:type="spellStart"/>
      <w:r>
        <w:rPr>
          <w:rFonts w:eastAsia="MinionPro-Regular"/>
          <w:color w:val="000000"/>
          <w:lang w:val="en-US"/>
        </w:rPr>
        <w:t>menurunkan</w:t>
      </w:r>
      <w:proofErr w:type="spellEnd"/>
      <w:r>
        <w:rPr>
          <w:rFonts w:eastAsia="MinionPro-Regular"/>
          <w:color w:val="000000"/>
          <w:lang w:val="en-US"/>
        </w:rPr>
        <w:t xml:space="preserve"> </w:t>
      </w:r>
      <w:proofErr w:type="spellStart"/>
      <w:r>
        <w:rPr>
          <w:rFonts w:eastAsia="MinionPro-Regular"/>
          <w:color w:val="000000"/>
          <w:lang w:val="en-US"/>
        </w:rPr>
        <w:t>durasi</w:t>
      </w:r>
      <w:proofErr w:type="spellEnd"/>
      <w:r>
        <w:rPr>
          <w:rFonts w:eastAsia="MinionPro-Regular"/>
          <w:color w:val="000000"/>
          <w:lang w:val="en-US"/>
        </w:rPr>
        <w:t xml:space="preserve"> </w:t>
      </w:r>
      <w:proofErr w:type="spellStart"/>
      <w:r>
        <w:rPr>
          <w:rFonts w:eastAsia="MinionPro-Regular"/>
          <w:color w:val="000000"/>
          <w:lang w:val="en-US"/>
        </w:rPr>
        <w:t>ventilasi</w:t>
      </w:r>
      <w:proofErr w:type="spellEnd"/>
      <w:r>
        <w:rPr>
          <w:rFonts w:eastAsia="MinionPro-Regular"/>
          <w:color w:val="000000"/>
          <w:lang w:val="en-US"/>
        </w:rPr>
        <w:t xml:space="preserve"> mekanis.</w:t>
      </w:r>
      <w:r>
        <w:rPr>
          <w:rFonts w:eastAsia="MinionPro-Regular"/>
          <w:color w:val="000000"/>
          <w:lang w:val="en-US"/>
        </w:rPr>
        <w:fldChar w:fldCharType="begin" w:fldLock="1"/>
      </w:r>
      <w:r>
        <w:rPr>
          <w:rFonts w:eastAsia="MinionPro-Regular"/>
          <w:color w:val="000000"/>
          <w:lang w:val="en-US"/>
        </w:rPr>
        <w:instrText>ADDIN CSL_CITATION {"citationItems":[{"id":"ITEM-1","itemData":{"DOI":"10.4097/kja.19259","ISBN":"0000000226752","ISSN":"20057563","PMID":"31220910","abstract":"Dexmedetomidine is a potent, highly selective α-2 adrenoceptor agonist, with sedative, analgesic, anxiolytic, sympatholytic, and opioid-sparing properties. Dexmedetomidine induces a unique sedative response, which shows an easy transition from sleep to wakefulness, thus allowing a patient to be cooperative and communicative when stimulated. Dexmedetomidine may produce less delirium than other sedatives or even prevent delirium. The analgesic effect of dexmedetomidine is not strong; however, it can be administered as a useful analgesic adjuvant. As an anesthetic adjuvant, dexmedetomidine decreases the need for opioids, inhalational anesthetics, and intravenous anesthetics. The sympatholytic effect of dexmedetomidine may provide stable hemodynamics during the perioperative period. Dexmedetomidine-induced cooperative sedation with minimal respiratory depression provides safe and acceptable conditions during neurosurgical procedures in awake patients and awake fiberoptic intubation. Despite the lack of pediatric labelling, dexmedetomidine has been widely studied for pediatric use in various applications. Most adverse events associated with dexmedetomidine occur during or shortly after a loading infusion. There are some case reports of dexmedetomidine-related cardiac arrest following severe bradycardia. Some extended applications of dexmedetomidine discussed in this review are promising, but still limited, and further research is required. The pharmacological properties and possible adverse effects of dexmedetomidine should be well understood by the anesthesiologist prior to use. Moreover, it is necessary to select patients carefully and to determine the appropriate dosage of dexmedetomidine to ensure patient safety.","author":[{"dropping-particle":"","family":"Lee","given":"Seongheon","non-dropping-particle":"","parse-names":false,"suffix":""}],"container-title":"Korean Journal of Anesthesiology","id":"ITEM-1","issue":"4","issued":{"date-parts":[["2019"]]},"page":"323-330","title":"Dexmedetomidine: Present and future directions","type":"article-journal","volume":"72"},"uris":["http://www.mendeley.com/documents/?uuid=531553d9-2cd6-4a8b-abbf-08231c80ca22"]}],"mendeley":{"formattedCitation":"&lt;sup&gt;9&lt;/sup&gt;","plainTextFormattedCitation":"9","previouslyFormattedCitation":"&lt;sup&gt;9&lt;/sup&gt;"},"properties":{"noteIndex":0},"schema":"https://github.com/citation-style-language/schema/raw/master/csl-citation.json"}</w:instrText>
      </w:r>
      <w:r>
        <w:rPr>
          <w:rFonts w:eastAsia="MinionPro-Regular"/>
          <w:color w:val="000000"/>
          <w:lang w:val="en-US"/>
        </w:rPr>
        <w:fldChar w:fldCharType="separate"/>
      </w:r>
      <w:r>
        <w:rPr>
          <w:rFonts w:eastAsia="MinionPro-Regular"/>
          <w:noProof/>
          <w:color w:val="000000"/>
          <w:vertAlign w:val="superscript"/>
          <w:lang w:val="en-US"/>
        </w:rPr>
        <w:t>9</w:t>
      </w:r>
      <w:r>
        <w:rPr>
          <w:rFonts w:eastAsia="MinionPro-Regular"/>
          <w:color w:val="000000"/>
          <w:lang w:val="en-US"/>
        </w:rPr>
        <w:fldChar w:fldCharType="end"/>
      </w:r>
    </w:p>
    <w:p w14:paraId="3147B68F" w14:textId="30426AD6" w:rsidR="003B79BC" w:rsidRDefault="00000000">
      <w:pPr>
        <w:spacing w:line="360" w:lineRule="auto"/>
        <w:ind w:firstLine="709"/>
        <w:jc w:val="both"/>
        <w:rPr>
          <w:rFonts w:eastAsia="MinionPro-Regular"/>
          <w:lang w:val="en-US"/>
        </w:rPr>
      </w:pPr>
      <w:proofErr w:type="spellStart"/>
      <w:r>
        <w:rPr>
          <w:rFonts w:eastAsia="MinionPro-Regular"/>
          <w:lang w:val="en-US"/>
        </w:rPr>
        <w:t>Sebagai</w:t>
      </w:r>
      <w:proofErr w:type="spellEnd"/>
      <w:r>
        <w:rPr>
          <w:rFonts w:eastAsia="MinionPro-Regular"/>
          <w:lang w:val="en-US"/>
        </w:rPr>
        <w:t xml:space="preserve"> adjuvant </w:t>
      </w:r>
      <w:proofErr w:type="spellStart"/>
      <w:r>
        <w:rPr>
          <w:rFonts w:eastAsia="MinionPro-Regular"/>
          <w:lang w:val="en-US"/>
        </w:rPr>
        <w:t>anestesi</w:t>
      </w:r>
      <w:proofErr w:type="spellEnd"/>
      <w:r>
        <w:rPr>
          <w:rFonts w:eastAsia="MinionPro-Regular"/>
          <w:lang w:val="en-US"/>
        </w:rPr>
        <w:t xml:space="preserve">, dexmedetomidine </w:t>
      </w:r>
      <w:proofErr w:type="spellStart"/>
      <w:r>
        <w:rPr>
          <w:rFonts w:eastAsia="MinionPro-Regular"/>
          <w:lang w:val="en-US"/>
        </w:rPr>
        <w:t>mengurangi</w:t>
      </w:r>
      <w:proofErr w:type="spellEnd"/>
      <w:r>
        <w:rPr>
          <w:rFonts w:eastAsia="MinionPro-Regular"/>
          <w:lang w:val="en-US"/>
        </w:rPr>
        <w:t xml:space="preserve"> </w:t>
      </w:r>
      <w:proofErr w:type="spellStart"/>
      <w:r>
        <w:rPr>
          <w:rFonts w:eastAsia="MinionPro-Regular"/>
          <w:lang w:val="en-US"/>
        </w:rPr>
        <w:t>kebutuhan</w:t>
      </w:r>
      <w:proofErr w:type="spellEnd"/>
      <w:r>
        <w:rPr>
          <w:rFonts w:eastAsia="MinionPro-Regular"/>
          <w:lang w:val="en-US"/>
        </w:rPr>
        <w:t xml:space="preserve"> </w:t>
      </w:r>
      <w:proofErr w:type="spellStart"/>
      <w:r>
        <w:rPr>
          <w:rFonts w:eastAsia="MinionPro-Regular"/>
          <w:lang w:val="en-US"/>
        </w:rPr>
        <w:t>akan</w:t>
      </w:r>
      <w:proofErr w:type="spellEnd"/>
      <w:r>
        <w:rPr>
          <w:rFonts w:eastAsia="MinionPro-Regular"/>
          <w:lang w:val="en-US"/>
        </w:rPr>
        <w:t xml:space="preserve"> opioid, </w:t>
      </w:r>
      <w:proofErr w:type="spellStart"/>
      <w:r>
        <w:rPr>
          <w:rFonts w:eastAsia="MinionPro-Regular"/>
          <w:lang w:val="en-US"/>
        </w:rPr>
        <w:t>anestesi</w:t>
      </w:r>
      <w:proofErr w:type="spellEnd"/>
      <w:r>
        <w:rPr>
          <w:rFonts w:eastAsia="MinionPro-Regular"/>
          <w:lang w:val="en-US"/>
        </w:rPr>
        <w:t xml:space="preserve"> </w:t>
      </w:r>
      <w:proofErr w:type="spellStart"/>
      <w:r>
        <w:rPr>
          <w:rFonts w:eastAsia="MinionPro-Regular"/>
          <w:lang w:val="en-US"/>
        </w:rPr>
        <w:t>inhalasi</w:t>
      </w:r>
      <w:proofErr w:type="spellEnd"/>
      <w:r>
        <w:rPr>
          <w:rFonts w:eastAsia="MinionPro-Regular"/>
          <w:lang w:val="en-US"/>
        </w:rPr>
        <w:t xml:space="preserve">, dan </w:t>
      </w:r>
      <w:proofErr w:type="spellStart"/>
      <w:r>
        <w:rPr>
          <w:rFonts w:eastAsia="MinionPro-Regular"/>
          <w:lang w:val="en-US"/>
        </w:rPr>
        <w:t>anestesi</w:t>
      </w:r>
      <w:proofErr w:type="spellEnd"/>
      <w:r>
        <w:rPr>
          <w:rFonts w:eastAsia="MinionPro-Regular"/>
          <w:lang w:val="en-US"/>
        </w:rPr>
        <w:t xml:space="preserve"> </w:t>
      </w:r>
      <w:proofErr w:type="spellStart"/>
      <w:r>
        <w:rPr>
          <w:rFonts w:eastAsia="MinionPro-Regular"/>
          <w:lang w:val="en-US"/>
        </w:rPr>
        <w:t>intravena</w:t>
      </w:r>
      <w:proofErr w:type="spellEnd"/>
      <w:r>
        <w:rPr>
          <w:rFonts w:eastAsia="MinionPro-Regular"/>
          <w:lang w:val="en-US"/>
        </w:rPr>
        <w:t xml:space="preserve">. </w:t>
      </w:r>
      <w:proofErr w:type="spellStart"/>
      <w:r>
        <w:rPr>
          <w:rFonts w:eastAsia="MinionPro-Regular"/>
          <w:lang w:val="en-US"/>
        </w:rPr>
        <w:t>Efek</w:t>
      </w:r>
      <w:proofErr w:type="spellEnd"/>
      <w:r>
        <w:rPr>
          <w:rFonts w:eastAsia="MinionPro-Regular"/>
          <w:lang w:val="en-US"/>
        </w:rPr>
        <w:t xml:space="preserve"> </w:t>
      </w:r>
      <w:proofErr w:type="spellStart"/>
      <w:r>
        <w:rPr>
          <w:rFonts w:eastAsia="MinionPro-Regular"/>
          <w:lang w:val="en-US"/>
        </w:rPr>
        <w:t>simpatolitik</w:t>
      </w:r>
      <w:proofErr w:type="spellEnd"/>
      <w:r>
        <w:rPr>
          <w:rFonts w:eastAsia="MinionPro-Regular"/>
          <w:lang w:val="en-US"/>
        </w:rPr>
        <w:t xml:space="preserve"> dexmedetomidine dapat </w:t>
      </w:r>
      <w:proofErr w:type="spellStart"/>
      <w:r>
        <w:rPr>
          <w:rFonts w:eastAsia="MinionPro-Regular"/>
          <w:lang w:val="en-US"/>
        </w:rPr>
        <w:t>memberikan</w:t>
      </w:r>
      <w:proofErr w:type="spellEnd"/>
      <w:r>
        <w:rPr>
          <w:rFonts w:eastAsia="MinionPro-Regular"/>
          <w:lang w:val="en-US"/>
        </w:rPr>
        <w:t xml:space="preserve"> </w:t>
      </w:r>
      <w:proofErr w:type="spellStart"/>
      <w:r>
        <w:rPr>
          <w:rFonts w:eastAsia="MinionPro-Regular"/>
          <w:lang w:val="en-US"/>
        </w:rPr>
        <w:t>hemodinamik</w:t>
      </w:r>
      <w:proofErr w:type="spellEnd"/>
      <w:r>
        <w:rPr>
          <w:rFonts w:eastAsia="MinionPro-Regular"/>
          <w:lang w:val="en-US"/>
        </w:rPr>
        <w:t xml:space="preserve"> yang </w:t>
      </w:r>
      <w:proofErr w:type="spellStart"/>
      <w:r>
        <w:rPr>
          <w:rFonts w:eastAsia="MinionPro-Regular"/>
          <w:lang w:val="en-US"/>
        </w:rPr>
        <w:t>stabil</w:t>
      </w:r>
      <w:proofErr w:type="spellEnd"/>
      <w:r>
        <w:rPr>
          <w:rFonts w:eastAsia="MinionPro-Regular"/>
          <w:lang w:val="en-US"/>
        </w:rPr>
        <w:t xml:space="preserve"> selama </w:t>
      </w:r>
      <w:proofErr w:type="spellStart"/>
      <w:r>
        <w:rPr>
          <w:rFonts w:eastAsia="MinionPro-Regular"/>
          <w:lang w:val="en-US"/>
        </w:rPr>
        <w:t>periode</w:t>
      </w:r>
      <w:proofErr w:type="spellEnd"/>
      <w:r>
        <w:rPr>
          <w:rFonts w:eastAsia="MinionPro-Regular"/>
          <w:lang w:val="en-US"/>
        </w:rPr>
        <w:t xml:space="preserve"> </w:t>
      </w:r>
      <w:proofErr w:type="spellStart"/>
      <w:r>
        <w:rPr>
          <w:rFonts w:eastAsia="MinionPro-Regular"/>
          <w:lang w:val="en-US"/>
        </w:rPr>
        <w:t>perioperatif</w:t>
      </w:r>
      <w:proofErr w:type="spellEnd"/>
      <w:r>
        <w:rPr>
          <w:rFonts w:eastAsia="MinionPro-Regular"/>
          <w:lang w:val="en-US"/>
        </w:rPr>
        <w:t xml:space="preserve">. </w:t>
      </w:r>
      <w:proofErr w:type="spellStart"/>
      <w:r>
        <w:rPr>
          <w:rFonts w:eastAsia="MinionPro-Regular"/>
          <w:lang w:val="en-US"/>
        </w:rPr>
        <w:t>Sedasi</w:t>
      </w:r>
      <w:proofErr w:type="spellEnd"/>
      <w:r>
        <w:rPr>
          <w:rFonts w:eastAsia="MinionPro-Regular"/>
          <w:lang w:val="en-US"/>
        </w:rPr>
        <w:t xml:space="preserve"> </w:t>
      </w:r>
      <w:proofErr w:type="spellStart"/>
      <w:r>
        <w:rPr>
          <w:rFonts w:eastAsia="MinionPro-Regular"/>
          <w:lang w:val="en-US"/>
        </w:rPr>
        <w:t>kooperatif</w:t>
      </w:r>
      <w:proofErr w:type="spellEnd"/>
      <w:r>
        <w:rPr>
          <w:rFonts w:eastAsia="MinionPro-Regular"/>
          <w:lang w:val="en-US"/>
        </w:rPr>
        <w:t xml:space="preserve"> yang </w:t>
      </w:r>
      <w:proofErr w:type="spellStart"/>
      <w:r>
        <w:rPr>
          <w:rFonts w:eastAsia="MinionPro-Regular"/>
          <w:lang w:val="en-US"/>
        </w:rPr>
        <w:t>diinduksi</w:t>
      </w:r>
      <w:proofErr w:type="spellEnd"/>
      <w:r>
        <w:rPr>
          <w:rFonts w:eastAsia="MinionPro-Regular"/>
          <w:lang w:val="en-US"/>
        </w:rPr>
        <w:t xml:space="preserve"> dexmedetomidine dengan </w:t>
      </w:r>
      <w:proofErr w:type="spellStart"/>
      <w:r>
        <w:rPr>
          <w:rFonts w:eastAsia="MinionPro-Regular"/>
          <w:lang w:val="en-US"/>
        </w:rPr>
        <w:t>depresi</w:t>
      </w:r>
      <w:proofErr w:type="spellEnd"/>
      <w:r>
        <w:rPr>
          <w:rFonts w:eastAsia="MinionPro-Regular"/>
          <w:lang w:val="en-US"/>
        </w:rPr>
        <w:t xml:space="preserve"> </w:t>
      </w:r>
      <w:proofErr w:type="spellStart"/>
      <w:r>
        <w:rPr>
          <w:rFonts w:eastAsia="MinionPro-Regular"/>
          <w:lang w:val="en-US"/>
        </w:rPr>
        <w:t>pernapasan</w:t>
      </w:r>
      <w:proofErr w:type="spellEnd"/>
      <w:r>
        <w:rPr>
          <w:rFonts w:eastAsia="MinionPro-Regular"/>
          <w:lang w:val="en-US"/>
        </w:rPr>
        <w:t xml:space="preserve"> minimal </w:t>
      </w:r>
      <w:proofErr w:type="spellStart"/>
      <w:r>
        <w:rPr>
          <w:rFonts w:eastAsia="MinionPro-Regular"/>
          <w:lang w:val="en-US"/>
        </w:rPr>
        <w:t>memberikan</w:t>
      </w:r>
      <w:proofErr w:type="spellEnd"/>
      <w:r>
        <w:rPr>
          <w:rFonts w:eastAsia="MinionPro-Regular"/>
          <w:lang w:val="en-US"/>
        </w:rPr>
        <w:t xml:space="preserve"> </w:t>
      </w:r>
      <w:proofErr w:type="spellStart"/>
      <w:r>
        <w:rPr>
          <w:rFonts w:eastAsia="MinionPro-Regular"/>
          <w:lang w:val="en-US"/>
        </w:rPr>
        <w:t>kondisi</w:t>
      </w:r>
      <w:proofErr w:type="spellEnd"/>
      <w:r>
        <w:rPr>
          <w:rFonts w:eastAsia="MinionPro-Regular"/>
          <w:lang w:val="en-US"/>
        </w:rPr>
        <w:t xml:space="preserve"> yang </w:t>
      </w:r>
      <w:proofErr w:type="spellStart"/>
      <w:r>
        <w:rPr>
          <w:rFonts w:eastAsia="MinionPro-Regular"/>
          <w:lang w:val="en-US"/>
        </w:rPr>
        <w:t>aman</w:t>
      </w:r>
      <w:proofErr w:type="spellEnd"/>
      <w:r>
        <w:rPr>
          <w:rFonts w:eastAsia="MinionPro-Regular"/>
          <w:lang w:val="en-US"/>
        </w:rPr>
        <w:t xml:space="preserve"> dan dapat </w:t>
      </w:r>
      <w:proofErr w:type="spellStart"/>
      <w:r>
        <w:rPr>
          <w:rFonts w:eastAsia="MinionPro-Regular"/>
          <w:lang w:val="en-US"/>
        </w:rPr>
        <w:t>diterima</w:t>
      </w:r>
      <w:proofErr w:type="spellEnd"/>
      <w:r>
        <w:rPr>
          <w:rFonts w:eastAsia="MinionPro-Regular"/>
          <w:lang w:val="en-US"/>
        </w:rPr>
        <w:t xml:space="preserve"> selama </w:t>
      </w:r>
      <w:proofErr w:type="spellStart"/>
      <w:r>
        <w:rPr>
          <w:rFonts w:eastAsia="MinionPro-Regular"/>
          <w:lang w:val="en-US"/>
        </w:rPr>
        <w:t>prosedur</w:t>
      </w:r>
      <w:proofErr w:type="spellEnd"/>
      <w:r>
        <w:rPr>
          <w:rFonts w:eastAsia="MinionPro-Regular"/>
          <w:lang w:val="en-US"/>
        </w:rPr>
        <w:t xml:space="preserve"> </w:t>
      </w:r>
      <w:proofErr w:type="spellStart"/>
      <w:r>
        <w:rPr>
          <w:rFonts w:eastAsia="MinionPro-Regular"/>
          <w:lang w:val="en-US"/>
        </w:rPr>
        <w:t>bedah</w:t>
      </w:r>
      <w:proofErr w:type="spellEnd"/>
      <w:r>
        <w:rPr>
          <w:rFonts w:eastAsia="MinionPro-Regular"/>
          <w:lang w:val="en-US"/>
        </w:rPr>
        <w:t xml:space="preserve"> </w:t>
      </w:r>
      <w:proofErr w:type="spellStart"/>
      <w:r>
        <w:rPr>
          <w:rFonts w:eastAsia="MinionPro-Regular"/>
          <w:lang w:val="en-US"/>
        </w:rPr>
        <w:t>saraf</w:t>
      </w:r>
      <w:proofErr w:type="spellEnd"/>
      <w:r>
        <w:rPr>
          <w:rFonts w:eastAsia="MinionPro-Regular"/>
          <w:lang w:val="en-US"/>
        </w:rPr>
        <w:t xml:space="preserve"> pada pasien yang </w:t>
      </w:r>
      <w:proofErr w:type="spellStart"/>
      <w:r>
        <w:rPr>
          <w:rFonts w:eastAsia="MinionPro-Regular"/>
          <w:lang w:val="en-US"/>
        </w:rPr>
        <w:t>terjaga</w:t>
      </w:r>
      <w:proofErr w:type="spellEnd"/>
      <w:r>
        <w:rPr>
          <w:rFonts w:eastAsia="MinionPro-Regular"/>
          <w:lang w:val="en-US"/>
        </w:rPr>
        <w:t xml:space="preserve"> dan intubasi </w:t>
      </w:r>
      <w:proofErr w:type="spellStart"/>
      <w:r>
        <w:rPr>
          <w:rFonts w:eastAsia="MinionPro-Regular"/>
          <w:lang w:val="en-US"/>
        </w:rPr>
        <w:t>fiberoptik</w:t>
      </w:r>
      <w:proofErr w:type="spellEnd"/>
      <w:r>
        <w:rPr>
          <w:rFonts w:eastAsia="MinionPro-Regular"/>
          <w:lang w:val="en-US"/>
        </w:rPr>
        <w:t xml:space="preserve"> yang </w:t>
      </w:r>
      <w:proofErr w:type="spellStart"/>
      <w:r>
        <w:rPr>
          <w:rFonts w:eastAsia="MinionPro-Regular"/>
          <w:lang w:val="en-US"/>
        </w:rPr>
        <w:t>terjaga</w:t>
      </w:r>
      <w:proofErr w:type="spellEnd"/>
      <w:r>
        <w:rPr>
          <w:rFonts w:eastAsia="MinionPro-Regular"/>
          <w:lang w:val="en-US"/>
        </w:rPr>
        <w:t xml:space="preserve">. </w:t>
      </w:r>
      <w:proofErr w:type="spellStart"/>
      <w:r>
        <w:rPr>
          <w:rFonts w:eastAsia="MinionPro-Regular"/>
          <w:lang w:val="en-US"/>
        </w:rPr>
        <w:t>Meskipun</w:t>
      </w:r>
      <w:proofErr w:type="spellEnd"/>
      <w:r>
        <w:rPr>
          <w:rFonts w:eastAsia="MinionPro-Regular"/>
          <w:lang w:val="en-US"/>
        </w:rPr>
        <w:t xml:space="preserve"> </w:t>
      </w:r>
      <w:proofErr w:type="spellStart"/>
      <w:r>
        <w:rPr>
          <w:rFonts w:eastAsia="MinionPro-Regular"/>
          <w:lang w:val="en-US"/>
        </w:rPr>
        <w:t>kurangnya</w:t>
      </w:r>
      <w:proofErr w:type="spellEnd"/>
      <w:r>
        <w:rPr>
          <w:rFonts w:eastAsia="MinionPro-Regular"/>
          <w:lang w:val="en-US"/>
        </w:rPr>
        <w:t xml:space="preserve"> </w:t>
      </w:r>
      <w:proofErr w:type="spellStart"/>
      <w:r>
        <w:rPr>
          <w:rFonts w:eastAsia="MinionPro-Regular"/>
          <w:lang w:val="en-US"/>
        </w:rPr>
        <w:t>pelabelan</w:t>
      </w:r>
      <w:proofErr w:type="spellEnd"/>
      <w:r>
        <w:rPr>
          <w:rFonts w:eastAsia="MinionPro-Regular"/>
          <w:lang w:val="en-US"/>
        </w:rPr>
        <w:t xml:space="preserve"> </w:t>
      </w:r>
      <w:proofErr w:type="spellStart"/>
      <w:r>
        <w:rPr>
          <w:rFonts w:eastAsia="MinionPro-Regular"/>
          <w:lang w:val="en-US"/>
        </w:rPr>
        <w:t>pediatrik</w:t>
      </w:r>
      <w:proofErr w:type="spellEnd"/>
      <w:r>
        <w:rPr>
          <w:rFonts w:eastAsia="MinionPro-Regular"/>
          <w:lang w:val="en-US"/>
        </w:rPr>
        <w:t xml:space="preserve">, dexmedetomidine </w:t>
      </w:r>
      <w:proofErr w:type="spellStart"/>
      <w:r>
        <w:rPr>
          <w:rFonts w:eastAsia="MinionPro-Regular"/>
          <w:lang w:val="en-US"/>
        </w:rPr>
        <w:t>telah</w:t>
      </w:r>
      <w:proofErr w:type="spellEnd"/>
      <w:r>
        <w:rPr>
          <w:rFonts w:eastAsia="MinionPro-Regular"/>
          <w:lang w:val="en-US"/>
        </w:rPr>
        <w:t xml:space="preserve"> </w:t>
      </w:r>
      <w:proofErr w:type="spellStart"/>
      <w:r>
        <w:rPr>
          <w:rFonts w:eastAsia="MinionPro-Regular"/>
          <w:lang w:val="en-US"/>
        </w:rPr>
        <w:t>dipelajari</w:t>
      </w:r>
      <w:proofErr w:type="spellEnd"/>
      <w:r>
        <w:rPr>
          <w:rFonts w:eastAsia="MinionPro-Regular"/>
          <w:lang w:val="en-US"/>
        </w:rPr>
        <w:t xml:space="preserve"> </w:t>
      </w:r>
      <w:proofErr w:type="spellStart"/>
      <w:r>
        <w:rPr>
          <w:rFonts w:eastAsia="MinionPro-Regular"/>
          <w:lang w:val="en-US"/>
        </w:rPr>
        <w:t>secara</w:t>
      </w:r>
      <w:proofErr w:type="spellEnd"/>
      <w:r>
        <w:rPr>
          <w:rFonts w:eastAsia="MinionPro-Regular"/>
          <w:lang w:val="en-US"/>
        </w:rPr>
        <w:t xml:space="preserve"> </w:t>
      </w:r>
      <w:proofErr w:type="spellStart"/>
      <w:r>
        <w:rPr>
          <w:rFonts w:eastAsia="MinionPro-Regular"/>
          <w:lang w:val="en-US"/>
        </w:rPr>
        <w:t>luas</w:t>
      </w:r>
      <w:proofErr w:type="spellEnd"/>
      <w:r>
        <w:rPr>
          <w:rFonts w:eastAsia="MinionPro-Regular"/>
          <w:lang w:val="en-US"/>
        </w:rPr>
        <w:t xml:space="preserve"> untuk </w:t>
      </w:r>
      <w:proofErr w:type="spellStart"/>
      <w:r>
        <w:rPr>
          <w:rFonts w:eastAsia="MinionPro-Regular"/>
          <w:lang w:val="en-US"/>
        </w:rPr>
        <w:t>penggunaan</w:t>
      </w:r>
      <w:proofErr w:type="spellEnd"/>
      <w:r>
        <w:rPr>
          <w:rFonts w:eastAsia="MinionPro-Regular"/>
          <w:lang w:val="en-US"/>
        </w:rPr>
        <w:t xml:space="preserve"> dalam </w:t>
      </w:r>
      <w:proofErr w:type="spellStart"/>
      <w:r>
        <w:rPr>
          <w:rFonts w:eastAsia="MinionPro-Regular"/>
          <w:lang w:val="en-US"/>
        </w:rPr>
        <w:t>berbagai</w:t>
      </w:r>
      <w:proofErr w:type="spellEnd"/>
      <w:r>
        <w:rPr>
          <w:rFonts w:eastAsia="MinionPro-Regular"/>
          <w:lang w:val="en-US"/>
        </w:rPr>
        <w:t xml:space="preserve"> </w:t>
      </w:r>
      <w:proofErr w:type="spellStart"/>
      <w:r>
        <w:rPr>
          <w:rFonts w:eastAsia="MinionPro-Regular"/>
          <w:lang w:val="en-US"/>
        </w:rPr>
        <w:t>aplikasi</w:t>
      </w:r>
      <w:proofErr w:type="spellEnd"/>
      <w:r>
        <w:rPr>
          <w:rFonts w:eastAsia="MinionPro-Regular"/>
          <w:lang w:val="en-US"/>
        </w:rPr>
        <w:t xml:space="preserve">. Sebagian </w:t>
      </w:r>
      <w:proofErr w:type="spellStart"/>
      <w:r>
        <w:rPr>
          <w:rFonts w:eastAsia="MinionPro-Regular"/>
          <w:lang w:val="en-US"/>
        </w:rPr>
        <w:t>besar</w:t>
      </w:r>
      <w:proofErr w:type="spellEnd"/>
      <w:r>
        <w:rPr>
          <w:rFonts w:eastAsia="MinionPro-Regular"/>
          <w:lang w:val="en-US"/>
        </w:rPr>
        <w:t xml:space="preserve"> </w:t>
      </w:r>
      <w:proofErr w:type="spellStart"/>
      <w:r>
        <w:rPr>
          <w:rFonts w:eastAsia="MinionPro-Regular"/>
          <w:lang w:val="en-US"/>
        </w:rPr>
        <w:t>efek</w:t>
      </w:r>
      <w:proofErr w:type="spellEnd"/>
      <w:r>
        <w:rPr>
          <w:rFonts w:eastAsia="MinionPro-Regular"/>
          <w:lang w:val="en-US"/>
        </w:rPr>
        <w:t xml:space="preserve"> </w:t>
      </w:r>
      <w:proofErr w:type="spellStart"/>
      <w:r>
        <w:rPr>
          <w:rFonts w:eastAsia="MinionPro-Regular"/>
          <w:lang w:val="en-US"/>
        </w:rPr>
        <w:t>samping</w:t>
      </w:r>
      <w:proofErr w:type="spellEnd"/>
      <w:r>
        <w:rPr>
          <w:rFonts w:eastAsia="MinionPro-Regular"/>
          <w:lang w:val="en-US"/>
        </w:rPr>
        <w:t xml:space="preserve"> yang </w:t>
      </w:r>
      <w:proofErr w:type="spellStart"/>
      <w:r>
        <w:rPr>
          <w:rFonts w:eastAsia="MinionPro-Regular"/>
          <w:lang w:val="en-US"/>
        </w:rPr>
        <w:t>terkait</w:t>
      </w:r>
      <w:proofErr w:type="spellEnd"/>
      <w:r>
        <w:rPr>
          <w:rFonts w:eastAsia="MinionPro-Regular"/>
          <w:lang w:val="en-US"/>
        </w:rPr>
        <w:t xml:space="preserve"> dengan dexmedetomidine </w:t>
      </w:r>
      <w:proofErr w:type="spellStart"/>
      <w:r>
        <w:rPr>
          <w:rFonts w:eastAsia="MinionPro-Regular"/>
          <w:lang w:val="en-US"/>
        </w:rPr>
        <w:t>terjadi</w:t>
      </w:r>
      <w:proofErr w:type="spellEnd"/>
      <w:r>
        <w:rPr>
          <w:rFonts w:eastAsia="MinionPro-Regular"/>
          <w:lang w:val="en-US"/>
        </w:rPr>
        <w:t xml:space="preserve"> selama atau </w:t>
      </w:r>
      <w:proofErr w:type="spellStart"/>
      <w:r>
        <w:rPr>
          <w:rFonts w:eastAsia="MinionPro-Regular"/>
          <w:lang w:val="en-US"/>
        </w:rPr>
        <w:t>segera</w:t>
      </w:r>
      <w:proofErr w:type="spellEnd"/>
      <w:r>
        <w:rPr>
          <w:rFonts w:eastAsia="MinionPro-Regular"/>
          <w:lang w:val="en-US"/>
        </w:rPr>
        <w:t xml:space="preserve"> </w:t>
      </w:r>
      <w:proofErr w:type="spellStart"/>
      <w:r>
        <w:rPr>
          <w:rFonts w:eastAsia="MinionPro-Regular"/>
          <w:lang w:val="en-US"/>
        </w:rPr>
        <w:t>setelah</w:t>
      </w:r>
      <w:proofErr w:type="spellEnd"/>
      <w:r>
        <w:rPr>
          <w:rFonts w:eastAsia="MinionPro-Regular"/>
          <w:lang w:val="en-US"/>
        </w:rPr>
        <w:t xml:space="preserve"> </w:t>
      </w:r>
      <w:r>
        <w:rPr>
          <w:rFonts w:eastAsia="MinionPro-Regular"/>
          <w:lang w:val="id-ID"/>
        </w:rPr>
        <w:t>loading</w:t>
      </w:r>
      <w:r>
        <w:rPr>
          <w:rFonts w:eastAsia="MinionPro-Regular"/>
          <w:lang w:val="en-US"/>
        </w:rPr>
        <w:t xml:space="preserve"> infus.</w:t>
      </w:r>
      <w:r>
        <w:rPr>
          <w:rFonts w:eastAsia="MinionPro-Regular"/>
          <w:lang w:val="en-US"/>
        </w:rPr>
        <w:fldChar w:fldCharType="begin" w:fldLock="1"/>
      </w:r>
      <w:r>
        <w:rPr>
          <w:rFonts w:eastAsia="MinionPro-Regular"/>
          <w:lang w:val="en-US"/>
        </w:rPr>
        <w:instrText>ADDIN CSL_CITATION {"citationItems":[{"id":"ITEM-1","itemData":{"DOI":"10.4097/kja.19259","ISBN":"0000000226752","ISSN":"20057563","PMID":"31220910","abstract":"Dexmedetomidine is a potent, highly selective α-2 adrenoceptor agonist, with sedative, analgesic, anxiolytic, sympatholytic, and opioid-sparing properties. Dexmedetomidine induces a unique sedative response, which shows an easy transition from sleep to wakefulness, thus allowing a patient to be cooperative and communicative when stimulated. Dexmedetomidine may produce less delirium than other sedatives or even prevent delirium. The analgesic effect of dexmedetomidine is not strong; however, it can be administered as a useful analgesic adjuvant. As an anesthetic adjuvant, dexmedetomidine decreases the need for opioids, inhalational anesthetics, and intravenous anesthetics. The sympatholytic effect of dexmedetomidine may provide stable hemodynamics during the perioperative period. Dexmedetomidine-induced cooperative sedation with minimal respiratory depression provides safe and acceptable conditions during neurosurgical procedures in awake patients and awake fiberoptic intubation. Despite the lack of pediatric labelling, dexmedetomidine has been widely studied for pediatric use in various applications. Most adverse events associated with dexmedetomidine occur during or shortly after a loading infusion. There are some case reports of dexmedetomidine-related cardiac arrest following severe bradycardia. Some extended applications of dexmedetomidine discussed in this review are promising, but still limited, and further research is required. The pharmacological properties and possible adverse effects of dexmedetomidine should be well understood by the anesthesiologist prior to use. Moreover, it is necessary to select patients carefully and to determine the appropriate dosage of dexmedetomidine to ensure patient safety.","author":[{"dropping-particle":"","family":"Lee","given":"Seongheon","non-dropping-particle":"","parse-names":false,"suffix":""}],"container-title":"Korean Journal of Anesthesiology","id":"ITEM-1","issue":"4","issued":{"date-parts":[["2019"]]},"page":"323-330","title":"Dexmedetomidine: Present and future directions","type":"article-journal","volume":"72"},"uris":["http://www.mendeley.com/documents/?uuid=531553d9-2cd6-4a8b-abbf-08231c80ca22"]}],"mendeley":{"formattedCitation":"&lt;sup&gt;9&lt;/sup&gt;","plainTextFormattedCitation":"9","previouslyFormattedCitation":"&lt;sup&gt;9&lt;/sup&gt;"},"properties":{"noteIndex":0},"schema":"https://github.com/citation-style-language/schema/raw/master/csl-citation.json"}</w:instrText>
      </w:r>
      <w:r>
        <w:rPr>
          <w:rFonts w:eastAsia="MinionPro-Regular"/>
          <w:lang w:val="en-US"/>
        </w:rPr>
        <w:fldChar w:fldCharType="separate"/>
      </w:r>
      <w:r>
        <w:rPr>
          <w:rFonts w:eastAsia="MinionPro-Regular"/>
          <w:noProof/>
          <w:vertAlign w:val="superscript"/>
          <w:lang w:val="en-US"/>
        </w:rPr>
        <w:t>9</w:t>
      </w:r>
      <w:r>
        <w:rPr>
          <w:rFonts w:eastAsia="MinionPro-Regular"/>
          <w:lang w:val="en-US"/>
        </w:rPr>
        <w:fldChar w:fldCharType="end"/>
      </w:r>
    </w:p>
    <w:p w14:paraId="2733590D" w14:textId="77777777" w:rsidR="003B79BC" w:rsidRPr="00F426C1" w:rsidRDefault="00000000">
      <w:pPr>
        <w:spacing w:line="360" w:lineRule="auto"/>
        <w:ind w:firstLine="709"/>
        <w:jc w:val="both"/>
        <w:rPr>
          <w:rFonts w:eastAsia="MinionPro-Regular"/>
          <w:color w:val="000000"/>
          <w:lang w:val="id-ID"/>
        </w:rPr>
      </w:pPr>
      <w:r w:rsidRPr="00374F09">
        <w:rPr>
          <w:rFonts w:eastAsia="MinionPro-Regular"/>
          <w:color w:val="000000"/>
          <w:lang w:val="en-US"/>
        </w:rPr>
        <w:t xml:space="preserve">Sifat </w:t>
      </w:r>
      <w:proofErr w:type="spellStart"/>
      <w:r w:rsidRPr="00374F09">
        <w:rPr>
          <w:rFonts w:eastAsia="MinionPro-Regular"/>
          <w:color w:val="000000"/>
          <w:lang w:val="en-US"/>
        </w:rPr>
        <w:t>analgesik</w:t>
      </w:r>
      <w:proofErr w:type="spellEnd"/>
      <w:r w:rsidRPr="00374F09">
        <w:rPr>
          <w:rFonts w:eastAsia="MinionPro-Regular"/>
          <w:color w:val="000000"/>
          <w:lang w:val="en-US"/>
        </w:rPr>
        <w:t xml:space="preserve"> dexmedetomidine </w:t>
      </w:r>
      <w:proofErr w:type="spellStart"/>
      <w:r w:rsidRPr="00374F09">
        <w:rPr>
          <w:rFonts w:eastAsia="MinionPro-Regular"/>
          <w:color w:val="000000"/>
          <w:lang w:val="en-US"/>
        </w:rPr>
        <w:t>dimediasi</w:t>
      </w:r>
      <w:proofErr w:type="spellEnd"/>
      <w:r w:rsidRPr="00374F09">
        <w:rPr>
          <w:rFonts w:eastAsia="MinionPro-Regular"/>
          <w:color w:val="000000"/>
          <w:lang w:val="en-US"/>
        </w:rPr>
        <w:t xml:space="preserve"> oleh </w:t>
      </w:r>
      <w:proofErr w:type="spellStart"/>
      <w:r w:rsidRPr="00374F09">
        <w:rPr>
          <w:rFonts w:eastAsia="MinionPro-Regular"/>
          <w:color w:val="000000"/>
          <w:lang w:val="en-US"/>
        </w:rPr>
        <w:t>beberapa</w:t>
      </w:r>
      <w:proofErr w:type="spellEnd"/>
      <w:r w:rsidRPr="00374F09">
        <w:rPr>
          <w:rFonts w:eastAsia="MinionPro-Regular"/>
          <w:color w:val="000000"/>
          <w:lang w:val="en-US"/>
        </w:rPr>
        <w:t xml:space="preserve"> </w:t>
      </w:r>
      <w:proofErr w:type="spellStart"/>
      <w:r w:rsidRPr="00374F09">
        <w:rPr>
          <w:rFonts w:eastAsia="MinionPro-Regular"/>
          <w:color w:val="000000"/>
          <w:lang w:val="en-US"/>
        </w:rPr>
        <w:t>mekanisme</w:t>
      </w:r>
      <w:proofErr w:type="spellEnd"/>
      <w:r w:rsidRPr="00374F09">
        <w:rPr>
          <w:rFonts w:eastAsia="MinionPro-Regular"/>
          <w:color w:val="000000"/>
          <w:lang w:val="en-US"/>
        </w:rPr>
        <w:t xml:space="preserve">, </w:t>
      </w:r>
      <w:proofErr w:type="spellStart"/>
      <w:r w:rsidRPr="00374F09">
        <w:rPr>
          <w:rFonts w:eastAsia="MinionPro-Regular"/>
          <w:color w:val="000000"/>
          <w:lang w:val="en-US"/>
        </w:rPr>
        <w:t>termasuk</w:t>
      </w:r>
      <w:proofErr w:type="spellEnd"/>
      <w:r w:rsidRPr="00374F09">
        <w:rPr>
          <w:rFonts w:eastAsia="MinionPro-Regular"/>
          <w:color w:val="000000"/>
          <w:lang w:val="en-US"/>
        </w:rPr>
        <w:t xml:space="preserve"> </w:t>
      </w:r>
      <w:proofErr w:type="spellStart"/>
      <w:r w:rsidRPr="00374F09">
        <w:rPr>
          <w:rFonts w:eastAsia="MinionPro-Regular"/>
          <w:color w:val="000000"/>
          <w:lang w:val="en-US"/>
        </w:rPr>
        <w:t>aksi</w:t>
      </w:r>
      <w:proofErr w:type="spellEnd"/>
      <w:r w:rsidRPr="00374F09">
        <w:rPr>
          <w:rFonts w:eastAsia="MinionPro-Regular"/>
          <w:color w:val="000000"/>
          <w:lang w:val="en-US"/>
        </w:rPr>
        <w:t xml:space="preserve"> spinal, supraspinal, dan </w:t>
      </w:r>
      <w:proofErr w:type="spellStart"/>
      <w:r w:rsidRPr="00374F09">
        <w:rPr>
          <w:rFonts w:eastAsia="MinionPro-Regular"/>
          <w:color w:val="000000"/>
          <w:lang w:val="en-US"/>
        </w:rPr>
        <w:t>perifer</w:t>
      </w:r>
      <w:proofErr w:type="spellEnd"/>
      <w:r w:rsidRPr="00374F09">
        <w:rPr>
          <w:rFonts w:eastAsia="MinionPro-Regular"/>
          <w:color w:val="000000"/>
          <w:lang w:val="en-US"/>
        </w:rPr>
        <w:t xml:space="preserve">. </w:t>
      </w:r>
      <w:proofErr w:type="spellStart"/>
      <w:r w:rsidRPr="00374F09">
        <w:rPr>
          <w:rFonts w:eastAsia="MinionPro-Regular"/>
          <w:color w:val="000000"/>
          <w:lang w:val="en-US"/>
        </w:rPr>
        <w:t>Namun</w:t>
      </w:r>
      <w:proofErr w:type="spellEnd"/>
      <w:r w:rsidRPr="00374F09">
        <w:rPr>
          <w:rFonts w:eastAsia="MinionPro-Regular"/>
          <w:color w:val="000000"/>
          <w:lang w:val="en-US"/>
        </w:rPr>
        <w:t xml:space="preserve">, </w:t>
      </w:r>
      <w:proofErr w:type="spellStart"/>
      <w:r w:rsidRPr="00374F09">
        <w:rPr>
          <w:rFonts w:eastAsia="MinionPro-Regular"/>
          <w:color w:val="000000"/>
          <w:lang w:val="en-US"/>
        </w:rPr>
        <w:t>khasiat</w:t>
      </w:r>
      <w:proofErr w:type="spellEnd"/>
      <w:r w:rsidRPr="00374F09">
        <w:rPr>
          <w:rFonts w:eastAsia="MinionPro-Regular"/>
          <w:color w:val="000000"/>
          <w:lang w:val="en-US"/>
        </w:rPr>
        <w:t xml:space="preserve"> </w:t>
      </w:r>
      <w:proofErr w:type="spellStart"/>
      <w:r w:rsidRPr="00374F09">
        <w:rPr>
          <w:rFonts w:eastAsia="MinionPro-Regular"/>
          <w:color w:val="000000"/>
          <w:lang w:val="en-US"/>
        </w:rPr>
        <w:t>analgesik</w:t>
      </w:r>
      <w:proofErr w:type="spellEnd"/>
      <w:r w:rsidRPr="00374F09">
        <w:rPr>
          <w:rFonts w:eastAsia="MinionPro-Regular"/>
          <w:color w:val="000000"/>
          <w:lang w:val="en-US"/>
        </w:rPr>
        <w:t xml:space="preserve"> dexmedetomidine </w:t>
      </w:r>
      <w:proofErr w:type="spellStart"/>
      <w:r w:rsidRPr="00374F09">
        <w:rPr>
          <w:rFonts w:eastAsia="MinionPro-Regular"/>
          <w:color w:val="000000"/>
          <w:lang w:val="en-US"/>
        </w:rPr>
        <w:t>masih</w:t>
      </w:r>
      <w:proofErr w:type="spellEnd"/>
      <w:r w:rsidRPr="00374F09">
        <w:rPr>
          <w:rFonts w:eastAsia="MinionPro-Regular"/>
          <w:color w:val="000000"/>
          <w:lang w:val="en-US"/>
        </w:rPr>
        <w:t xml:space="preserve"> </w:t>
      </w:r>
      <w:proofErr w:type="spellStart"/>
      <w:r w:rsidRPr="00374F09">
        <w:rPr>
          <w:rFonts w:eastAsia="MinionPro-Regular"/>
          <w:color w:val="000000"/>
          <w:lang w:val="en-US"/>
        </w:rPr>
        <w:t>kontroversial</w:t>
      </w:r>
      <w:proofErr w:type="spellEnd"/>
      <w:r w:rsidRPr="00374F09">
        <w:rPr>
          <w:rFonts w:eastAsia="MinionPro-Regular"/>
          <w:color w:val="000000"/>
          <w:lang w:val="en-US"/>
        </w:rPr>
        <w:t xml:space="preserve">. </w:t>
      </w:r>
      <w:r>
        <w:rPr>
          <w:rFonts w:eastAsia="MinionPro-Regular"/>
          <w:color w:val="000000"/>
          <w:lang w:val="id-ID"/>
        </w:rPr>
        <w:t>E</w:t>
      </w:r>
      <w:proofErr w:type="spellStart"/>
      <w:r w:rsidRPr="00374F09">
        <w:rPr>
          <w:rFonts w:eastAsia="MinionPro-Regular"/>
          <w:color w:val="000000"/>
          <w:lang w:val="en-US"/>
        </w:rPr>
        <w:t>fek</w:t>
      </w:r>
      <w:proofErr w:type="spellEnd"/>
      <w:r w:rsidRPr="00374F09">
        <w:rPr>
          <w:rFonts w:eastAsia="MinionPro-Regular"/>
          <w:color w:val="000000"/>
          <w:lang w:val="en-US"/>
        </w:rPr>
        <w:t xml:space="preserve"> </w:t>
      </w:r>
      <w:proofErr w:type="spellStart"/>
      <w:r w:rsidRPr="00374F09">
        <w:rPr>
          <w:rFonts w:eastAsia="MinionPro-Regular"/>
          <w:color w:val="000000"/>
          <w:lang w:val="en-US"/>
        </w:rPr>
        <w:t>analgesik</w:t>
      </w:r>
      <w:proofErr w:type="spellEnd"/>
      <w:r w:rsidRPr="00374F09">
        <w:rPr>
          <w:rFonts w:eastAsia="MinionPro-Regular"/>
          <w:color w:val="000000"/>
          <w:lang w:val="en-US"/>
        </w:rPr>
        <w:t xml:space="preserve"> yang </w:t>
      </w:r>
      <w:proofErr w:type="spellStart"/>
      <w:r w:rsidRPr="00374F09">
        <w:rPr>
          <w:rFonts w:eastAsia="MinionPro-Regular"/>
          <w:color w:val="000000"/>
          <w:lang w:val="en-US"/>
        </w:rPr>
        <w:t>tergantung</w:t>
      </w:r>
      <w:proofErr w:type="spellEnd"/>
      <w:r w:rsidRPr="00374F09">
        <w:rPr>
          <w:rFonts w:eastAsia="MinionPro-Regular"/>
          <w:color w:val="000000"/>
          <w:lang w:val="en-US"/>
        </w:rPr>
        <w:t xml:space="preserve"> dosis </w:t>
      </w:r>
      <w:proofErr w:type="spellStart"/>
      <w:r w:rsidRPr="00374F09">
        <w:rPr>
          <w:rFonts w:eastAsia="MinionPro-Regular"/>
          <w:color w:val="000000"/>
          <w:lang w:val="en-US"/>
        </w:rPr>
        <w:t>dicatat</w:t>
      </w:r>
      <w:proofErr w:type="spellEnd"/>
      <w:r w:rsidRPr="00374F09">
        <w:rPr>
          <w:rFonts w:eastAsia="MinionPro-Regular"/>
          <w:color w:val="000000"/>
          <w:lang w:val="en-US"/>
        </w:rPr>
        <w:t xml:space="preserve"> pada </w:t>
      </w:r>
      <w:proofErr w:type="spellStart"/>
      <w:r w:rsidRPr="00374F09">
        <w:rPr>
          <w:rFonts w:eastAsia="MinionPro-Regular"/>
          <w:color w:val="000000"/>
          <w:lang w:val="en-US"/>
        </w:rPr>
        <w:t>rentang</w:t>
      </w:r>
      <w:proofErr w:type="spellEnd"/>
      <w:r w:rsidRPr="00374F09">
        <w:rPr>
          <w:rFonts w:eastAsia="MinionPro-Regular"/>
          <w:color w:val="000000"/>
          <w:lang w:val="en-US"/>
        </w:rPr>
        <w:t xml:space="preserve"> </w:t>
      </w:r>
      <w:proofErr w:type="spellStart"/>
      <w:r w:rsidRPr="00374F09">
        <w:rPr>
          <w:rFonts w:eastAsia="MinionPro-Regular"/>
          <w:color w:val="000000"/>
          <w:lang w:val="en-US"/>
        </w:rPr>
        <w:t>konsentrasi</w:t>
      </w:r>
      <w:proofErr w:type="spellEnd"/>
      <w:r w:rsidRPr="00374F09">
        <w:rPr>
          <w:rFonts w:eastAsia="MinionPro-Regular"/>
          <w:color w:val="000000"/>
          <w:lang w:val="en-US"/>
        </w:rPr>
        <w:t xml:space="preserve"> plasma y</w:t>
      </w:r>
      <w:r w:rsidRPr="00374F09">
        <w:rPr>
          <w:rFonts w:eastAsia="MinionPro-Regular"/>
          <w:color w:val="000000"/>
          <w:lang w:val="pt-BR"/>
        </w:rPr>
        <w:t xml:space="preserve">ang luas dari 0,5–8,0 ng/ml. </w:t>
      </w:r>
      <w:r>
        <w:rPr>
          <w:rFonts w:eastAsia="MinionPro-Regular"/>
          <w:color w:val="000000"/>
          <w:lang w:val="id-ID"/>
        </w:rPr>
        <w:t>S</w:t>
      </w:r>
      <w:r w:rsidRPr="00374F09">
        <w:rPr>
          <w:rFonts w:eastAsia="MinionPro-Regular"/>
          <w:color w:val="000000"/>
          <w:lang w:val="pt-BR"/>
        </w:rPr>
        <w:t>ebagai analgesik tunggal, 0,4</w:t>
      </w:r>
      <w:r>
        <w:rPr>
          <w:rFonts w:eastAsia="MinionPro-Regular"/>
          <w:color w:val="000000"/>
          <w:lang w:val="en-US"/>
        </w:rPr>
        <w:t>μ</w:t>
      </w:r>
      <w:r w:rsidRPr="00374F09">
        <w:rPr>
          <w:rFonts w:eastAsia="MinionPro-Regular"/>
          <w:color w:val="000000"/>
          <w:lang w:val="pt-BR"/>
        </w:rPr>
        <w:t xml:space="preserve">g/kg dosis dexmedetomidine dapat digunakan secara efektif untuk menghilangkan rasa sakit setelah ligasi tuba laparoskopi, meskipun rasa kantuk dan bradikardia yang menyertai </w:t>
      </w:r>
      <w:r>
        <w:rPr>
          <w:rFonts w:eastAsia="MinionPro-Regular"/>
          <w:color w:val="000000"/>
          <w:lang w:val="id-ID"/>
        </w:rPr>
        <w:t>yang</w:t>
      </w:r>
      <w:r w:rsidRPr="00374F09">
        <w:rPr>
          <w:rFonts w:eastAsia="MinionPro-Regular"/>
          <w:color w:val="000000"/>
          <w:lang w:val="pt-BR"/>
        </w:rPr>
        <w:t xml:space="preserve"> merupakan efek samping yang tidak diinginkan selama periode. Dexmedetomidine memiliki efek anti-nosiseptif pada nyeri somatik dan visceral ketika diberikan melalui rute neuraksial. Sebuah meta-analisis baru-baru ini termasuk 16 uji coba terkontrol secara acak menunjukkan bahwa pemberian dexmedetomidine neuraksial secara signifikan menurunkan </w:t>
      </w:r>
      <w:r w:rsidRPr="00374F09">
        <w:rPr>
          <w:rFonts w:eastAsia="MinionPro-Regular"/>
          <w:color w:val="000000"/>
          <w:lang w:val="pt-BR"/>
        </w:rPr>
        <w:lastRenderedPageBreak/>
        <w:t>intensitas nyeri pascabedah dan memperpanjang durasi analgesik tetapi dengan peningkatan risiko bradikardia</w:t>
      </w:r>
      <w:r>
        <w:rPr>
          <w:rFonts w:eastAsia="MinionPro-Regular"/>
          <w:color w:val="000000"/>
          <w:lang w:val="id-ID"/>
        </w:rPr>
        <w:t>.</w:t>
      </w:r>
      <w:r>
        <w:rPr>
          <w:rFonts w:eastAsia="MinionPro-Regular"/>
          <w:color w:val="000000"/>
          <w:lang w:val="id-ID"/>
        </w:rPr>
        <w:fldChar w:fldCharType="begin" w:fldLock="1"/>
      </w:r>
      <w:r>
        <w:rPr>
          <w:rFonts w:eastAsia="MinionPro-Regular"/>
          <w:color w:val="000000"/>
          <w:lang w:val="id-ID"/>
        </w:rPr>
        <w:instrText>ADDIN CSL_CITATION {"citationItems":[{"id":"ITEM-1","itemData":{"DOI":"10.4097/kja.19259","ISBN":"0000000226752","ISSN":"20057563","PMID":"31220910","abstract":"Dexmedetomidine is a potent, highly selective α-2 adrenoceptor agonist, with sedative, analgesic, anxiolytic, sympatholytic, and opioid-sparing properties. Dexmedetomidine induces a unique sedative response, which shows an easy transition from sleep to wakefulness, thus allowing a patient to be cooperative and communicative when stimulated. Dexmedetomidine may produce less delirium than other sedatives or even prevent delirium. The analgesic effect of dexmedetomidine is not strong; however, it can be administered as a useful analgesic adjuvant. As an anesthetic adjuvant, dexmedetomidine decreases the need for opioids, inhalational anesthetics, and intravenous anesthetics. The sympatholytic effect of dexmedetomidine may provide stable hemodynamics during the perioperative period. Dexmedetomidine-induced cooperative sedation with minimal respiratory depression provides safe and acceptable conditions during neurosurgical procedures in awake patients and awake fiberoptic intubation. Despite the lack of pediatric labelling, dexmedetomidine has been widely studied for pediatric use in various applications. Most adverse events associated with dexmedetomidine occur during or shortly after a loading infusion. There are some case reports of dexmedetomidine-related cardiac arrest following severe bradycardia. Some extended applications of dexmedetomidine discussed in this review are promising, but still limited, and further research is required. The pharmacological properties and possible adverse effects of dexmedetomidine should be well understood by the anesthesiologist prior to use. Moreover, it is necessary to select patients carefully and to determine the appropriate dosage of dexmedetomidine to ensure patient safety.","author":[{"dropping-particle":"","family":"Lee","given":"Seongheon","non-dropping-particle":"","parse-names":false,"suffix":""}],"container-title":"Korean Journal of Anesthesiology","id":"ITEM-1","issue":"4","issued":{"date-parts":[["2019"]]},"page":"323-330","title":"Dexmedetomidine: Present and future directions","type":"article-journal","volume":"72"},"uris":["http://www.mendeley.com/documents/?uuid=531553d9-2cd6-4a8b-abbf-08231c80ca22"]}],"mendeley":{"formattedCitation":"&lt;sup&gt;9&lt;/sup&gt;","plainTextFormattedCitation":"9","previouslyFormattedCitation":"&lt;sup&gt;9&lt;/sup&gt;"},"properties":{"noteIndex":0},"schema":"https://github.com/citation-style-language/schema/raw/master/csl-citation.json"}</w:instrText>
      </w:r>
      <w:r>
        <w:rPr>
          <w:rFonts w:eastAsia="MinionPro-Regular"/>
          <w:color w:val="000000"/>
          <w:lang w:val="id-ID"/>
        </w:rPr>
        <w:fldChar w:fldCharType="separate"/>
      </w:r>
      <w:r>
        <w:rPr>
          <w:rFonts w:eastAsia="MinionPro-Regular"/>
          <w:noProof/>
          <w:color w:val="000000"/>
          <w:vertAlign w:val="superscript"/>
          <w:lang w:val="id-ID"/>
        </w:rPr>
        <w:t>9</w:t>
      </w:r>
      <w:r>
        <w:rPr>
          <w:rFonts w:eastAsia="MinionPro-Regular"/>
          <w:color w:val="000000"/>
          <w:lang w:val="id-ID"/>
        </w:rPr>
        <w:fldChar w:fldCharType="end"/>
      </w:r>
      <w:r w:rsidRPr="00F426C1">
        <w:rPr>
          <w:rFonts w:eastAsia="MinionPro-Regular"/>
          <w:color w:val="000000"/>
          <w:lang w:val="id-ID"/>
        </w:rPr>
        <w:t xml:space="preserve"> </w:t>
      </w:r>
    </w:p>
    <w:p w14:paraId="77EC1E09" w14:textId="77777777" w:rsidR="003B79BC" w:rsidRDefault="00000000">
      <w:pPr>
        <w:spacing w:line="360" w:lineRule="auto"/>
        <w:ind w:firstLine="709"/>
        <w:jc w:val="both"/>
        <w:rPr>
          <w:rFonts w:eastAsia="MinionPro-Regular"/>
          <w:color w:val="000000"/>
          <w:lang w:val="en-US"/>
        </w:rPr>
      </w:pPr>
      <w:bookmarkStart w:id="36" w:name="_Hlk138230277"/>
      <w:bookmarkStart w:id="37" w:name="_Hlk138242993"/>
      <w:r w:rsidRPr="00F426C1">
        <w:rPr>
          <w:rFonts w:eastAsiaTheme="minorEastAsia"/>
          <w:lang w:val="id-ID"/>
        </w:rPr>
        <w:t>Dexmedetomidine</w:t>
      </w:r>
      <w:r>
        <w:rPr>
          <w:rFonts w:eastAsiaTheme="minorEastAsia"/>
          <w:lang w:val="id-ID"/>
        </w:rPr>
        <w:t xml:space="preserve"> </w:t>
      </w:r>
      <w:r w:rsidRPr="00F426C1">
        <w:rPr>
          <w:rFonts w:eastAsiaTheme="minorEastAsia"/>
          <w:lang w:val="id-ID"/>
        </w:rPr>
        <w:t>memberikan efek antino</w:t>
      </w:r>
      <w:r>
        <w:rPr>
          <w:rFonts w:eastAsiaTheme="minorEastAsia"/>
          <w:lang w:val="id-ID"/>
        </w:rPr>
        <w:t>siseptif</w:t>
      </w:r>
      <w:r w:rsidRPr="00F426C1">
        <w:rPr>
          <w:rFonts w:eastAsiaTheme="minorEastAsia"/>
          <w:lang w:val="id-ID"/>
        </w:rPr>
        <w:t xml:space="preserve"> di 2 lokasi utama (Gambar </w:t>
      </w:r>
      <w:r>
        <w:rPr>
          <w:rFonts w:eastAsiaTheme="minorEastAsia"/>
          <w:lang w:val="id-ID"/>
        </w:rPr>
        <w:t>6</w:t>
      </w:r>
      <w:r w:rsidRPr="00F426C1">
        <w:rPr>
          <w:rFonts w:eastAsiaTheme="minorEastAsia"/>
          <w:lang w:val="id-ID"/>
        </w:rPr>
        <w:t xml:space="preserve">). </w:t>
      </w:r>
      <w:r>
        <w:rPr>
          <w:rFonts w:eastAsiaTheme="minorEastAsia"/>
          <w:lang w:val="id-ID"/>
        </w:rPr>
        <w:t>Hal i</w:t>
      </w:r>
      <w:r w:rsidRPr="00F426C1">
        <w:rPr>
          <w:rFonts w:eastAsiaTheme="minorEastAsia"/>
          <w:lang w:val="id-ID"/>
        </w:rPr>
        <w:t>ni meningkatkan penghambatan penurunan transmisi nosiseptif dengan mengaktifkan interneuron penghambat yang bersinaps ke neuron proyeksi di tanduk dorsal sumsum tulang belakang. Dexmedetomidine juga memberikan efek antino</w:t>
      </w:r>
      <w:r>
        <w:rPr>
          <w:rFonts w:eastAsiaTheme="minorEastAsia"/>
          <w:lang w:val="id-ID"/>
        </w:rPr>
        <w:t>siseptif</w:t>
      </w:r>
      <w:r w:rsidRPr="00F426C1">
        <w:rPr>
          <w:rFonts w:eastAsiaTheme="minorEastAsia"/>
          <w:lang w:val="id-ID"/>
        </w:rPr>
        <w:t xml:space="preserve"> dengan mengurangi rangsangan. </w:t>
      </w:r>
      <w:r>
        <w:rPr>
          <w:rFonts w:eastAsiaTheme="minorEastAsia"/>
          <w:lang w:val="id-ID"/>
        </w:rPr>
        <w:t>D</w:t>
      </w:r>
      <w:r w:rsidRPr="00F426C1">
        <w:rPr>
          <w:rFonts w:eastAsiaTheme="minorEastAsia"/>
          <w:lang w:val="id-ID"/>
        </w:rPr>
        <w:t xml:space="preserve">exmedetomidine bekerja secara presinaptik untuk mengurangi pelepasan norepinefrin dari neuron locus coeruleus yang diproyeksikan ke otak depan basal, nukleus intralaminar talamus, area preoptik hipotalamus, dan secara difus ke korteks. Penurunan pelepasan norepinefrin di area preoptik hipotalamus menghambat proyeksi penghambatan GABAergik dan galanergic ke inti sensorik utama di otak tengah dan pons. Tindakan dexmedetomidine pada 4 target utama </w:t>
      </w:r>
      <w:r>
        <w:rPr>
          <w:rFonts w:eastAsiaTheme="minorEastAsia"/>
          <w:lang w:val="id-ID"/>
        </w:rPr>
        <w:t>tersebut</w:t>
      </w:r>
      <w:r w:rsidRPr="00F426C1">
        <w:rPr>
          <w:rFonts w:eastAsiaTheme="minorEastAsia"/>
          <w:lang w:val="id-ID"/>
        </w:rPr>
        <w:t xml:space="preserve"> menyebabkan penurunan rangsangan yang substansial karena penurunan input rangsang noradrenergik ke area preoptik dari hipotalamus, talamus, otak depan basal, dan korteks.</w:t>
      </w:r>
      <w:r>
        <w:rPr>
          <w:rFonts w:eastAsiaTheme="minorEastAsia"/>
          <w:lang w:val="en-US"/>
        </w:rPr>
        <w:fldChar w:fldCharType="begin" w:fldLock="1"/>
      </w:r>
      <w:r w:rsidRPr="00F426C1">
        <w:rPr>
          <w:rFonts w:eastAsiaTheme="minorEastAsia"/>
          <w:lang w:val="id-ID"/>
        </w:rPr>
        <w:instrText xml:space="preserve">ADDIN CSL_CITATION {"citationItems":[{"id":"ITEM-1","itemData":{"DOI":"10.1213/ANE.0000000000003668","ISBN":"0000000000","ISSN":"15267598","PMID":"30252709","abstract":"Balanced general anesthesia, the most common management strategy used in anesthesia care, entails the administration of different drugs together to create the anesthetic state. Anesthesiologists developed this approach to avoid sole reliance on ether for general anesthesia maintenance. Balanced general anesthesia uses less of each drug than if the drug </w:instrText>
      </w:r>
      <w:r w:rsidRPr="00374F09">
        <w:rPr>
          <w:rFonts w:eastAsiaTheme="minorEastAsia"/>
          <w:lang w:val="id-ID"/>
        </w:rPr>
        <w:instrText>were administered alone, thereby increasing the likelihood of its desired effects and reducing the likelihood of its side effects. To manage nociception intraoperatively and pain postoperatively, the current practice of balanced general anesthesia relies almost exclusively on opioids. While opioids are the most effective antinociceptive agents, they have undesirable side effects. Moreover, overreliance on opioids has contributed to the opioid epidemic in the United States. Spurred by concern of opioid overuse, balanced general anesthesia strategies are now using more agents to create the anesthetic state. Under these approaches, called \"multimodal general anesthesia,\" the additional drugs may include agents with specific central nervous system targets such as dexmedetomidine and ones with less specific targets, such as magnesium. It is postulated that use of more agents at smaller doses further maximizes desired effects while minimizing side effects. Although this approach appears to maximize the benefit-to-side effect ratio, no rational strategy has been provided for choosing the drug combinations. Nociception induced by surgery is the primary reason for placing a patient in a state of general anesthesia. Hence, any rational strategy should focus on nociception control intraoperatively and pain control postoperatively. In this Special Article, we review the anatomy and physiology of the nociceptive and arousal circuits, and the mechanisms through which commonly used anesthetic</w:instrText>
      </w:r>
      <w:r>
        <w:rPr>
          <w:rFonts w:eastAsiaTheme="minorEastAsia"/>
          <w:lang w:val="en-US"/>
        </w:rPr>
        <w:instrText>s and anesthetic adjuncts act in these systems. We propose a rational strategy for multimodal general anesthesia predicated on choosing a combination of agents that act at different targets in the nociceptive system to control nociception intraoperatively and pain postoperatively. Because these agents also decrease arousal, the doses of hypnotics and/or inhaled ethers needed to control unconsciousness are reduced. Effective use of this strategy requires simultaneous monitoring of antinociception and level of unconsciousness. We illustrate the application of this strategy by summarizing anesthetic management for 4 representative surg…","author":[{"dropping-particle":"","family":"Brown","given":"Emery N.","non-dropping-particle":"","parse-names":false,"suffix":""},{"dropping-particle":"","family":"Pavone","given":"Kara J.","non-dropping-particle":"","parse-names":false,"suffix":""},{"dropping-particle":"","family":"Naranjo","given":"Marusa","non-dropping-particle":"","parse-names":false,"suffix":""}],"container-title":"Anesthesia and Analgesia","id":"ITEM-1","issue":"5","issued":{"date-parts":[["2018"]]},"page":"1246-1258","title":"Multimodal general anesthesia: Theory and practice","type":"article-journal","volume":"127"},"uris":["http://www.mendeley.com/documents/?uuid=22822377-e8f4-430a-a304-7f758e803ec1"]}],"mendeley":{"formattedCitation":"&lt;sup&gt;4&lt;/sup&gt;","plainTextFormattedCitation":"4","previouslyFormattedCitation":"&lt;sup&gt;4&lt;/sup&gt;"},"properties":{"noteIndex":0},"schema":"https://github.com/citation-style-language/schema/raw/master/csl-citation.json"}</w:instrText>
      </w:r>
      <w:r>
        <w:rPr>
          <w:rFonts w:eastAsiaTheme="minorEastAsia"/>
          <w:lang w:val="en-US"/>
        </w:rPr>
        <w:fldChar w:fldCharType="separate"/>
      </w:r>
      <w:r>
        <w:rPr>
          <w:rFonts w:eastAsiaTheme="minorEastAsia"/>
          <w:noProof/>
          <w:vertAlign w:val="superscript"/>
          <w:lang w:val="en-US"/>
        </w:rPr>
        <w:t>4</w:t>
      </w:r>
      <w:r>
        <w:rPr>
          <w:rFonts w:eastAsiaTheme="minorEastAsia"/>
          <w:lang w:val="en-US"/>
        </w:rPr>
        <w:fldChar w:fldCharType="end"/>
      </w:r>
    </w:p>
    <w:bookmarkEnd w:id="36"/>
    <w:p w14:paraId="38494910" w14:textId="77777777" w:rsidR="003B79BC" w:rsidRDefault="00000000">
      <w:pPr>
        <w:spacing w:line="360" w:lineRule="auto"/>
        <w:jc w:val="center"/>
        <w:rPr>
          <w:rFonts w:ascii="PalatinoLTStd-Roman" w:eastAsiaTheme="minorEastAsia" w:hAnsi="PalatinoLTStd-Roman" w:cs="PalatinoLTStd-Roman"/>
          <w:sz w:val="11"/>
          <w:szCs w:val="11"/>
          <w:lang w:val="en-US"/>
        </w:rPr>
      </w:pPr>
      <w:r>
        <w:rPr>
          <w:noProof/>
        </w:rPr>
        <w:drawing>
          <wp:inline distT="0" distB="0" distL="0" distR="0" wp14:anchorId="4BDE5ADA" wp14:editId="2C5028B9">
            <wp:extent cx="3809365" cy="2882265"/>
            <wp:effectExtent l="0" t="0" r="635" b="0"/>
            <wp:docPr id="945948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948457" name="Picture 1"/>
                    <pic:cNvPicPr>
                      <a:picLocks noChangeAspect="1"/>
                    </pic:cNvPicPr>
                  </pic:nvPicPr>
                  <pic:blipFill>
                    <a:blip r:embed="rId19"/>
                    <a:srcRect l="31165" t="19624" r="31973" b="30764"/>
                    <a:stretch>
                      <a:fillRect/>
                    </a:stretch>
                  </pic:blipFill>
                  <pic:spPr>
                    <a:xfrm>
                      <a:off x="0" y="0"/>
                      <a:ext cx="3815016" cy="2886796"/>
                    </a:xfrm>
                    <a:prstGeom prst="rect">
                      <a:avLst/>
                    </a:prstGeom>
                    <a:ln>
                      <a:noFill/>
                    </a:ln>
                  </pic:spPr>
                </pic:pic>
              </a:graphicData>
            </a:graphic>
          </wp:inline>
        </w:drawing>
      </w:r>
    </w:p>
    <w:p w14:paraId="6E84C626" w14:textId="38D89B15" w:rsidR="003B79BC" w:rsidRDefault="00000000">
      <w:pPr>
        <w:pStyle w:val="Caption"/>
        <w:spacing w:after="0"/>
        <w:rPr>
          <w:i w:val="0"/>
          <w:iCs w:val="0"/>
          <w:color w:val="000000" w:themeColor="text1"/>
          <w:sz w:val="24"/>
          <w:szCs w:val="24"/>
          <w:lang w:val="id-ID"/>
        </w:rPr>
      </w:pPr>
      <w:r>
        <w:rPr>
          <w:i w:val="0"/>
          <w:iCs w:val="0"/>
          <w:color w:val="000000" w:themeColor="text1"/>
          <w:sz w:val="24"/>
          <w:szCs w:val="24"/>
        </w:rPr>
        <w:t xml:space="preserve">Gambar </w:t>
      </w:r>
      <w:r>
        <w:rPr>
          <w:i w:val="0"/>
          <w:iCs w:val="0"/>
          <w:color w:val="000000" w:themeColor="text1"/>
          <w:sz w:val="24"/>
          <w:szCs w:val="24"/>
        </w:rPr>
        <w:fldChar w:fldCharType="begin"/>
      </w:r>
      <w:r>
        <w:rPr>
          <w:i w:val="0"/>
          <w:iCs w:val="0"/>
          <w:color w:val="000000" w:themeColor="text1"/>
          <w:sz w:val="24"/>
          <w:szCs w:val="24"/>
        </w:rPr>
        <w:instrText xml:space="preserve"> SEQ Gambar \* ARABIC </w:instrText>
      </w:r>
      <w:r>
        <w:rPr>
          <w:i w:val="0"/>
          <w:iCs w:val="0"/>
          <w:color w:val="000000" w:themeColor="text1"/>
          <w:sz w:val="24"/>
          <w:szCs w:val="24"/>
        </w:rPr>
        <w:fldChar w:fldCharType="separate"/>
      </w:r>
      <w:r w:rsidR="00D671E3">
        <w:rPr>
          <w:i w:val="0"/>
          <w:iCs w:val="0"/>
          <w:noProof/>
          <w:color w:val="000000" w:themeColor="text1"/>
          <w:sz w:val="24"/>
          <w:szCs w:val="24"/>
        </w:rPr>
        <w:t>6</w:t>
      </w:r>
      <w:r>
        <w:rPr>
          <w:i w:val="0"/>
          <w:iCs w:val="0"/>
          <w:color w:val="000000" w:themeColor="text1"/>
          <w:sz w:val="24"/>
          <w:szCs w:val="24"/>
        </w:rPr>
        <w:fldChar w:fldCharType="end"/>
      </w:r>
      <w:r>
        <w:rPr>
          <w:i w:val="0"/>
          <w:iCs w:val="0"/>
          <w:color w:val="000000" w:themeColor="text1"/>
          <w:sz w:val="24"/>
          <w:szCs w:val="24"/>
          <w:lang w:val="id-ID"/>
        </w:rPr>
        <w:t>. Mekanisme antinosiseptif dexmedetomidine</w:t>
      </w:r>
    </w:p>
    <w:p w14:paraId="76B289C0" w14:textId="77777777" w:rsidR="003B79BC" w:rsidRDefault="00000000">
      <w:pPr>
        <w:tabs>
          <w:tab w:val="left" w:pos="1134"/>
        </w:tabs>
        <w:ind w:left="1134" w:hanging="1134"/>
        <w:jc w:val="both"/>
        <w:rPr>
          <w:rStyle w:val="markedcontent"/>
          <w:rFonts w:eastAsiaTheme="minorEastAsia"/>
          <w:sz w:val="20"/>
          <w:szCs w:val="20"/>
          <w:lang w:val="id-ID"/>
        </w:rPr>
      </w:pPr>
      <w:r>
        <w:rPr>
          <w:rFonts w:eastAsiaTheme="minorEastAsia"/>
          <w:color w:val="000000" w:themeColor="text1"/>
          <w:sz w:val="20"/>
          <w:szCs w:val="20"/>
          <w:lang w:val="id-ID" w:eastAsia="zh-CN"/>
        </w:rPr>
        <w:t xml:space="preserve">Dikutip dari: </w:t>
      </w:r>
      <w:r>
        <w:rPr>
          <w:rFonts w:eastAsiaTheme="minorEastAsia"/>
          <w:color w:val="000000" w:themeColor="text1"/>
          <w:sz w:val="20"/>
          <w:szCs w:val="20"/>
          <w:lang w:val="id-ID" w:eastAsia="zh-CN"/>
        </w:rPr>
        <w:tab/>
      </w:r>
      <w:r>
        <w:rPr>
          <w:sz w:val="20"/>
          <w:szCs w:val="20"/>
        </w:rPr>
        <w:t>Brown EN, Pavone KJ, Naranjo M. Multimodal general anesthesia: Theory and practice. Anesth Analg. 2018;127(5):1246–58.</w:t>
      </w:r>
    </w:p>
    <w:p w14:paraId="3A5B84F5" w14:textId="77777777" w:rsidR="003B79BC" w:rsidRDefault="003B79BC">
      <w:pPr>
        <w:rPr>
          <w:rStyle w:val="markedcontent"/>
          <w:rFonts w:eastAsiaTheme="minorEastAsia"/>
          <w:sz w:val="20"/>
          <w:szCs w:val="20"/>
          <w:lang w:val="id-ID"/>
        </w:rPr>
      </w:pPr>
    </w:p>
    <w:p w14:paraId="64088EBB" w14:textId="77777777" w:rsidR="003B79BC" w:rsidRDefault="00000000">
      <w:pPr>
        <w:spacing w:line="360" w:lineRule="auto"/>
        <w:ind w:firstLine="709"/>
        <w:jc w:val="both"/>
        <w:rPr>
          <w:rFonts w:eastAsiaTheme="minorEastAsia"/>
          <w:lang w:eastAsia="zh-CN"/>
        </w:rPr>
      </w:pPr>
      <w:r>
        <w:rPr>
          <w:rFonts w:eastAsiaTheme="minorEastAsia"/>
          <w:lang w:val="en-US"/>
        </w:rPr>
        <w:t>Dexmedetomidine</w:t>
      </w:r>
      <w:r>
        <w:rPr>
          <w:lang w:val="en-US"/>
        </w:rPr>
        <w:t xml:space="preserve"> </w:t>
      </w:r>
      <w:proofErr w:type="spellStart"/>
      <w:r>
        <w:rPr>
          <w:lang w:val="en-US"/>
        </w:rPr>
        <w:t>melemahkan</w:t>
      </w:r>
      <w:proofErr w:type="spellEnd"/>
      <w:r>
        <w:rPr>
          <w:lang w:val="en-US"/>
        </w:rPr>
        <w:t xml:space="preserve"> </w:t>
      </w:r>
      <w:proofErr w:type="spellStart"/>
      <w:r>
        <w:rPr>
          <w:lang w:val="en-US"/>
        </w:rPr>
        <w:t>rangsangan</w:t>
      </w:r>
      <w:proofErr w:type="spellEnd"/>
      <w:r>
        <w:rPr>
          <w:lang w:val="en-US"/>
        </w:rPr>
        <w:t xml:space="preserve"> </w:t>
      </w:r>
      <w:proofErr w:type="spellStart"/>
      <w:r>
        <w:rPr>
          <w:lang w:val="en-US"/>
        </w:rPr>
        <w:t>nosiseptif</w:t>
      </w:r>
      <w:proofErr w:type="spellEnd"/>
      <w:r>
        <w:rPr>
          <w:lang w:val="en-US"/>
        </w:rPr>
        <w:t xml:space="preserve"> dan </w:t>
      </w:r>
      <w:proofErr w:type="spellStart"/>
      <w:r>
        <w:rPr>
          <w:lang w:val="en-US"/>
        </w:rPr>
        <w:t>menghambat</w:t>
      </w:r>
      <w:proofErr w:type="spellEnd"/>
      <w:r>
        <w:rPr>
          <w:lang w:val="en-US"/>
        </w:rPr>
        <w:t xml:space="preserve"> </w:t>
      </w:r>
      <w:proofErr w:type="spellStart"/>
      <w:r>
        <w:rPr>
          <w:lang w:val="en-US"/>
        </w:rPr>
        <w:t>transmisi</w:t>
      </w:r>
      <w:proofErr w:type="spellEnd"/>
      <w:r>
        <w:rPr>
          <w:lang w:val="en-US"/>
        </w:rPr>
        <w:t xml:space="preserve"> </w:t>
      </w:r>
      <w:proofErr w:type="spellStart"/>
      <w:r>
        <w:rPr>
          <w:lang w:val="en-US"/>
        </w:rPr>
        <w:t>nosiseptif</w:t>
      </w:r>
      <w:proofErr w:type="spellEnd"/>
      <w:r>
        <w:rPr>
          <w:lang w:val="en-US"/>
        </w:rPr>
        <w:t xml:space="preserve">. </w:t>
      </w:r>
      <w:r>
        <w:rPr>
          <w:rFonts w:eastAsiaTheme="minorEastAsia"/>
          <w:lang w:val="en-US"/>
        </w:rPr>
        <w:t>Dexmedetomidine</w:t>
      </w:r>
      <w:r>
        <w:rPr>
          <w:lang w:val="en-US"/>
        </w:rPr>
        <w:t xml:space="preserve"> </w:t>
      </w:r>
      <w:proofErr w:type="spellStart"/>
      <w:r>
        <w:rPr>
          <w:lang w:val="en-US"/>
        </w:rPr>
        <w:t>menghambat</w:t>
      </w:r>
      <w:proofErr w:type="spellEnd"/>
      <w:r>
        <w:rPr>
          <w:lang w:val="en-US"/>
        </w:rPr>
        <w:t xml:space="preserve"> </w:t>
      </w:r>
      <w:proofErr w:type="spellStart"/>
      <w:r>
        <w:rPr>
          <w:lang w:val="en-US"/>
        </w:rPr>
        <w:t>aktivasi</w:t>
      </w:r>
      <w:proofErr w:type="spellEnd"/>
      <w:r>
        <w:rPr>
          <w:lang w:val="en-US"/>
        </w:rPr>
        <w:t xml:space="preserve"> </w:t>
      </w:r>
      <w:proofErr w:type="spellStart"/>
      <w:r>
        <w:rPr>
          <w:lang w:val="en-US"/>
        </w:rPr>
        <w:t>sel</w:t>
      </w:r>
      <w:proofErr w:type="spellEnd"/>
      <w:r>
        <w:rPr>
          <w:lang w:val="en-US"/>
        </w:rPr>
        <w:t xml:space="preserve"> glial dan </w:t>
      </w:r>
      <w:proofErr w:type="spellStart"/>
      <w:r>
        <w:rPr>
          <w:lang w:val="en-US"/>
        </w:rPr>
        <w:lastRenderedPageBreak/>
        <w:t>pelepasan</w:t>
      </w:r>
      <w:proofErr w:type="spellEnd"/>
      <w:r>
        <w:rPr>
          <w:lang w:val="en-US"/>
        </w:rPr>
        <w:t xml:space="preserve"> </w:t>
      </w:r>
      <w:proofErr w:type="spellStart"/>
      <w:r>
        <w:rPr>
          <w:lang w:val="en-US"/>
        </w:rPr>
        <w:t>substansi</w:t>
      </w:r>
      <w:proofErr w:type="spellEnd"/>
      <w:r>
        <w:rPr>
          <w:lang w:val="en-US"/>
        </w:rPr>
        <w:t xml:space="preserve"> P dan </w:t>
      </w:r>
      <w:proofErr w:type="spellStart"/>
      <w:r>
        <w:rPr>
          <w:lang w:val="en-US"/>
        </w:rPr>
        <w:t>peptida</w:t>
      </w:r>
      <w:proofErr w:type="spellEnd"/>
      <w:r>
        <w:rPr>
          <w:lang w:val="en-US"/>
        </w:rPr>
        <w:t xml:space="preserve"> </w:t>
      </w:r>
      <w:proofErr w:type="spellStart"/>
      <w:r>
        <w:rPr>
          <w:lang w:val="en-US"/>
        </w:rPr>
        <w:t>terkait</w:t>
      </w:r>
      <w:proofErr w:type="spellEnd"/>
      <w:r>
        <w:rPr>
          <w:lang w:val="en-US"/>
        </w:rPr>
        <w:t xml:space="preserve"> gen </w:t>
      </w:r>
      <w:proofErr w:type="spellStart"/>
      <w:r>
        <w:rPr>
          <w:lang w:val="en-US"/>
        </w:rPr>
        <w:t>kalsitonin</w:t>
      </w:r>
      <w:proofErr w:type="spellEnd"/>
      <w:r>
        <w:rPr>
          <w:lang w:val="en-US"/>
        </w:rPr>
        <w:t xml:space="preserve"> </w:t>
      </w:r>
      <w:proofErr w:type="spellStart"/>
      <w:r>
        <w:rPr>
          <w:lang w:val="en-US"/>
        </w:rPr>
        <w:t>dari</w:t>
      </w:r>
      <w:proofErr w:type="spellEnd"/>
      <w:r>
        <w:rPr>
          <w:lang w:val="en-US"/>
        </w:rPr>
        <w:t xml:space="preserve"> </w:t>
      </w:r>
      <w:proofErr w:type="spellStart"/>
      <w:r>
        <w:rPr>
          <w:lang w:val="en-US"/>
        </w:rPr>
        <w:t>sumsum</w:t>
      </w:r>
      <w:proofErr w:type="spellEnd"/>
      <w:r>
        <w:rPr>
          <w:lang w:val="en-US"/>
        </w:rPr>
        <w:t xml:space="preserve"> </w:t>
      </w:r>
      <w:proofErr w:type="spellStart"/>
      <w:r>
        <w:rPr>
          <w:lang w:val="en-US"/>
        </w:rPr>
        <w:t>tulang</w:t>
      </w:r>
      <w:proofErr w:type="spellEnd"/>
      <w:r>
        <w:rPr>
          <w:lang w:val="en-US"/>
        </w:rPr>
        <w:t xml:space="preserve"> </w:t>
      </w:r>
      <w:proofErr w:type="spellStart"/>
      <w:r>
        <w:rPr>
          <w:lang w:val="en-US"/>
        </w:rPr>
        <w:t>belakang</w:t>
      </w:r>
      <w:proofErr w:type="spellEnd"/>
      <w:r>
        <w:rPr>
          <w:lang w:val="id-ID"/>
        </w:rPr>
        <w:t>,</w:t>
      </w:r>
      <w:r>
        <w:rPr>
          <w:lang w:val="en-US"/>
        </w:rPr>
        <w:t xml:space="preserve"> yang </w:t>
      </w:r>
      <w:proofErr w:type="spellStart"/>
      <w:r>
        <w:rPr>
          <w:lang w:val="en-US"/>
        </w:rPr>
        <w:t>terakhir</w:t>
      </w:r>
      <w:proofErr w:type="spellEnd"/>
      <w:r>
        <w:rPr>
          <w:lang w:val="en-US"/>
        </w:rPr>
        <w:t xml:space="preserve"> </w:t>
      </w:r>
      <w:proofErr w:type="spellStart"/>
      <w:r>
        <w:rPr>
          <w:lang w:val="en-US"/>
        </w:rPr>
        <w:t>memulai</w:t>
      </w:r>
      <w:proofErr w:type="spellEnd"/>
      <w:r>
        <w:rPr>
          <w:lang w:val="en-US"/>
        </w:rPr>
        <w:t xml:space="preserve"> </w:t>
      </w:r>
      <w:proofErr w:type="spellStart"/>
      <w:r>
        <w:rPr>
          <w:lang w:val="en-US"/>
        </w:rPr>
        <w:t>sensitisasi</w:t>
      </w:r>
      <w:proofErr w:type="spellEnd"/>
      <w:r>
        <w:rPr>
          <w:lang w:val="en-US"/>
        </w:rPr>
        <w:t xml:space="preserve"> </w:t>
      </w:r>
      <w:proofErr w:type="spellStart"/>
      <w:r>
        <w:rPr>
          <w:lang w:val="en-US"/>
        </w:rPr>
        <w:t>sentral</w:t>
      </w:r>
      <w:proofErr w:type="spellEnd"/>
      <w:r>
        <w:rPr>
          <w:lang w:val="en-US"/>
        </w:rPr>
        <w:t xml:space="preserve"> terhadap </w:t>
      </w:r>
      <w:proofErr w:type="spellStart"/>
      <w:r>
        <w:rPr>
          <w:lang w:val="en-US"/>
        </w:rPr>
        <w:t>sinyal</w:t>
      </w:r>
      <w:proofErr w:type="spellEnd"/>
      <w:r>
        <w:rPr>
          <w:lang w:val="en-US"/>
        </w:rPr>
        <w:t xml:space="preserve"> </w:t>
      </w:r>
      <w:proofErr w:type="spellStart"/>
      <w:r>
        <w:rPr>
          <w:lang w:val="en-US"/>
        </w:rPr>
        <w:t>nyeri</w:t>
      </w:r>
      <w:proofErr w:type="spellEnd"/>
      <w:r>
        <w:rPr>
          <w:lang w:val="en-US"/>
        </w:rPr>
        <w:t>.</w:t>
      </w:r>
      <w:r>
        <w:rPr>
          <w:lang w:val="id-ID"/>
        </w:rPr>
        <w:t xml:space="preserve"> </w:t>
      </w:r>
      <w:r w:rsidRPr="00374F09">
        <w:rPr>
          <w:lang w:val="id-ID"/>
        </w:rPr>
        <w:t>Efek antino</w:t>
      </w:r>
      <w:r>
        <w:rPr>
          <w:lang w:val="id-ID"/>
        </w:rPr>
        <w:t>sis</w:t>
      </w:r>
      <w:r w:rsidRPr="00374F09">
        <w:rPr>
          <w:lang w:val="id-ID"/>
        </w:rPr>
        <w:t>epti</w:t>
      </w:r>
      <w:r>
        <w:rPr>
          <w:lang w:val="id-ID"/>
        </w:rPr>
        <w:t>f</w:t>
      </w:r>
      <w:r w:rsidRPr="00374F09">
        <w:rPr>
          <w:lang w:val="id-ID"/>
        </w:rPr>
        <w:t xml:space="preserve"> </w:t>
      </w:r>
      <w:r>
        <w:rPr>
          <w:rFonts w:eastAsiaTheme="minorEastAsia"/>
          <w:lang w:val="id-ID"/>
        </w:rPr>
        <w:t>d</w:t>
      </w:r>
      <w:r w:rsidRPr="00374F09">
        <w:rPr>
          <w:rFonts w:eastAsiaTheme="minorEastAsia"/>
          <w:lang w:val="id-ID"/>
        </w:rPr>
        <w:t>exmedetomidine</w:t>
      </w:r>
      <w:r w:rsidRPr="00374F09">
        <w:rPr>
          <w:lang w:val="id-ID"/>
        </w:rPr>
        <w:t xml:space="preserve"> dapat menekan perkembangan allodynia mekanik, aktivasi reseptor NMDA, dan jalur pensinyalan ERK.</w:t>
      </w:r>
      <w:r>
        <w:rPr>
          <w:lang w:val="en-US"/>
        </w:rPr>
        <w:fldChar w:fldCharType="begin" w:fldLock="1"/>
      </w:r>
      <w:r w:rsidRPr="00374F09">
        <w:rPr>
          <w:lang w:val="id-ID"/>
        </w:rPr>
        <w:instrText xml:space="preserve">ADDIN CSL_CITATION {"citationItems":[{"id":"ITEM-1","itemData":{"DOI":"10.2147/JPR.S184621","ISSN":"11787090","abstract":"Purpose: Complex regional pain syndrome type 1 (CRPS I) is an intractable neuropathic pain syndrome. Chronic post-ischemia pain (CPIP) model is an animal model of CRPS I which is produced by ischemia-reperfusion (IR) injury of the hind limb. Dexmedetomidine (DEX) is a selective and potent </w:instrText>
      </w:r>
      <w:r>
        <w:rPr>
          <w:lang w:val="en-US"/>
        </w:rPr>
        <w:instrText>α</w:instrText>
      </w:r>
      <w:r w:rsidRPr="00374F09">
        <w:rPr>
          <w:lang w:val="id-ID"/>
        </w:rPr>
        <w:instrText>2 adrenergic receptor agonist with analgesic and protective effects following an IR injury. We hypothesized that DEX protects the development of mechanical allodynia and central sensitization in CRPS I. Therefore, we evaluated the dose-related protective effect of DEX in a CPIP model. Methods: We divided 45 rats into five groups: sham, CPIP, CPIP + DEX 10 µg/kg, CPIP + DEX 50 µg/kg, and CPIP + DEX 100 µg/kg. Rats in the sham group underwent sham surgery, and the other rats received CPIP injury. One hour before reperfusion or end of sham surgery, normal saline was injected into the rats in the sham and CPIP groups, and DEX (designated dose) was injected into the rats in the other groups. All rats were evaluated for the withdrawal threshold of both hind paws before surgery and 1, 3, and 7 days after surgery. Phosphorylation of N-methyl-d-aspartate receptor subunits (pGluN1) and phosphorylation of extracellular signal-regulated kinases (pERK) in the spinal cord were measured 3 days after surgery. Results: Administration of DEX before reperfusion showed a significant increase in the withdrawal threshold in both hind paws and a significant decrease of the expressions of pGluN1 and pERK in CPIP rats dose dependently (P&lt;0.05). Conclusion: DEX may inhibit the development of mechanical allodynia and central sensitization in CPIP rats.","author":[{"dropping-particle":"","family":"Yeo","given":"Jinseok","non-dropping-particle":"","parse-names":false,"suffix":""},{"dropping-particle":"","family":"Park","given":"Sungsik","non-dropping-particle":"","parse-names":false,"suffix":""}],"container-title":"Journal of Pain Research","id":"ITEM-1","issued":{"date-parts":[["2018"]]},"page":"3025-3030","title":"Effect of dexmedetomidine on the development of mechanical allodynia and central sensitization in chronic post-ischemia pain rats","type":"article-journal","volume":"11"},"uris":["http://www.mendeley.com/documents/?uuid=dcc56aef-76a8-43af-9db3-479dc322e676"]}],"mendeley":{"formattedCitation":"&lt;sup&gt;42&lt;/sup&gt;","plainTextFormattedCitation":"42","previouslyFormattedCitation":"&lt;sup&gt;42&lt;/sup&gt;"},"properties":{"noteIndex":0},"schema":"https://github.com/citation-style-language/schema/raw/master/csl-citation.json"}</w:instrText>
      </w:r>
      <w:r>
        <w:rPr>
          <w:lang w:val="en-US"/>
        </w:rPr>
        <w:fldChar w:fldCharType="separate"/>
      </w:r>
      <w:r w:rsidRPr="00374F09">
        <w:rPr>
          <w:noProof/>
          <w:vertAlign w:val="superscript"/>
          <w:lang w:val="id-ID"/>
        </w:rPr>
        <w:t>42</w:t>
      </w:r>
      <w:r>
        <w:rPr>
          <w:lang w:val="en-US"/>
        </w:rPr>
        <w:fldChar w:fldCharType="end"/>
      </w:r>
    </w:p>
    <w:bookmarkEnd w:id="37"/>
    <w:p w14:paraId="37589312" w14:textId="77777777" w:rsidR="003B79BC" w:rsidRDefault="00000000">
      <w:pPr>
        <w:spacing w:line="360" w:lineRule="auto"/>
        <w:ind w:firstLine="709"/>
        <w:jc w:val="both"/>
        <w:rPr>
          <w:rFonts w:eastAsia="FrutigerLTStd-Roman"/>
          <w:lang w:val="en-US"/>
        </w:rPr>
      </w:pPr>
      <w:r w:rsidRPr="00374F09">
        <w:rPr>
          <w:rFonts w:eastAsia="FrutigerLTStd-Roman"/>
          <w:lang w:val="id-ID" w:eastAsia="zh-CN"/>
        </w:rPr>
        <w:t xml:space="preserve">Analgesia yang tidak mencukupi selama anestesi biasanya dirasakan oleh reaksi otonom seperti peningkatan tekanan darah atau </w:t>
      </w:r>
      <w:r>
        <w:rPr>
          <w:rFonts w:eastAsia="FrutigerLTStd-Roman"/>
          <w:lang w:val="id-ID" w:eastAsia="zh-CN"/>
        </w:rPr>
        <w:t>detak jantung</w:t>
      </w:r>
      <w:r w:rsidRPr="00374F09">
        <w:rPr>
          <w:rFonts w:eastAsia="FrutigerLTStd-Roman"/>
          <w:lang w:val="id-ID" w:eastAsia="zh-CN"/>
        </w:rPr>
        <w:t>, berkeringat, peningkatan diameter pupil, atau lakrimasi.</w:t>
      </w:r>
      <w:r>
        <w:rPr>
          <w:rFonts w:eastAsia="FrutigerLTStd-Roman"/>
          <w:lang w:eastAsia="zh-CN"/>
        </w:rPr>
        <w:t xml:space="preserve"> </w:t>
      </w:r>
      <w:r w:rsidRPr="00374F09">
        <w:rPr>
          <w:rFonts w:eastAsia="FrutigerLTStd-Roman"/>
          <w:lang w:val="id-ID" w:eastAsia="zh-CN"/>
        </w:rPr>
        <w:t>Transmisi nosiseptif dari</w:t>
      </w:r>
      <w:r>
        <w:rPr>
          <w:rFonts w:eastAsia="FrutigerLTStd-Roman"/>
          <w:lang w:eastAsia="zh-CN"/>
        </w:rPr>
        <w:t xml:space="preserve"> </w:t>
      </w:r>
      <w:r w:rsidRPr="00374F09">
        <w:rPr>
          <w:rFonts w:eastAsia="FrutigerLTStd-Roman"/>
          <w:lang w:val="id-ID" w:eastAsia="zh-CN"/>
        </w:rPr>
        <w:t xml:space="preserve">cedera bedah berlangsung melalui </w:t>
      </w:r>
      <w:proofErr w:type="spellStart"/>
      <w:r>
        <w:rPr>
          <w:rFonts w:eastAsia="FrutigerLTStd-Roman"/>
          <w:lang w:val="en-US" w:eastAsia="zh-CN"/>
        </w:rPr>
        <w:t>serat</w:t>
      </w:r>
      <w:proofErr w:type="spellEnd"/>
      <w:r>
        <w:rPr>
          <w:rFonts w:eastAsia="FrutigerLTStd-Roman"/>
          <w:lang w:val="en-US" w:eastAsia="zh-CN"/>
        </w:rPr>
        <w:t xml:space="preserve"> C- dan A-delta dalam 3 </w:t>
      </w:r>
      <w:proofErr w:type="spellStart"/>
      <w:r>
        <w:rPr>
          <w:rFonts w:eastAsia="FrutigerLTStd-Roman"/>
          <w:lang w:val="en-US" w:eastAsia="zh-CN"/>
        </w:rPr>
        <w:t>cara</w:t>
      </w:r>
      <w:proofErr w:type="spellEnd"/>
      <w:r>
        <w:rPr>
          <w:rFonts w:eastAsia="FrutigerLTStd-Roman"/>
          <w:lang w:val="en-US" w:eastAsia="zh-CN"/>
        </w:rPr>
        <w:t xml:space="preserve"> </w:t>
      </w:r>
      <w:r>
        <w:rPr>
          <w:rFonts w:eastAsia="FrutigerLTStd-Roman"/>
          <w:lang w:val="id-ID" w:eastAsia="zh-CN"/>
        </w:rPr>
        <w:t>yaitu</w:t>
      </w:r>
      <w:r>
        <w:rPr>
          <w:rFonts w:eastAsia="FrutigerLTStd-Roman"/>
          <w:lang w:val="en-US" w:eastAsia="zh-CN"/>
        </w:rPr>
        <w:t xml:space="preserve"> </w:t>
      </w:r>
      <w:proofErr w:type="spellStart"/>
      <w:r>
        <w:rPr>
          <w:rFonts w:eastAsia="FrutigerLTStd-Roman"/>
          <w:lang w:val="en-US" w:eastAsia="zh-CN"/>
        </w:rPr>
        <w:t>saraf</w:t>
      </w:r>
      <w:proofErr w:type="spellEnd"/>
      <w:r>
        <w:rPr>
          <w:rFonts w:eastAsia="FrutigerLTStd-Roman"/>
          <w:lang w:val="en-US" w:eastAsia="zh-CN"/>
        </w:rPr>
        <w:t xml:space="preserve"> </w:t>
      </w:r>
      <w:proofErr w:type="spellStart"/>
      <w:r>
        <w:rPr>
          <w:rFonts w:eastAsia="FrutigerLTStd-Roman"/>
          <w:lang w:val="en-US" w:eastAsia="zh-CN"/>
        </w:rPr>
        <w:t>interkostal</w:t>
      </w:r>
      <w:proofErr w:type="spellEnd"/>
      <w:r>
        <w:rPr>
          <w:rFonts w:eastAsia="FrutigerLTStd-Roman"/>
          <w:lang w:val="en-US" w:eastAsia="zh-CN"/>
        </w:rPr>
        <w:t xml:space="preserve"> mengirimkan </w:t>
      </w:r>
      <w:proofErr w:type="spellStart"/>
      <w:r>
        <w:rPr>
          <w:rFonts w:eastAsia="FrutigerLTStd-Roman"/>
          <w:lang w:val="en-US" w:eastAsia="zh-CN"/>
        </w:rPr>
        <w:t>rangsangan</w:t>
      </w:r>
      <w:proofErr w:type="spellEnd"/>
      <w:r>
        <w:rPr>
          <w:rFonts w:eastAsia="FrutigerLTStd-Roman"/>
          <w:lang w:val="en-US" w:eastAsia="zh-CN"/>
        </w:rPr>
        <w:t xml:space="preserve"> </w:t>
      </w:r>
      <w:proofErr w:type="spellStart"/>
      <w:r>
        <w:rPr>
          <w:rFonts w:eastAsia="FrutigerLTStd-Roman"/>
          <w:lang w:val="en-US" w:eastAsia="zh-CN"/>
        </w:rPr>
        <w:t>dari</w:t>
      </w:r>
      <w:proofErr w:type="spellEnd"/>
      <w:r>
        <w:rPr>
          <w:rFonts w:eastAsia="FrutigerLTStd-Roman"/>
          <w:lang w:val="en-US" w:eastAsia="zh-CN"/>
        </w:rPr>
        <w:t xml:space="preserve"> </w:t>
      </w:r>
      <w:proofErr w:type="spellStart"/>
      <w:r>
        <w:rPr>
          <w:rFonts w:eastAsia="FrutigerLTStd-Roman"/>
          <w:lang w:val="en-US" w:eastAsia="zh-CN"/>
        </w:rPr>
        <w:t>kulit</w:t>
      </w:r>
      <w:proofErr w:type="spellEnd"/>
      <w:r>
        <w:rPr>
          <w:rFonts w:eastAsia="FrutigerLTStd-Roman"/>
          <w:lang w:val="en-US" w:eastAsia="zh-CN"/>
        </w:rPr>
        <w:t xml:space="preserve">, </w:t>
      </w:r>
      <w:proofErr w:type="spellStart"/>
      <w:r>
        <w:rPr>
          <w:rFonts w:eastAsia="FrutigerLTStd-Roman"/>
          <w:lang w:val="en-US" w:eastAsia="zh-CN"/>
        </w:rPr>
        <w:t>tulang</w:t>
      </w:r>
      <w:proofErr w:type="spellEnd"/>
      <w:r>
        <w:rPr>
          <w:rFonts w:eastAsia="FrutigerLTStd-Roman"/>
          <w:lang w:val="en-US" w:eastAsia="zh-CN"/>
        </w:rPr>
        <w:t xml:space="preserve"> </w:t>
      </w:r>
      <w:proofErr w:type="spellStart"/>
      <w:r>
        <w:rPr>
          <w:rFonts w:eastAsia="FrutigerLTStd-Roman"/>
          <w:lang w:val="en-US" w:eastAsia="zh-CN"/>
        </w:rPr>
        <w:t>rusuk</w:t>
      </w:r>
      <w:proofErr w:type="spellEnd"/>
      <w:r>
        <w:rPr>
          <w:rFonts w:eastAsia="FrutigerLTStd-Roman"/>
          <w:lang w:val="en-US" w:eastAsia="zh-CN"/>
        </w:rPr>
        <w:t xml:space="preserve">, dan </w:t>
      </w:r>
      <w:proofErr w:type="spellStart"/>
      <w:r>
        <w:rPr>
          <w:rFonts w:eastAsia="FrutigerLTStd-Roman"/>
          <w:lang w:val="en-US" w:eastAsia="zh-CN"/>
        </w:rPr>
        <w:t>otot</w:t>
      </w:r>
      <w:proofErr w:type="spellEnd"/>
      <w:r>
        <w:rPr>
          <w:rFonts w:eastAsia="FrutigerLTStd-Roman"/>
          <w:lang w:val="en-US" w:eastAsia="zh-CN"/>
        </w:rPr>
        <w:t xml:space="preserve">; </w:t>
      </w:r>
      <w:proofErr w:type="spellStart"/>
      <w:r>
        <w:rPr>
          <w:rFonts w:eastAsia="FrutigerLTStd-Roman"/>
          <w:lang w:val="en-US" w:eastAsia="zh-CN"/>
        </w:rPr>
        <w:t>saraf</w:t>
      </w:r>
      <w:proofErr w:type="spellEnd"/>
      <w:r>
        <w:rPr>
          <w:rFonts w:eastAsia="FrutigerLTStd-Roman"/>
          <w:lang w:val="en-US" w:eastAsia="zh-CN"/>
        </w:rPr>
        <w:t xml:space="preserve"> </w:t>
      </w:r>
      <w:proofErr w:type="spellStart"/>
      <w:r>
        <w:rPr>
          <w:rFonts w:eastAsia="FrutigerLTStd-Roman"/>
          <w:lang w:val="en-US" w:eastAsia="zh-CN"/>
        </w:rPr>
        <w:t>vagus</w:t>
      </w:r>
      <w:proofErr w:type="spellEnd"/>
      <w:r>
        <w:rPr>
          <w:rFonts w:eastAsia="FrutigerLTStd-Roman"/>
          <w:lang w:val="en-US" w:eastAsia="zh-CN"/>
        </w:rPr>
        <w:t xml:space="preserve"> </w:t>
      </w:r>
      <w:proofErr w:type="spellStart"/>
      <w:r>
        <w:rPr>
          <w:rFonts w:eastAsia="FrutigerLTStd-Roman"/>
          <w:lang w:val="en-US" w:eastAsia="zh-CN"/>
        </w:rPr>
        <w:t>membawa</w:t>
      </w:r>
      <w:proofErr w:type="spellEnd"/>
      <w:r>
        <w:rPr>
          <w:rFonts w:eastAsia="FrutigerLTStd-Roman"/>
          <w:lang w:val="en-US" w:eastAsia="zh-CN"/>
        </w:rPr>
        <w:t xml:space="preserve"> </w:t>
      </w:r>
      <w:proofErr w:type="spellStart"/>
      <w:r>
        <w:rPr>
          <w:rFonts w:eastAsia="FrutigerLTStd-Roman"/>
          <w:lang w:val="en-US" w:eastAsia="zh-CN"/>
        </w:rPr>
        <w:t>rangsangan</w:t>
      </w:r>
      <w:proofErr w:type="spellEnd"/>
      <w:r>
        <w:rPr>
          <w:rFonts w:eastAsia="FrutigerLTStd-Roman"/>
          <w:lang w:val="en-US" w:eastAsia="zh-CN"/>
        </w:rPr>
        <w:t xml:space="preserve"> </w:t>
      </w:r>
      <w:proofErr w:type="spellStart"/>
      <w:r>
        <w:rPr>
          <w:rFonts w:eastAsia="FrutigerLTStd-Roman"/>
          <w:lang w:val="en-US" w:eastAsia="zh-CN"/>
        </w:rPr>
        <w:t>dari</w:t>
      </w:r>
      <w:proofErr w:type="spellEnd"/>
      <w:r>
        <w:rPr>
          <w:rFonts w:eastAsia="FrutigerLTStd-Roman"/>
          <w:lang w:val="en-US" w:eastAsia="zh-CN"/>
        </w:rPr>
        <w:t xml:space="preserve"> </w:t>
      </w:r>
      <w:proofErr w:type="spellStart"/>
      <w:r>
        <w:rPr>
          <w:rFonts w:eastAsia="FrutigerLTStd-Roman"/>
          <w:lang w:val="en-US" w:eastAsia="zh-CN"/>
        </w:rPr>
        <w:t>paru-paru</w:t>
      </w:r>
      <w:proofErr w:type="spellEnd"/>
      <w:r>
        <w:rPr>
          <w:rFonts w:eastAsia="FrutigerLTStd-Roman"/>
          <w:lang w:val="en-US" w:eastAsia="zh-CN"/>
        </w:rPr>
        <w:t xml:space="preserve"> dan mediastinum; dan </w:t>
      </w:r>
      <w:proofErr w:type="spellStart"/>
      <w:r>
        <w:rPr>
          <w:rFonts w:eastAsia="FrutigerLTStd-Roman"/>
          <w:lang w:val="en-US" w:eastAsia="zh-CN"/>
        </w:rPr>
        <w:t>saraf</w:t>
      </w:r>
      <w:proofErr w:type="spellEnd"/>
      <w:r>
        <w:rPr>
          <w:rFonts w:eastAsia="FrutigerLTStd-Roman"/>
          <w:lang w:val="en-US" w:eastAsia="zh-CN"/>
        </w:rPr>
        <w:t xml:space="preserve"> </w:t>
      </w:r>
      <w:proofErr w:type="spellStart"/>
      <w:r>
        <w:rPr>
          <w:rFonts w:eastAsia="FrutigerLTStd-Roman"/>
          <w:lang w:val="en-US" w:eastAsia="zh-CN"/>
        </w:rPr>
        <w:t>frenikus</w:t>
      </w:r>
      <w:proofErr w:type="spellEnd"/>
      <w:r>
        <w:rPr>
          <w:rFonts w:eastAsia="FrutigerLTStd-Roman"/>
          <w:lang w:val="en-US" w:eastAsia="zh-CN"/>
        </w:rPr>
        <w:t xml:space="preserve"> dan </w:t>
      </w:r>
      <w:proofErr w:type="spellStart"/>
      <w:r>
        <w:rPr>
          <w:rFonts w:eastAsia="FrutigerLTStd-Roman"/>
          <w:lang w:val="en-US" w:eastAsia="zh-CN"/>
        </w:rPr>
        <w:t>interkostal</w:t>
      </w:r>
      <w:proofErr w:type="spellEnd"/>
      <w:r>
        <w:rPr>
          <w:rFonts w:eastAsia="FrutigerLTStd-Roman"/>
          <w:lang w:val="en-US" w:eastAsia="zh-CN"/>
        </w:rPr>
        <w:t xml:space="preserve"> </w:t>
      </w:r>
      <w:proofErr w:type="spellStart"/>
      <w:r>
        <w:rPr>
          <w:rFonts w:eastAsia="FrutigerLTStd-Roman"/>
          <w:lang w:val="en-US" w:eastAsia="zh-CN"/>
        </w:rPr>
        <w:t>mempersarafi</w:t>
      </w:r>
      <w:proofErr w:type="spellEnd"/>
      <w:r>
        <w:rPr>
          <w:rFonts w:eastAsia="FrutigerLTStd-Roman"/>
          <w:lang w:val="en-US" w:eastAsia="zh-CN"/>
        </w:rPr>
        <w:t xml:space="preserve"> pleura. </w:t>
      </w:r>
      <w:r w:rsidRPr="00374F09">
        <w:rPr>
          <w:rFonts w:eastAsia="FrutigerLTStd-Roman"/>
          <w:lang w:val="pt-BR"/>
        </w:rPr>
        <w:t xml:space="preserve">Oleh karena itu, blok saraf interkostal mengganggu aliran sinyal nyeri aferen melalui saraf interkostal. </w:t>
      </w:r>
      <w:r>
        <w:rPr>
          <w:rFonts w:eastAsia="FrutigerLTStd-Roman"/>
          <w:lang w:val="id-ID"/>
        </w:rPr>
        <w:t>Hal tersebut</w:t>
      </w:r>
      <w:r w:rsidRPr="00374F09">
        <w:rPr>
          <w:rFonts w:eastAsia="FrutigerLTStd-Roman"/>
          <w:lang w:val="pt-BR"/>
        </w:rPr>
        <w:t xml:space="preserve"> tidak menghalangi rasa sakit visceral. Modalitas pengobatan nyeri lainnya harus ditambahkan untuk memastikan kontrol nyeri yang memadai setelah torakotomi. </w:t>
      </w:r>
      <w:r>
        <w:rPr>
          <w:rFonts w:eastAsia="FrutigerLTStd-Roman"/>
          <w:lang w:val="en-US"/>
        </w:rPr>
        <w:t xml:space="preserve">Obat nonopioid </w:t>
      </w:r>
      <w:proofErr w:type="spellStart"/>
      <w:r>
        <w:rPr>
          <w:rFonts w:eastAsia="FrutigerLTStd-Roman"/>
          <w:lang w:val="en-US"/>
        </w:rPr>
        <w:t>intraoperatif</w:t>
      </w:r>
      <w:proofErr w:type="spellEnd"/>
      <w:r>
        <w:rPr>
          <w:rFonts w:eastAsia="FrutigerLTStd-Roman"/>
          <w:lang w:val="en-US"/>
        </w:rPr>
        <w:t xml:space="preserve"> </w:t>
      </w:r>
      <w:proofErr w:type="spellStart"/>
      <w:r>
        <w:rPr>
          <w:rFonts w:eastAsia="FrutigerLTStd-Roman"/>
          <w:lang w:val="en-US"/>
        </w:rPr>
        <w:t>seperti</w:t>
      </w:r>
      <w:proofErr w:type="spellEnd"/>
      <w:r>
        <w:rPr>
          <w:rFonts w:eastAsia="FrutigerLTStd-Roman"/>
          <w:lang w:val="en-US"/>
        </w:rPr>
        <w:t xml:space="preserve"> </w:t>
      </w:r>
      <w:r>
        <w:rPr>
          <w:rFonts w:eastAsiaTheme="minorEastAsia"/>
          <w:lang w:val="id-ID"/>
        </w:rPr>
        <w:t>d</w:t>
      </w:r>
      <w:proofErr w:type="spellStart"/>
      <w:r>
        <w:rPr>
          <w:rFonts w:eastAsiaTheme="minorEastAsia"/>
          <w:lang w:val="en-US"/>
        </w:rPr>
        <w:t>exmedetomidine</w:t>
      </w:r>
      <w:proofErr w:type="spellEnd"/>
      <w:r>
        <w:rPr>
          <w:rFonts w:eastAsia="FrutigerLTStd-Roman"/>
          <w:lang w:val="en-US"/>
        </w:rPr>
        <w:t xml:space="preserve"> </w:t>
      </w:r>
      <w:r>
        <w:rPr>
          <w:rFonts w:eastAsia="FrutigerLTStd-Roman"/>
          <w:lang w:val="id-ID"/>
        </w:rPr>
        <w:t>menghambat</w:t>
      </w:r>
      <w:r>
        <w:rPr>
          <w:rFonts w:eastAsia="FrutigerLTStd-Roman"/>
          <w:lang w:val="en-US"/>
        </w:rPr>
        <w:t xml:space="preserve"> </w:t>
      </w:r>
      <w:proofErr w:type="spellStart"/>
      <w:r>
        <w:rPr>
          <w:rFonts w:eastAsia="FrutigerLTStd-Roman"/>
          <w:lang w:val="en-US"/>
        </w:rPr>
        <w:t>peningkatan</w:t>
      </w:r>
      <w:proofErr w:type="spellEnd"/>
      <w:r>
        <w:rPr>
          <w:rFonts w:eastAsia="FrutigerLTStd-Roman"/>
          <w:lang w:val="en-US"/>
        </w:rPr>
        <w:t xml:space="preserve"> MAP dan </w:t>
      </w:r>
      <w:r>
        <w:rPr>
          <w:rFonts w:eastAsia="FrutigerLTStd-Roman"/>
          <w:lang w:val="id-ID"/>
        </w:rPr>
        <w:t>denyut jantung</w:t>
      </w:r>
      <w:r>
        <w:rPr>
          <w:rFonts w:eastAsia="FrutigerLTStd-Roman"/>
          <w:lang w:val="en-US"/>
        </w:rPr>
        <w:t xml:space="preserve"> untuk </w:t>
      </w:r>
      <w:proofErr w:type="spellStart"/>
      <w:r>
        <w:rPr>
          <w:rFonts w:eastAsia="FrutigerLTStd-Roman"/>
          <w:lang w:val="en-US"/>
        </w:rPr>
        <w:t>mempertahankan</w:t>
      </w:r>
      <w:proofErr w:type="spellEnd"/>
      <w:r>
        <w:rPr>
          <w:rFonts w:eastAsia="FrutigerLTStd-Roman"/>
          <w:lang w:val="en-US"/>
        </w:rPr>
        <w:t xml:space="preserve"> </w:t>
      </w:r>
      <w:proofErr w:type="spellStart"/>
      <w:r>
        <w:rPr>
          <w:rFonts w:eastAsia="FrutigerLTStd-Roman"/>
          <w:lang w:val="en-US"/>
        </w:rPr>
        <w:t>efek</w:t>
      </w:r>
      <w:proofErr w:type="spellEnd"/>
      <w:r>
        <w:rPr>
          <w:rFonts w:eastAsia="FrutigerLTStd-Roman"/>
          <w:lang w:val="en-US"/>
        </w:rPr>
        <w:t xml:space="preserve"> </w:t>
      </w:r>
      <w:proofErr w:type="spellStart"/>
      <w:r>
        <w:rPr>
          <w:rFonts w:eastAsia="FrutigerLTStd-Roman"/>
          <w:lang w:val="en-US"/>
        </w:rPr>
        <w:t>antino</w:t>
      </w:r>
      <w:proofErr w:type="spellEnd"/>
      <w:r>
        <w:rPr>
          <w:rFonts w:eastAsia="FrutigerLTStd-Roman"/>
          <w:lang w:val="id-ID"/>
        </w:rPr>
        <w:t>s</w:t>
      </w:r>
      <w:proofErr w:type="spellStart"/>
      <w:r>
        <w:rPr>
          <w:rFonts w:eastAsia="FrutigerLTStd-Roman"/>
          <w:lang w:val="en-US"/>
        </w:rPr>
        <w:t>i</w:t>
      </w:r>
      <w:proofErr w:type="spellEnd"/>
      <w:r>
        <w:rPr>
          <w:rFonts w:eastAsia="FrutigerLTStd-Roman"/>
          <w:lang w:val="id-ID"/>
        </w:rPr>
        <w:t>s</w:t>
      </w:r>
      <w:proofErr w:type="spellStart"/>
      <w:r>
        <w:rPr>
          <w:rFonts w:eastAsia="FrutigerLTStd-Roman"/>
          <w:lang w:val="en-US"/>
        </w:rPr>
        <w:t>epti</w:t>
      </w:r>
      <w:proofErr w:type="spellEnd"/>
      <w:r>
        <w:rPr>
          <w:rFonts w:eastAsia="FrutigerLTStd-Roman"/>
          <w:lang w:val="id-ID"/>
        </w:rPr>
        <w:t>f.</w:t>
      </w:r>
      <w:r>
        <w:rPr>
          <w:rFonts w:eastAsia="FrutigerLTStd-Roman"/>
          <w:lang w:val="en-US"/>
        </w:rPr>
        <w:t xml:space="preserve"> </w:t>
      </w:r>
      <w:r>
        <w:rPr>
          <w:rFonts w:eastAsiaTheme="minorEastAsia"/>
          <w:lang w:val="en-US"/>
        </w:rPr>
        <w:t>Dexmedetomidine</w:t>
      </w:r>
      <w:r>
        <w:rPr>
          <w:rFonts w:eastAsia="FrutigerLTStd-Roman"/>
          <w:lang w:val="en-US"/>
        </w:rPr>
        <w:t xml:space="preserve"> </w:t>
      </w:r>
      <w:proofErr w:type="spellStart"/>
      <w:r>
        <w:rPr>
          <w:rFonts w:eastAsia="FrutigerLTStd-Roman"/>
          <w:lang w:val="en-US"/>
        </w:rPr>
        <w:t>menurunkan</w:t>
      </w:r>
      <w:proofErr w:type="spellEnd"/>
      <w:r>
        <w:rPr>
          <w:rFonts w:eastAsia="FrutigerLTStd-Roman"/>
          <w:lang w:val="en-US"/>
        </w:rPr>
        <w:t xml:space="preserve"> </w:t>
      </w:r>
      <w:proofErr w:type="spellStart"/>
      <w:r>
        <w:rPr>
          <w:rFonts w:eastAsia="FrutigerLTStd-Roman"/>
          <w:lang w:val="en-US"/>
        </w:rPr>
        <w:t>pelepasan</w:t>
      </w:r>
      <w:proofErr w:type="spellEnd"/>
      <w:r>
        <w:rPr>
          <w:rFonts w:eastAsia="FrutigerLTStd-Roman"/>
          <w:lang w:val="en-US"/>
        </w:rPr>
        <w:t xml:space="preserve"> </w:t>
      </w:r>
      <w:proofErr w:type="spellStart"/>
      <w:r>
        <w:rPr>
          <w:rFonts w:eastAsia="FrutigerLTStd-Roman"/>
          <w:lang w:val="en-US"/>
        </w:rPr>
        <w:t>noradrenergik</w:t>
      </w:r>
      <w:proofErr w:type="spellEnd"/>
      <w:r>
        <w:rPr>
          <w:rFonts w:eastAsia="FrutigerLTStd-Roman"/>
          <w:lang w:val="en-US"/>
        </w:rPr>
        <w:t xml:space="preserve"> </w:t>
      </w:r>
      <w:proofErr w:type="spellStart"/>
      <w:r>
        <w:rPr>
          <w:rFonts w:eastAsia="FrutigerLTStd-Roman"/>
          <w:lang w:val="en-US"/>
        </w:rPr>
        <w:t>dari</w:t>
      </w:r>
      <w:proofErr w:type="spellEnd"/>
      <w:r>
        <w:rPr>
          <w:rFonts w:eastAsia="FrutigerLTStd-Roman"/>
          <w:lang w:val="en-US"/>
        </w:rPr>
        <w:t xml:space="preserve"> area </w:t>
      </w:r>
      <w:proofErr w:type="spellStart"/>
      <w:r>
        <w:rPr>
          <w:rFonts w:eastAsia="FrutigerLTStd-Roman"/>
          <w:lang w:val="en-US"/>
        </w:rPr>
        <w:t>preoptik</w:t>
      </w:r>
      <w:proofErr w:type="spellEnd"/>
      <w:r>
        <w:rPr>
          <w:rFonts w:eastAsia="FrutigerLTStd-Roman"/>
          <w:lang w:val="en-US"/>
        </w:rPr>
        <w:t xml:space="preserve"> </w:t>
      </w:r>
      <w:proofErr w:type="spellStart"/>
      <w:r>
        <w:rPr>
          <w:rFonts w:eastAsia="FrutigerLTStd-Roman"/>
          <w:lang w:val="en-US"/>
        </w:rPr>
        <w:t>hipotalamus</w:t>
      </w:r>
      <w:proofErr w:type="spellEnd"/>
      <w:r>
        <w:rPr>
          <w:rFonts w:eastAsia="FrutigerLTStd-Roman"/>
          <w:lang w:val="en-US"/>
        </w:rPr>
        <w:t xml:space="preserve">, dan dengan </w:t>
      </w:r>
      <w:proofErr w:type="spellStart"/>
      <w:r>
        <w:rPr>
          <w:rFonts w:eastAsia="FrutigerLTStd-Roman"/>
          <w:lang w:val="en-US"/>
        </w:rPr>
        <w:t>demikian</w:t>
      </w:r>
      <w:proofErr w:type="spellEnd"/>
      <w:r>
        <w:rPr>
          <w:rFonts w:eastAsia="FrutigerLTStd-Roman"/>
          <w:lang w:val="en-US"/>
        </w:rPr>
        <w:t xml:space="preserve">, </w:t>
      </w:r>
      <w:proofErr w:type="spellStart"/>
      <w:r>
        <w:rPr>
          <w:rFonts w:eastAsia="FrutigerLTStd-Roman"/>
          <w:lang w:val="en-US"/>
        </w:rPr>
        <w:t>menghambat</w:t>
      </w:r>
      <w:proofErr w:type="spellEnd"/>
      <w:r>
        <w:rPr>
          <w:rFonts w:eastAsia="FrutigerLTStd-Roman"/>
          <w:lang w:val="en-US"/>
        </w:rPr>
        <w:t xml:space="preserve"> </w:t>
      </w:r>
      <w:proofErr w:type="spellStart"/>
      <w:r>
        <w:rPr>
          <w:rFonts w:eastAsia="FrutigerLTStd-Roman"/>
          <w:lang w:val="en-US"/>
        </w:rPr>
        <w:t>proyeksi</w:t>
      </w:r>
      <w:proofErr w:type="spellEnd"/>
      <w:r>
        <w:rPr>
          <w:rFonts w:eastAsia="FrutigerLTStd-Roman"/>
          <w:lang w:val="en-US"/>
        </w:rPr>
        <w:t xml:space="preserve"> </w:t>
      </w:r>
      <w:proofErr w:type="spellStart"/>
      <w:r>
        <w:rPr>
          <w:rFonts w:eastAsia="FrutigerLTStd-Roman"/>
          <w:lang w:val="en-US"/>
        </w:rPr>
        <w:t>penghambatan</w:t>
      </w:r>
      <w:proofErr w:type="spellEnd"/>
      <w:r>
        <w:rPr>
          <w:rFonts w:eastAsia="FrutigerLTStd-Roman"/>
          <w:lang w:val="en-US"/>
        </w:rPr>
        <w:t xml:space="preserve"> </w:t>
      </w:r>
      <w:proofErr w:type="spellStart"/>
      <w:r>
        <w:rPr>
          <w:rFonts w:eastAsia="FrutigerLTStd-Roman"/>
          <w:lang w:val="en-US"/>
        </w:rPr>
        <w:t>galalergik</w:t>
      </w:r>
      <w:proofErr w:type="spellEnd"/>
      <w:r>
        <w:rPr>
          <w:rFonts w:eastAsia="FrutigerLTStd-Roman"/>
          <w:lang w:val="en-US"/>
        </w:rPr>
        <w:t xml:space="preserve"> atau </w:t>
      </w:r>
      <w:proofErr w:type="spellStart"/>
      <w:r>
        <w:rPr>
          <w:rFonts w:eastAsia="FrutigerLTStd-Roman"/>
          <w:lang w:val="en-US"/>
        </w:rPr>
        <w:t>GABAergik</w:t>
      </w:r>
      <w:proofErr w:type="spellEnd"/>
      <w:r>
        <w:rPr>
          <w:rFonts w:eastAsia="FrutigerLTStd-Roman"/>
          <w:lang w:val="en-US"/>
        </w:rPr>
        <w:t xml:space="preserve"> ke nucleus </w:t>
      </w:r>
      <w:proofErr w:type="spellStart"/>
      <w:r>
        <w:rPr>
          <w:rFonts w:eastAsia="FrutigerLTStd-Roman"/>
          <w:lang w:val="en-US"/>
        </w:rPr>
        <w:t>sensorik</w:t>
      </w:r>
      <w:proofErr w:type="spellEnd"/>
      <w:r>
        <w:rPr>
          <w:rFonts w:eastAsia="FrutigerLTStd-Roman"/>
          <w:lang w:val="en-US"/>
        </w:rPr>
        <w:t xml:space="preserve"> primer </w:t>
      </w:r>
      <w:proofErr w:type="spellStart"/>
      <w:r>
        <w:rPr>
          <w:rFonts w:eastAsia="FrutigerLTStd-Roman"/>
          <w:lang w:val="en-US"/>
        </w:rPr>
        <w:t>dari</w:t>
      </w:r>
      <w:proofErr w:type="spellEnd"/>
      <w:r>
        <w:rPr>
          <w:rFonts w:eastAsia="FrutigerLTStd-Roman"/>
          <w:lang w:val="en-US"/>
        </w:rPr>
        <w:t xml:space="preserve"> pons dan </w:t>
      </w:r>
      <w:proofErr w:type="spellStart"/>
      <w:r>
        <w:rPr>
          <w:rFonts w:eastAsia="FrutigerLTStd-Roman"/>
          <w:lang w:val="en-US"/>
        </w:rPr>
        <w:t>otak</w:t>
      </w:r>
      <w:proofErr w:type="spellEnd"/>
      <w:r>
        <w:rPr>
          <w:rFonts w:eastAsia="FrutigerLTStd-Roman"/>
          <w:lang w:val="en-US"/>
        </w:rPr>
        <w:t xml:space="preserve"> tengah.</w:t>
      </w:r>
      <w:r>
        <w:rPr>
          <w:rFonts w:eastAsia="FrutigerLTStd-Roman"/>
          <w:lang w:val="en-US"/>
        </w:rPr>
        <w:fldChar w:fldCharType="begin" w:fldLock="1"/>
      </w:r>
      <w:r>
        <w:rPr>
          <w:rFonts w:eastAsia="FrutigerLTStd-Roman"/>
          <w:lang w:val="en-US"/>
        </w:rPr>
        <w:instrText>ADDIN CSL_CITATION {"citationItems":[{"id":"ITEM-1","itemData":{"DOI":"10.1002/iub.1713","ISSN":"15216551","PMID":"29341457","abstract":"Neuropathic pain is a complex, chronic pain condition and the treatment is a major clinical challenge. Recent studies have shown that two FDA approved drugs dexmedetomidine (DEX) and midazolam (MZL), may be useful in treating neuropathic pain, but the mechanism is not fully dementated. Here, we investigated the effects and mechanisms of DEX and MZL treatment in the peripheral nerve injury model. Intramuscular injection with DEX and MZL attenuated the development of mechanical allodynia and thermal hyperalgesia in rats with chronic constriction injury (CCI). Concurrently, the expression of NMDA receptor subunit 2B (NR2B), GABA (A) receptor subunit alpha1 (GABAA-α1), and Sonic Hedgehog (SHH) displayed different temporal patterns in the thalamus and the ipsilateral dorsal horn of the spinal cord after CCI. Such that (1) NR2B expression was decreased on day 1 and 14, whereas GABAA-α1 expression was increased on day 1 in the thalamus, and NR2B expression was decreased on day 1, whereas GABAA-α1 expression was increased on day 1 and day 30 in the ipsilateral spinal cord dorsal horn after DEX treatment. (2) NR2B expression was increased on day 1, then decreased on day 14 and returned to baseline on day30, whereas GABAA-α1 expression was no significant changes on day 1, 14, 30 in the thalamus, and NR2B expression was decreased on day 14 and 30, whereas GABAA-α1 expression was no changes on day 1 and 14 but increased on day 30 after MZL treatment. Furthermore, the mechanical allodynia was significantly attenuated after PUR administration. Meanwhile the expression of NR2B was significantly decreased, and the expression of GABAA-α1 was significantly increased, in the thalamus and in the ipsilateral spinal cord dorsal horn when detected on postoperative day 1, 7, and 14. Our findings indicate that DEX and MZL have different mechanisms in CCI rats, suggesting different strategies could be considered in managing neuropathic pain in different individuals. © 2018 IUBMB Life, 70(2):143–152, 2018.","author":[{"dropping-particle":"","family":"Chen","given":"Jiayu","non-dropping-particle":"","parse-names":false,"suffix":""},{"dropping-particle":"","family":"Li","given":"Hanjun","non-dropping-particle":"","parse-names":false,"suffix":""},{"dropping-particle":"","family":"Lim","given":"Grewo","non-dropping-particle":"","parse-names":false,"suffix":""},{"dropping-particle":"","family":"McCabe","given":"Michael F.","non-dropping-particle":"","parse-names":false,"suffix":""},{"dropping-particle":"","family":"Zhao","given":"Wei","non-dropping-particle":"","parse-names":false,"suffix":""},{"dropping-particle":"","family":"Yang","given":"Yunli","non-dropping-particle":"","parse-names":false,"suffix":""},{"dropping-particle":"","family":"Ma","given":"Weiqing","non-dropping-particle":"","parse-names":false,"suffix":""},{"dropping-particle":"","family":"Li","given":"Na","non-dropping-particle":"","parse-names":false,"suffix":""}],"container-title":"IUBMB Life","id":"ITEM-1","issue":"2","issued":{"date-parts":[["2018"]]},"page":"143-152","title":"Different effects of dexmedetomidine and midazolam on the expression of NR2B and GABAA-α1 following peripheral nerve injury in rats","type":"article-journal","volume":"70"},"uris":["http://www.mendeley.com/documents/?uuid=02c4a95b-5229-43cc-a596-775eaa00a4aa"]}],"mendeley":{"formattedCitation":"&lt;sup&gt;43&lt;/sup&gt;","plainTextFormattedCitation":"43","previouslyFormattedCitation":"&lt;sup&gt;43&lt;/sup&gt;"},"properties":{"noteIndex":0},"schema":"https://github.com/citation-style-language/schema/raw/master/csl-citation.json"}</w:instrText>
      </w:r>
      <w:r>
        <w:rPr>
          <w:rFonts w:eastAsia="FrutigerLTStd-Roman"/>
          <w:lang w:val="en-US"/>
        </w:rPr>
        <w:fldChar w:fldCharType="separate"/>
      </w:r>
      <w:r>
        <w:rPr>
          <w:rFonts w:eastAsia="FrutigerLTStd-Roman"/>
          <w:noProof/>
          <w:vertAlign w:val="superscript"/>
          <w:lang w:val="en-US"/>
        </w:rPr>
        <w:t>43</w:t>
      </w:r>
      <w:r>
        <w:rPr>
          <w:rFonts w:eastAsia="FrutigerLTStd-Roman"/>
          <w:lang w:val="en-US"/>
        </w:rPr>
        <w:fldChar w:fldCharType="end"/>
      </w:r>
      <w:r>
        <w:rPr>
          <w:rFonts w:eastAsia="FrutigerLTStd-Roman"/>
          <w:lang w:val="en-US"/>
        </w:rPr>
        <w:t xml:space="preserve"> </w:t>
      </w:r>
    </w:p>
    <w:p w14:paraId="5C0EEC09" w14:textId="77777777" w:rsidR="003B79BC" w:rsidRDefault="003B79BC">
      <w:pPr>
        <w:spacing w:line="360" w:lineRule="auto"/>
        <w:ind w:firstLine="709"/>
        <w:jc w:val="both"/>
        <w:rPr>
          <w:rStyle w:val="markedcontent"/>
          <w:rFonts w:eastAsiaTheme="minorEastAsia"/>
          <w:lang w:eastAsia="zh-CN"/>
        </w:rPr>
      </w:pPr>
    </w:p>
    <w:p w14:paraId="4381EE96" w14:textId="77777777" w:rsidR="003B79BC" w:rsidRDefault="00000000">
      <w:pPr>
        <w:pStyle w:val="Heading3"/>
        <w:numPr>
          <w:ilvl w:val="0"/>
          <w:numId w:val="9"/>
        </w:numPr>
        <w:ind w:left="426" w:hanging="426"/>
        <w:rPr>
          <w:lang w:eastAsia="zh-CN"/>
        </w:rPr>
      </w:pPr>
      <w:bookmarkStart w:id="38" w:name="_Toc158290249"/>
      <w:r>
        <w:rPr>
          <w:rFonts w:eastAsiaTheme="minorEastAsia"/>
          <w:lang w:val="id-ID" w:eastAsia="zh-CN"/>
        </w:rPr>
        <w:t xml:space="preserve">Farmakologi </w:t>
      </w:r>
      <w:r>
        <w:t>Dexme</w:t>
      </w:r>
      <w:r>
        <w:rPr>
          <w:lang w:val="en-US"/>
        </w:rPr>
        <w:t>de</w:t>
      </w:r>
      <w:r>
        <w:t>tomidine</w:t>
      </w:r>
      <w:bookmarkEnd w:id="38"/>
    </w:p>
    <w:p w14:paraId="6AAAB7BF" w14:textId="77777777" w:rsidR="003B79BC" w:rsidRPr="00F426C1" w:rsidRDefault="00000000">
      <w:pPr>
        <w:spacing w:line="360" w:lineRule="auto"/>
        <w:ind w:firstLine="709"/>
        <w:jc w:val="both"/>
        <w:rPr>
          <w:rFonts w:eastAsiaTheme="minorEastAsia"/>
          <w:lang w:val="id-ID"/>
        </w:rPr>
      </w:pPr>
      <w:r>
        <w:rPr>
          <w:color w:val="000000"/>
          <w:lang w:val="en-US"/>
        </w:rPr>
        <w:t xml:space="preserve">Dexmedetomidine </w:t>
      </w:r>
      <w:proofErr w:type="spellStart"/>
      <w:r>
        <w:rPr>
          <w:color w:val="000000"/>
          <w:lang w:val="en-US"/>
        </w:rPr>
        <w:t>adalah</w:t>
      </w:r>
      <w:proofErr w:type="spellEnd"/>
      <w:r>
        <w:rPr>
          <w:color w:val="000000"/>
          <w:lang w:val="en-US"/>
        </w:rPr>
        <w:t xml:space="preserve"> obat yang sangat </w:t>
      </w:r>
      <w:proofErr w:type="spellStart"/>
      <w:r>
        <w:rPr>
          <w:color w:val="000000"/>
          <w:lang w:val="en-US"/>
        </w:rPr>
        <w:t>lipofilik</w:t>
      </w:r>
      <w:proofErr w:type="spellEnd"/>
      <w:r>
        <w:rPr>
          <w:color w:val="000000"/>
          <w:lang w:val="en-US"/>
        </w:rPr>
        <w:t xml:space="preserve"> dengan volume </w:t>
      </w:r>
      <w:proofErr w:type="spellStart"/>
      <w:r>
        <w:rPr>
          <w:color w:val="000000"/>
          <w:lang w:val="en-US"/>
        </w:rPr>
        <w:t>distribusi</w:t>
      </w:r>
      <w:proofErr w:type="spellEnd"/>
      <w:r>
        <w:rPr>
          <w:color w:val="000000"/>
          <w:lang w:val="en-US"/>
        </w:rPr>
        <w:t xml:space="preserve"> yang </w:t>
      </w:r>
      <w:proofErr w:type="spellStart"/>
      <w:r>
        <w:rPr>
          <w:color w:val="000000"/>
          <w:lang w:val="en-US"/>
        </w:rPr>
        <w:t>tinggi</w:t>
      </w:r>
      <w:proofErr w:type="spellEnd"/>
      <w:r>
        <w:rPr>
          <w:color w:val="000000"/>
          <w:lang w:val="en-US"/>
        </w:rPr>
        <w:t xml:space="preserve"> (VD). Dexmedetomidine </w:t>
      </w:r>
      <w:proofErr w:type="spellStart"/>
      <w:r>
        <w:rPr>
          <w:color w:val="000000"/>
          <w:lang w:val="en-US"/>
        </w:rPr>
        <w:t>sebagian</w:t>
      </w:r>
      <w:proofErr w:type="spellEnd"/>
      <w:r>
        <w:rPr>
          <w:color w:val="000000"/>
          <w:lang w:val="en-US"/>
        </w:rPr>
        <w:t xml:space="preserve"> </w:t>
      </w:r>
      <w:proofErr w:type="spellStart"/>
      <w:r>
        <w:rPr>
          <w:color w:val="000000"/>
          <w:lang w:val="en-US"/>
        </w:rPr>
        <w:t>besar</w:t>
      </w:r>
      <w:proofErr w:type="spellEnd"/>
      <w:r>
        <w:rPr>
          <w:color w:val="000000"/>
          <w:lang w:val="en-US"/>
        </w:rPr>
        <w:t xml:space="preserve"> </w:t>
      </w:r>
      <w:proofErr w:type="spellStart"/>
      <w:r>
        <w:rPr>
          <w:color w:val="000000"/>
          <w:lang w:val="en-US"/>
        </w:rPr>
        <w:t>terikat</w:t>
      </w:r>
      <w:proofErr w:type="spellEnd"/>
      <w:r>
        <w:rPr>
          <w:color w:val="000000"/>
          <w:lang w:val="en-US"/>
        </w:rPr>
        <w:t xml:space="preserve"> pada protein plasma, </w:t>
      </w:r>
      <w:proofErr w:type="spellStart"/>
      <w:r>
        <w:rPr>
          <w:rFonts w:eastAsiaTheme="minorEastAsia"/>
          <w:lang w:val="en-US"/>
        </w:rPr>
        <w:t>terutama</w:t>
      </w:r>
      <w:proofErr w:type="spellEnd"/>
      <w:r>
        <w:rPr>
          <w:color w:val="000000"/>
          <w:lang w:val="en-US"/>
        </w:rPr>
        <w:t xml:space="preserve"> albumin dan</w:t>
      </w:r>
      <w:r>
        <w:rPr>
          <w:color w:val="000000"/>
          <w:lang w:val="id-ID"/>
        </w:rPr>
        <w:t xml:space="preserve"> </w:t>
      </w:r>
      <w:r>
        <w:rPr>
          <w:color w:val="000000"/>
          <w:lang w:val="en-US"/>
        </w:rPr>
        <w:t xml:space="preserve">A1glikoprotein. Dexmedetomidine </w:t>
      </w:r>
      <w:proofErr w:type="spellStart"/>
      <w:r>
        <w:rPr>
          <w:color w:val="000000"/>
          <w:lang w:val="en-US"/>
        </w:rPr>
        <w:t>mudah</w:t>
      </w:r>
      <w:proofErr w:type="spellEnd"/>
      <w:r>
        <w:rPr>
          <w:color w:val="000000"/>
          <w:lang w:val="en-US"/>
        </w:rPr>
        <w:t xml:space="preserve"> </w:t>
      </w:r>
      <w:proofErr w:type="spellStart"/>
      <w:r>
        <w:rPr>
          <w:color w:val="000000"/>
          <w:lang w:val="en-US"/>
        </w:rPr>
        <w:t>melintasi</w:t>
      </w:r>
      <w:proofErr w:type="spellEnd"/>
      <w:r>
        <w:rPr>
          <w:color w:val="000000"/>
          <w:lang w:val="en-US"/>
        </w:rPr>
        <w:t xml:space="preserve"> dan </w:t>
      </w:r>
      <w:proofErr w:type="spellStart"/>
      <w:r>
        <w:rPr>
          <w:color w:val="000000"/>
          <w:lang w:val="en-US"/>
        </w:rPr>
        <w:t>penghalang</w:t>
      </w:r>
      <w:proofErr w:type="spellEnd"/>
      <w:r>
        <w:rPr>
          <w:color w:val="000000"/>
          <w:lang w:val="en-US"/>
        </w:rPr>
        <w:t xml:space="preserve"> darah </w:t>
      </w:r>
      <w:proofErr w:type="spellStart"/>
      <w:r>
        <w:rPr>
          <w:color w:val="000000"/>
          <w:lang w:val="en-US"/>
        </w:rPr>
        <w:t>otak</w:t>
      </w:r>
      <w:proofErr w:type="spellEnd"/>
      <w:r>
        <w:rPr>
          <w:color w:val="000000"/>
          <w:lang w:val="en-US"/>
        </w:rPr>
        <w:t xml:space="preserve"> dan </w:t>
      </w:r>
      <w:proofErr w:type="spellStart"/>
      <w:r>
        <w:rPr>
          <w:color w:val="000000"/>
          <w:lang w:val="en-US"/>
        </w:rPr>
        <w:t>memiliki</w:t>
      </w:r>
      <w:proofErr w:type="spellEnd"/>
      <w:r>
        <w:rPr>
          <w:color w:val="000000"/>
          <w:lang w:val="en-US"/>
        </w:rPr>
        <w:t xml:space="preserve"> </w:t>
      </w:r>
      <w:r>
        <w:rPr>
          <w:color w:val="000000"/>
          <w:lang w:val="id-ID"/>
        </w:rPr>
        <w:t xml:space="preserve">volume distribusi </w:t>
      </w:r>
      <w:r>
        <w:rPr>
          <w:color w:val="000000"/>
          <w:lang w:val="en-US"/>
        </w:rPr>
        <w:t xml:space="preserve">pada </w:t>
      </w:r>
      <w:proofErr w:type="spellStart"/>
      <w:r>
        <w:rPr>
          <w:color w:val="000000"/>
          <w:lang w:val="en-US"/>
        </w:rPr>
        <w:t>anak-anak</w:t>
      </w:r>
      <w:proofErr w:type="spellEnd"/>
      <w:r>
        <w:rPr>
          <w:color w:val="000000"/>
          <w:lang w:val="en-US"/>
        </w:rPr>
        <w:t xml:space="preserve"> yang </w:t>
      </w:r>
      <w:proofErr w:type="spellStart"/>
      <w:r>
        <w:rPr>
          <w:color w:val="000000"/>
          <w:lang w:val="en-US"/>
        </w:rPr>
        <w:t>lebih</w:t>
      </w:r>
      <w:proofErr w:type="spellEnd"/>
      <w:r>
        <w:rPr>
          <w:color w:val="000000"/>
          <w:lang w:val="en-US"/>
        </w:rPr>
        <w:t xml:space="preserve"> </w:t>
      </w:r>
      <w:proofErr w:type="spellStart"/>
      <w:r>
        <w:rPr>
          <w:color w:val="000000"/>
          <w:lang w:val="en-US"/>
        </w:rPr>
        <w:t>tua</w:t>
      </w:r>
      <w:proofErr w:type="spellEnd"/>
      <w:r>
        <w:rPr>
          <w:color w:val="000000"/>
          <w:lang w:val="en-US"/>
        </w:rPr>
        <w:t xml:space="preserve"> </w:t>
      </w:r>
      <w:proofErr w:type="spellStart"/>
      <w:r>
        <w:rPr>
          <w:color w:val="000000"/>
          <w:lang w:val="en-US"/>
        </w:rPr>
        <w:t>dari</w:t>
      </w:r>
      <w:proofErr w:type="spellEnd"/>
      <w:r>
        <w:rPr>
          <w:color w:val="000000"/>
          <w:lang w:val="en-US"/>
        </w:rPr>
        <w:t xml:space="preserve"> 1 </w:t>
      </w:r>
      <w:proofErr w:type="spellStart"/>
      <w:r>
        <w:rPr>
          <w:color w:val="000000"/>
          <w:lang w:val="en-US"/>
        </w:rPr>
        <w:t>tahun</w:t>
      </w:r>
      <w:proofErr w:type="spellEnd"/>
      <w:r>
        <w:rPr>
          <w:color w:val="000000"/>
          <w:lang w:val="en-US"/>
        </w:rPr>
        <w:t xml:space="preserve"> </w:t>
      </w:r>
      <w:proofErr w:type="spellStart"/>
      <w:r>
        <w:rPr>
          <w:color w:val="000000"/>
          <w:lang w:val="en-US"/>
        </w:rPr>
        <w:t>mirip</w:t>
      </w:r>
      <w:proofErr w:type="spellEnd"/>
      <w:r>
        <w:rPr>
          <w:color w:val="000000"/>
          <w:lang w:val="en-US"/>
        </w:rPr>
        <w:t xml:space="preserve"> dengan </w:t>
      </w:r>
      <w:proofErr w:type="spellStart"/>
      <w:r>
        <w:rPr>
          <w:color w:val="000000"/>
          <w:lang w:val="en-US"/>
        </w:rPr>
        <w:t>nilai</w:t>
      </w:r>
      <w:proofErr w:type="spellEnd"/>
      <w:r>
        <w:rPr>
          <w:color w:val="000000"/>
          <w:lang w:val="en-US"/>
        </w:rPr>
        <w:t xml:space="preserve"> orang </w:t>
      </w:r>
      <w:proofErr w:type="spellStart"/>
      <w:r>
        <w:rPr>
          <w:color w:val="000000"/>
          <w:lang w:val="en-US"/>
        </w:rPr>
        <w:t>dewasa</w:t>
      </w:r>
      <w:proofErr w:type="spellEnd"/>
      <w:r>
        <w:rPr>
          <w:color w:val="000000"/>
          <w:lang w:val="en-US"/>
        </w:rPr>
        <w:t xml:space="preserve">. Dexmedetomidine </w:t>
      </w:r>
      <w:proofErr w:type="spellStart"/>
      <w:r>
        <w:rPr>
          <w:color w:val="000000"/>
          <w:lang w:val="en-US"/>
        </w:rPr>
        <w:t>dipecah</w:t>
      </w:r>
      <w:proofErr w:type="spellEnd"/>
      <w:r>
        <w:rPr>
          <w:color w:val="000000"/>
          <w:lang w:val="en-US"/>
        </w:rPr>
        <w:t xml:space="preserve"> oleh </w:t>
      </w:r>
      <w:proofErr w:type="spellStart"/>
      <w:r>
        <w:rPr>
          <w:color w:val="000000"/>
          <w:lang w:val="en-US"/>
        </w:rPr>
        <w:t>enzim</w:t>
      </w:r>
      <w:proofErr w:type="spellEnd"/>
      <w:r>
        <w:rPr>
          <w:color w:val="000000"/>
          <w:lang w:val="en-US"/>
        </w:rPr>
        <w:t xml:space="preserve"> </w:t>
      </w:r>
      <w:proofErr w:type="spellStart"/>
      <w:r>
        <w:rPr>
          <w:color w:val="000000"/>
          <w:lang w:val="en-US"/>
        </w:rPr>
        <w:t>hati</w:t>
      </w:r>
      <w:proofErr w:type="spellEnd"/>
      <w:r>
        <w:rPr>
          <w:color w:val="000000"/>
          <w:lang w:val="en-US"/>
        </w:rPr>
        <w:t xml:space="preserve"> </w:t>
      </w:r>
      <w:proofErr w:type="spellStart"/>
      <w:r>
        <w:rPr>
          <w:color w:val="000000"/>
          <w:lang w:val="en-US"/>
        </w:rPr>
        <w:t>uridin</w:t>
      </w:r>
      <w:proofErr w:type="spellEnd"/>
      <w:r>
        <w:rPr>
          <w:color w:val="000000"/>
          <w:lang w:val="en-US"/>
        </w:rPr>
        <w:t xml:space="preserve"> 50-diphospho-glucuronosyl-transferase dan </w:t>
      </w:r>
      <w:proofErr w:type="spellStart"/>
      <w:r>
        <w:rPr>
          <w:color w:val="000000"/>
          <w:lang w:val="en-US"/>
        </w:rPr>
        <w:t>sitokrom</w:t>
      </w:r>
      <w:proofErr w:type="spellEnd"/>
      <w:r>
        <w:rPr>
          <w:color w:val="000000"/>
          <w:lang w:val="en-US"/>
        </w:rPr>
        <w:t xml:space="preserve"> P450 (CYP2A6) </w:t>
      </w:r>
      <w:proofErr w:type="spellStart"/>
      <w:r>
        <w:rPr>
          <w:color w:val="000000"/>
          <w:lang w:val="en-US"/>
        </w:rPr>
        <w:t>menjadi</w:t>
      </w:r>
      <w:proofErr w:type="spellEnd"/>
      <w:r>
        <w:rPr>
          <w:color w:val="000000"/>
          <w:lang w:val="en-US"/>
        </w:rPr>
        <w:t xml:space="preserve"> </w:t>
      </w:r>
      <w:proofErr w:type="spellStart"/>
      <w:r>
        <w:rPr>
          <w:color w:val="000000"/>
          <w:lang w:val="en-US"/>
        </w:rPr>
        <w:t>metabolit</w:t>
      </w:r>
      <w:proofErr w:type="spellEnd"/>
      <w:r>
        <w:rPr>
          <w:color w:val="000000"/>
          <w:lang w:val="en-US"/>
        </w:rPr>
        <w:t xml:space="preserve"> tidak </w:t>
      </w:r>
      <w:proofErr w:type="spellStart"/>
      <w:r>
        <w:rPr>
          <w:color w:val="000000"/>
          <w:lang w:val="en-US"/>
        </w:rPr>
        <w:t>aktif</w:t>
      </w:r>
      <w:proofErr w:type="spellEnd"/>
      <w:r>
        <w:rPr>
          <w:color w:val="000000"/>
          <w:lang w:val="en-US"/>
        </w:rPr>
        <w:t xml:space="preserve"> dan </w:t>
      </w:r>
      <w:proofErr w:type="spellStart"/>
      <w:r>
        <w:rPr>
          <w:color w:val="000000"/>
          <w:lang w:val="en-US"/>
        </w:rPr>
        <w:t>glukuronidasi</w:t>
      </w:r>
      <w:proofErr w:type="spellEnd"/>
      <w:r>
        <w:rPr>
          <w:color w:val="000000"/>
          <w:lang w:val="en-US"/>
        </w:rPr>
        <w:t xml:space="preserve"> </w:t>
      </w:r>
      <w:proofErr w:type="spellStart"/>
      <w:r>
        <w:rPr>
          <w:color w:val="000000"/>
          <w:lang w:val="en-US"/>
        </w:rPr>
        <w:t>langsung</w:t>
      </w:r>
      <w:proofErr w:type="spellEnd"/>
      <w:r>
        <w:rPr>
          <w:color w:val="000000"/>
          <w:lang w:val="en-US"/>
        </w:rPr>
        <w:t xml:space="preserve">, yang </w:t>
      </w:r>
      <w:proofErr w:type="spellStart"/>
      <w:r>
        <w:rPr>
          <w:color w:val="000000"/>
          <w:lang w:val="en-US"/>
        </w:rPr>
        <w:t>diekskresikan</w:t>
      </w:r>
      <w:proofErr w:type="spellEnd"/>
      <w:r>
        <w:rPr>
          <w:color w:val="000000"/>
          <w:lang w:val="en-US"/>
        </w:rPr>
        <w:t xml:space="preserve"> dalam </w:t>
      </w:r>
      <w:proofErr w:type="spellStart"/>
      <w:r>
        <w:rPr>
          <w:color w:val="000000"/>
          <w:lang w:val="en-US"/>
        </w:rPr>
        <w:t>empedu</w:t>
      </w:r>
      <w:proofErr w:type="spellEnd"/>
      <w:r>
        <w:rPr>
          <w:color w:val="000000"/>
          <w:lang w:val="en-US"/>
        </w:rPr>
        <w:t xml:space="preserve"> dan </w:t>
      </w:r>
      <w:proofErr w:type="spellStart"/>
      <w:r>
        <w:rPr>
          <w:color w:val="000000"/>
          <w:lang w:val="en-US"/>
        </w:rPr>
        <w:t>melalui</w:t>
      </w:r>
      <w:proofErr w:type="spellEnd"/>
      <w:r>
        <w:rPr>
          <w:color w:val="000000"/>
          <w:lang w:val="en-US"/>
        </w:rPr>
        <w:t xml:space="preserve"> </w:t>
      </w:r>
      <w:proofErr w:type="spellStart"/>
      <w:r>
        <w:rPr>
          <w:color w:val="000000"/>
          <w:lang w:val="en-US"/>
        </w:rPr>
        <w:t>jalur</w:t>
      </w:r>
      <w:proofErr w:type="spellEnd"/>
      <w:r>
        <w:rPr>
          <w:color w:val="000000"/>
          <w:lang w:val="en-US"/>
        </w:rPr>
        <w:t xml:space="preserve"> </w:t>
      </w:r>
      <w:proofErr w:type="spellStart"/>
      <w:r>
        <w:rPr>
          <w:color w:val="000000"/>
          <w:lang w:val="en-US"/>
        </w:rPr>
        <w:t>ginjal</w:t>
      </w:r>
      <w:proofErr w:type="spellEnd"/>
      <w:r>
        <w:rPr>
          <w:color w:val="000000"/>
          <w:lang w:val="en-US"/>
        </w:rPr>
        <w:t>.</w:t>
      </w:r>
      <w:r>
        <w:rPr>
          <w:color w:val="000000"/>
          <w:lang w:val="id-ID"/>
        </w:rPr>
        <w:fldChar w:fldCharType="begin" w:fldLock="1"/>
      </w:r>
      <w:r>
        <w:rPr>
          <w:color w:val="000000"/>
          <w:lang w:val="id-ID"/>
        </w:rPr>
        <w:instrText>ADDIN CSL_CITATION {"citationItems":[{"id":"ITEM-1","itemData":{"DOI":"10.1016/j.bjae.2020.05.004","ISSN":"20585357","author":[{"dropping-particle":"","family":"Lin","given":"R.","non-dropping-particle":"","parse-names":false,"suffix":""},{"dropping-particle":"","family":"Ansermino","given":"J. M.","non-dropping-particle":"","parse-names":false,"suffix":""}],"container-title":"BJA Education","id":"ITEM-1","issue":"10","issued":{"date-parts":[["2020"]]},"page":"348-353","publisher":"Elsevier Ltd","title":"Dexmedetomidine in paediatric anaesthesia","type":"article-journal","volume":"20"},"uris":["http://www.mendeley.com/documents/?uuid=fd8874cb-7019-426e-8746-8c8f47420af2"]}],"mendeley":{"formattedCitation":"&lt;sup&gt;16&lt;/sup&gt;","plainTextFormattedCitation":"16","previouslyFormattedCitation":"&lt;sup&gt;16&lt;/sup&gt;"},"properties":{"noteIndex":0},"schema":"https://github.com/citation-style-language/schema/raw/master/csl-citation.json"}</w:instrText>
      </w:r>
      <w:r>
        <w:rPr>
          <w:color w:val="000000"/>
          <w:lang w:val="id-ID"/>
        </w:rPr>
        <w:fldChar w:fldCharType="separate"/>
      </w:r>
      <w:r>
        <w:rPr>
          <w:noProof/>
          <w:color w:val="000000"/>
          <w:vertAlign w:val="superscript"/>
          <w:lang w:val="id-ID"/>
        </w:rPr>
        <w:t>16</w:t>
      </w:r>
      <w:r>
        <w:rPr>
          <w:color w:val="000000"/>
          <w:lang w:val="id-ID"/>
        </w:rPr>
        <w:fldChar w:fldCharType="end"/>
      </w:r>
      <w:r w:rsidRPr="00F426C1">
        <w:rPr>
          <w:color w:val="000000"/>
          <w:lang w:val="id-ID"/>
        </w:rPr>
        <w:t xml:space="preserve"> </w:t>
      </w:r>
      <w:r>
        <w:rPr>
          <w:color w:val="000000"/>
        </w:rPr>
        <w:t>Onset aksi</w:t>
      </w:r>
      <w:r>
        <w:rPr>
          <w:color w:val="000000"/>
          <w:lang w:val="id-ID"/>
        </w:rPr>
        <w:t xml:space="preserve"> </w:t>
      </w:r>
      <w:r>
        <w:rPr>
          <w:rFonts w:eastAsiaTheme="minorEastAsia"/>
          <w:lang w:val="id-ID"/>
        </w:rPr>
        <w:t>d</w:t>
      </w:r>
      <w:r w:rsidRPr="00F426C1">
        <w:rPr>
          <w:rFonts w:eastAsiaTheme="minorEastAsia"/>
          <w:lang w:val="id-ID"/>
        </w:rPr>
        <w:t>exmedetomidine</w:t>
      </w:r>
      <w:r>
        <w:rPr>
          <w:color w:val="000000"/>
        </w:rPr>
        <w:t xml:space="preserve"> relatif lambat dan waktu paruh yang sensitif konteks kira-kira 4 menit setelah infus 10 menit. </w:t>
      </w:r>
      <w:r>
        <w:rPr>
          <w:rFonts w:eastAsiaTheme="minorEastAsia"/>
          <w:lang w:val="id-ID" w:eastAsia="zh-CN"/>
        </w:rPr>
        <w:t>D</w:t>
      </w:r>
      <w:proofErr w:type="spellStart"/>
      <w:r>
        <w:rPr>
          <w:rFonts w:eastAsiaTheme="minorEastAsia"/>
          <w:lang w:val="en-US" w:eastAsia="zh-CN"/>
        </w:rPr>
        <w:t>exmedetomidine</w:t>
      </w:r>
      <w:proofErr w:type="spellEnd"/>
      <w:r>
        <w:rPr>
          <w:color w:val="000000"/>
          <w:lang w:eastAsia="zh-CN"/>
        </w:rPr>
        <w:t xml:space="preserve"> 1600 kali lebih selektif untuk</w:t>
      </w:r>
      <w:r>
        <w:rPr>
          <w:color w:val="000000"/>
          <w:lang w:val="id-ID" w:eastAsia="zh-CN"/>
        </w:rPr>
        <w:t xml:space="preserve"> </w:t>
      </w:r>
      <w:r>
        <w:rPr>
          <w:color w:val="000000"/>
        </w:rPr>
        <w:t>α</w:t>
      </w:r>
      <w:r>
        <w:rPr>
          <w:color w:val="000000"/>
          <w:lang w:eastAsia="zh-CN"/>
        </w:rPr>
        <w:t>2</w:t>
      </w:r>
      <w:r>
        <w:rPr>
          <w:color w:val="000000"/>
          <w:lang w:val="id-ID" w:eastAsia="zh-CN"/>
        </w:rPr>
        <w:t xml:space="preserve"> </w:t>
      </w:r>
      <w:r>
        <w:rPr>
          <w:color w:val="000000"/>
          <w:lang w:eastAsia="zh-CN"/>
        </w:rPr>
        <w:lastRenderedPageBreak/>
        <w:t>dibandingkan</w:t>
      </w:r>
      <w:r>
        <w:rPr>
          <w:color w:val="000000"/>
          <w:lang w:val="id-ID" w:eastAsia="zh-CN"/>
        </w:rPr>
        <w:t xml:space="preserve"> </w:t>
      </w:r>
      <w:r>
        <w:rPr>
          <w:color w:val="000000"/>
        </w:rPr>
        <w:t>α</w:t>
      </w:r>
      <w:r>
        <w:rPr>
          <w:color w:val="000000"/>
          <w:lang w:eastAsia="zh-CN"/>
        </w:rPr>
        <w:t>1</w:t>
      </w:r>
      <w:r>
        <w:rPr>
          <w:color w:val="000000"/>
          <w:lang w:val="id-ID" w:eastAsia="zh-CN"/>
        </w:rPr>
        <w:t xml:space="preserve"> </w:t>
      </w:r>
      <w:r>
        <w:rPr>
          <w:color w:val="000000"/>
          <w:lang w:eastAsia="zh-CN"/>
        </w:rPr>
        <w:t>reseptor dan oleh karena itu memiliki efek samping yang sangat sedikit dan memberikan hasil yang dapat diprediksi.</w:t>
      </w:r>
      <w:r>
        <w:rPr>
          <w:color w:val="000000"/>
        </w:rPr>
        <w:fldChar w:fldCharType="begin" w:fldLock="1"/>
      </w:r>
      <w:r>
        <w:rPr>
          <w:color w:val="000000"/>
          <w:lang w:eastAsia="zh-CN"/>
        </w:rPr>
        <w:instrText>ADDIN CSL_CITATION {"citationItems":[{"id":"ITEM-1","itemData":{"DOI":"10.1016/B978-0-7020-5401-3.00003-5","author":[{"dropping-particle":"","family":"Scully","given":"Crispian","non-dropping-particle":"","parse-names":false,"suffix":""}],"id":"ITEM-1","issued":{"date-parts":[["2014"]]},"number-of-pages":"1-16","publisher":"Scully's Medical Problems in Dentistry E-Book","title":"Perioperative Care","type":"book"},"uris":["http://www.mendeley.com/documents/?uuid=c399063b-8120-4813-ae17-9a9c4327db2b"]}],"mendeley":{"formattedCitation":"&lt;sup&gt;44&lt;/sup&gt;","plainTextFormattedCitation":"44","previouslyFormattedCitation":"&lt;sup&gt;44&lt;/sup&gt;"},"properties":{"noteIndex":0},"schema":"https://github.com/citation-style-language/schema/raw/master/csl-citation.json"}</w:instrText>
      </w:r>
      <w:r>
        <w:rPr>
          <w:color w:val="000000"/>
        </w:rPr>
        <w:fldChar w:fldCharType="separate"/>
      </w:r>
      <w:r>
        <w:rPr>
          <w:noProof/>
          <w:color w:val="000000"/>
          <w:vertAlign w:val="superscript"/>
          <w:lang w:eastAsia="zh-CN"/>
        </w:rPr>
        <w:t>44</w:t>
      </w:r>
      <w:r>
        <w:rPr>
          <w:color w:val="000000"/>
        </w:rPr>
        <w:fldChar w:fldCharType="end"/>
      </w:r>
      <w:r>
        <w:rPr>
          <w:color w:val="000000"/>
          <w:lang w:val="id-ID" w:eastAsia="zh-CN"/>
        </w:rPr>
        <w:t xml:space="preserve"> </w:t>
      </w:r>
      <w:r>
        <w:rPr>
          <w:color w:val="000000"/>
          <w:lang w:val="en-US" w:eastAsia="zh-CN"/>
        </w:rPr>
        <w:t xml:space="preserve">Waktu </w:t>
      </w:r>
      <w:proofErr w:type="spellStart"/>
      <w:r>
        <w:rPr>
          <w:color w:val="000000"/>
          <w:lang w:val="en-US" w:eastAsia="zh-CN"/>
        </w:rPr>
        <w:t>paruh</w:t>
      </w:r>
      <w:proofErr w:type="spellEnd"/>
      <w:r>
        <w:rPr>
          <w:color w:val="000000"/>
          <w:lang w:val="en-US" w:eastAsia="zh-CN"/>
        </w:rPr>
        <w:t xml:space="preserve"> rata-rata</w:t>
      </w:r>
      <w:r>
        <w:rPr>
          <w:color w:val="000000"/>
          <w:lang w:val="id-ID" w:eastAsia="zh-CN"/>
        </w:rPr>
        <w:t xml:space="preserve"> </w:t>
      </w:r>
      <w:r>
        <w:rPr>
          <w:rFonts w:eastAsiaTheme="minorEastAsia"/>
          <w:lang w:val="id-ID" w:eastAsia="zh-CN"/>
        </w:rPr>
        <w:t>d</w:t>
      </w:r>
      <w:proofErr w:type="spellStart"/>
      <w:r>
        <w:rPr>
          <w:rFonts w:eastAsiaTheme="minorEastAsia"/>
          <w:lang w:val="en-US" w:eastAsia="zh-CN"/>
        </w:rPr>
        <w:t>exmedetomidine</w:t>
      </w:r>
      <w:proofErr w:type="spellEnd"/>
      <w:r>
        <w:rPr>
          <w:color w:val="000000"/>
          <w:lang w:val="en-US" w:eastAsia="zh-CN"/>
        </w:rPr>
        <w:t xml:space="preserve"> pada </w:t>
      </w:r>
      <w:proofErr w:type="spellStart"/>
      <w:r>
        <w:rPr>
          <w:color w:val="000000"/>
          <w:lang w:val="en-US" w:eastAsia="zh-CN"/>
        </w:rPr>
        <w:t>individu</w:t>
      </w:r>
      <w:proofErr w:type="spellEnd"/>
      <w:r>
        <w:rPr>
          <w:color w:val="000000"/>
          <w:lang w:val="en-US" w:eastAsia="zh-CN"/>
        </w:rPr>
        <w:t xml:space="preserve"> yang </w:t>
      </w:r>
      <w:proofErr w:type="spellStart"/>
      <w:r>
        <w:rPr>
          <w:color w:val="000000"/>
          <w:lang w:val="en-US" w:eastAsia="zh-CN"/>
        </w:rPr>
        <w:t>sehat</w:t>
      </w:r>
      <w:proofErr w:type="spellEnd"/>
      <w:r>
        <w:rPr>
          <w:color w:val="000000"/>
          <w:lang w:val="en-US" w:eastAsia="zh-CN"/>
        </w:rPr>
        <w:t xml:space="preserve"> </w:t>
      </w:r>
      <w:proofErr w:type="spellStart"/>
      <w:r>
        <w:rPr>
          <w:color w:val="000000"/>
          <w:lang w:val="en-US" w:eastAsia="zh-CN"/>
        </w:rPr>
        <w:t>adalah</w:t>
      </w:r>
      <w:proofErr w:type="spellEnd"/>
      <w:r>
        <w:rPr>
          <w:color w:val="000000"/>
          <w:lang w:val="en-US" w:eastAsia="zh-CN"/>
        </w:rPr>
        <w:t xml:space="preserve"> 2,1–3,1 jam, </w:t>
      </w:r>
      <w:proofErr w:type="spellStart"/>
      <w:r>
        <w:rPr>
          <w:color w:val="000000"/>
          <w:lang w:val="en-US" w:eastAsia="zh-CN"/>
        </w:rPr>
        <w:t>sedangkan</w:t>
      </w:r>
      <w:proofErr w:type="spellEnd"/>
      <w:r>
        <w:rPr>
          <w:color w:val="000000"/>
          <w:lang w:val="en-US" w:eastAsia="zh-CN"/>
        </w:rPr>
        <w:t xml:space="preserve"> di ICU </w:t>
      </w:r>
      <w:r>
        <w:rPr>
          <w:color w:val="000000"/>
          <w:lang w:val="id-ID" w:eastAsia="zh-CN"/>
        </w:rPr>
        <w:t>sekitar</w:t>
      </w:r>
      <w:r>
        <w:rPr>
          <w:color w:val="000000"/>
          <w:lang w:val="en-US" w:eastAsia="zh-CN"/>
        </w:rPr>
        <w:t xml:space="preserve"> 2,2–3,7 jam.</w:t>
      </w:r>
      <w:r>
        <w:rPr>
          <w:color w:val="000000"/>
          <w:lang w:val="id-ID"/>
        </w:rPr>
        <w:fldChar w:fldCharType="begin" w:fldLock="1"/>
      </w:r>
      <w:r>
        <w:rPr>
          <w:color w:val="000000"/>
          <w:lang w:val="id-ID" w:eastAsia="zh-CN"/>
        </w:rPr>
        <w:instrText xml:space="preserve">ADDIN CSL_CITATION {"citationItems":[{"id":"ITEM-1","itemData":{"DOI":"10.3390/brainsci11070846","ISSN":"20763425","abstract":"Dexmedetomidine, selective </w:instrText>
      </w:r>
      <w:r>
        <w:rPr>
          <w:color w:val="000000"/>
          <w:lang w:val="id-ID"/>
        </w:rPr>
        <w:instrText>α</w:instrText>
      </w:r>
      <w:r>
        <w:rPr>
          <w:color w:val="000000"/>
          <w:lang w:val="id-ID" w:eastAsia="zh-CN"/>
        </w:rPr>
        <w:instrText xml:space="preserve">2-adrenergic agonist dexmedetomidine, has been widely used clinically for sedation and anesthesia. The role of dexmedetomidine has been an interesting topic of neonatological and anesthetic research since a series of advantages of dexmedetomidine, such as enhancing recovery from surgery, reducing opioid prescription, decreasing sympathetic tone, inhibiting inflammatory reactions, and protecting organs, were reported. Particularly, an increasing number of animal studies have demonstrated that dexmedetomidine ameliorates the neurological outcomes associated with various brain and spinal cord injuries. In addition, a growing number of clinical trials have reported the efficacy of dexmedetomidine for decreasing the rates of postoperative neurological dysfunction, such as delirium and stroke, which strongly highlights the possibility of dexmedetomidine functioning as a neuroprotective agent for future clinical use. Mechanism studies have linked dexmedetomidine’s neuroprotective properties with its modulation of neuroinflammation, apoptosis, oxidative stress, and synaptic plasticity via the </w:instrText>
      </w:r>
      <w:r>
        <w:rPr>
          <w:color w:val="000000"/>
          <w:lang w:val="id-ID"/>
        </w:rPr>
        <w:instrText>α</w:instrText>
      </w:r>
      <w:r>
        <w:rPr>
          <w:color w:val="000000"/>
          <w:lang w:val="id-ID" w:eastAsia="zh-CN"/>
        </w:rPr>
        <w:instrText>2-adrenergic receptor, dependently or independently. By reviewing recent advances and preclinical and clinical eviden</w:instrText>
      </w:r>
      <w:r>
        <w:rPr>
          <w:color w:val="000000"/>
          <w:lang w:val="id-ID"/>
        </w:rPr>
        <w:instrText>ce on the neuroprotective effects of dexmedetomidine, we hope to provide a complete understanding of the above mechanism and provide insights into the potential efficacy of this agent in clinical use for patients.","author":[{"dropping-particle":"","family":"Liaquat","given":"Zaara","non-dropping-particle":"","parse-names":false,"suffix":""},{"dropping-particle":"","family":"Xu","given":"Xiaoying","non-dropping-particle":"","parse-names":false,"suffix":""},{"dropping-particle":"","family":"Zilundu","given":"Prince Last Mudenda","non-dropping-particle":"","parse-names":false,"suffix":""},{"dropping-particle":"","family":"Fu","given":"Rao","non-dropping-particle":"","parse-names":false,"suffix":""},{"dropping-particle":"","family":"Zhou","given":"Lihua","non-dropping-particle":"","parse-names":false,"suffix":""}],"container-title":"Brain Sciences","id":"ITEM-1","issue":"7","issued":{"date-parts":[["2021"]]},"title":"The current role of dexmedetomidine as neuroprotective agent: An updated review","type":"article-journal","volume":"11"},"uris":["http://www.mendeley.com/documents/?uuid=60ef8cce-df2a-4c52-8735-53f629f4d5ff"]}],"mendeley":{"formattedCitation":"&lt;sup&gt;45&lt;/sup&gt;","plainTextFormattedCitation":"45","previouslyFormattedCitation":"&lt;sup&gt;45&lt;/sup&gt;"},"properties":{"noteIndex":0},"schema":"https://github.com/citation-style-language/schema/raw/master/csl-citation.json"}</w:instrText>
      </w:r>
      <w:r>
        <w:rPr>
          <w:color w:val="000000"/>
          <w:lang w:val="id-ID"/>
        </w:rPr>
        <w:fldChar w:fldCharType="separate"/>
      </w:r>
      <w:r>
        <w:rPr>
          <w:noProof/>
          <w:color w:val="000000"/>
          <w:vertAlign w:val="superscript"/>
          <w:lang w:val="id-ID"/>
        </w:rPr>
        <w:t>45</w:t>
      </w:r>
      <w:r>
        <w:rPr>
          <w:color w:val="000000"/>
          <w:lang w:val="id-ID"/>
        </w:rPr>
        <w:fldChar w:fldCharType="end"/>
      </w:r>
      <w:r>
        <w:rPr>
          <w:color w:val="000000"/>
          <w:lang w:val="id-ID"/>
        </w:rPr>
        <w:t xml:space="preserve"> </w:t>
      </w:r>
      <w:r w:rsidRPr="00F426C1">
        <w:rPr>
          <w:color w:val="000000"/>
          <w:lang w:val="id-ID"/>
        </w:rPr>
        <w:t xml:space="preserve">Studi farmakokinetik pada orang dewasa menunjukkan bahwa </w:t>
      </w:r>
      <w:r>
        <w:rPr>
          <w:color w:val="000000"/>
          <w:lang w:val="id-ID"/>
        </w:rPr>
        <w:t>d</w:t>
      </w:r>
      <w:r w:rsidRPr="00F426C1">
        <w:rPr>
          <w:color w:val="000000"/>
          <w:lang w:val="id-ID"/>
        </w:rPr>
        <w:t>exmedetomidine didistribusikan dengan cepat dan memiliki waktu paruh eliminasi yang pendek yaitu 2,0 jam. Sebuah studi analisis farmakokinetik populasi mengungkapkan bahwa pembersihan sangat berubah seiring bertambahnya usia, dengan anak-anak di luar masa bayi serupa dengan yang dijelaskan pada orang dewasa</w:t>
      </w:r>
      <w:r>
        <w:rPr>
          <w:color w:val="000000"/>
          <w:lang w:val="id-ID"/>
        </w:rPr>
        <w:t>.</w:t>
      </w:r>
      <w:r>
        <w:rPr>
          <w:color w:val="000000"/>
          <w:lang w:val="id-ID"/>
        </w:rPr>
        <w:fldChar w:fldCharType="begin" w:fldLock="1"/>
      </w:r>
      <w:r>
        <w:rPr>
          <w:color w:val="000000"/>
          <w:lang w:val="id-ID"/>
        </w:rPr>
        <w:instrText>ADDIN CSL_CITATION {"citationItems":[{"id":"ITEM-1","itemData":{"DOI":"10.1016/j.bjae.2020.05.004","ISSN":"20585357","author":[{"dropping-particle":"","family":"Lin","given":"R.","non-dropping-particle":"","parse-names":false,"suffix":""},{"dropping-particle":"","family":"Ansermino","given":"J. M.","non-dropping-particle":"","parse-names":false,"suffix":""}],"container-title":"BJA Education","id":"ITEM-1","issue":"10","issued":{"date-parts":[["2020"]]},"page":"348-353","publisher":"Elsevier Ltd","title":"Dexmedetomidine in paediatric anaesthesia","type":"article-journal","volume":"20"},"uris":["http://www.mendeley.com/documents/?uuid=fd8874cb-7019-426e-8746-8c8f47420af2"]}],"mendeley":{"formattedCitation":"&lt;sup&gt;16&lt;/sup&gt;","plainTextFormattedCitation":"16","previouslyFormattedCitation":"&lt;sup&gt;16&lt;/sup&gt;"},"properties":{"noteIndex":0},"schema":"https://github.com/citation-style-language/schema/raw/master/csl-citation.json"}</w:instrText>
      </w:r>
      <w:r>
        <w:rPr>
          <w:color w:val="000000"/>
          <w:lang w:val="id-ID"/>
        </w:rPr>
        <w:fldChar w:fldCharType="separate"/>
      </w:r>
      <w:r>
        <w:rPr>
          <w:noProof/>
          <w:color w:val="000000"/>
          <w:vertAlign w:val="superscript"/>
          <w:lang w:val="id-ID"/>
        </w:rPr>
        <w:t>16</w:t>
      </w:r>
      <w:r>
        <w:rPr>
          <w:color w:val="000000"/>
          <w:lang w:val="id-ID"/>
        </w:rPr>
        <w:fldChar w:fldCharType="end"/>
      </w:r>
      <w:r>
        <w:rPr>
          <w:rFonts w:eastAsiaTheme="minorEastAsia"/>
          <w:lang w:val="id-ID"/>
        </w:rPr>
        <w:t xml:space="preserve"> </w:t>
      </w:r>
    </w:p>
    <w:p w14:paraId="325810A0" w14:textId="77777777" w:rsidR="003B79BC" w:rsidRDefault="00000000">
      <w:pPr>
        <w:spacing w:line="360" w:lineRule="auto"/>
        <w:ind w:firstLine="709"/>
        <w:jc w:val="both"/>
        <w:rPr>
          <w:color w:val="000000"/>
          <w:lang w:val="id-ID"/>
        </w:rPr>
      </w:pPr>
      <w:r w:rsidRPr="00F426C1">
        <w:rPr>
          <w:color w:val="000000"/>
          <w:lang w:val="id-ID"/>
        </w:rPr>
        <w:t xml:space="preserve">Efek farmakodinamik </w:t>
      </w:r>
      <w:r>
        <w:rPr>
          <w:rFonts w:eastAsiaTheme="minorEastAsia"/>
          <w:lang w:val="id-ID"/>
        </w:rPr>
        <w:t>d</w:t>
      </w:r>
      <w:r w:rsidRPr="00F426C1">
        <w:rPr>
          <w:rFonts w:eastAsiaTheme="minorEastAsia"/>
          <w:lang w:val="id-ID"/>
        </w:rPr>
        <w:t>exmedetomidine</w:t>
      </w:r>
      <w:r w:rsidRPr="00F426C1">
        <w:rPr>
          <w:color w:val="000000"/>
          <w:lang w:val="id-ID"/>
        </w:rPr>
        <w:t xml:space="preserve"> terutama bergantung pada dosis. Respons hemodinamik bifasik, seperti hipotensi atau hipertensi, masing-masing menghasilkan konsentrasi plasma yang rendah atau tinggi.</w:t>
      </w:r>
      <w:r>
        <w:rPr>
          <w:color w:val="0875B8"/>
          <w:lang w:val="id-ID"/>
        </w:rPr>
        <w:t xml:space="preserve"> </w:t>
      </w:r>
      <w:r w:rsidRPr="00F426C1">
        <w:rPr>
          <w:color w:val="000000"/>
          <w:lang w:val="id-ID"/>
        </w:rPr>
        <w:t xml:space="preserve">Tindakan hipnotis dan sedatif </w:t>
      </w:r>
      <w:r>
        <w:rPr>
          <w:rFonts w:eastAsiaTheme="minorEastAsia"/>
          <w:lang w:val="id-ID"/>
        </w:rPr>
        <w:t>d</w:t>
      </w:r>
      <w:r w:rsidRPr="00F426C1">
        <w:rPr>
          <w:rFonts w:eastAsiaTheme="minorEastAsia"/>
          <w:lang w:val="id-ID"/>
        </w:rPr>
        <w:t>exmedetomidine</w:t>
      </w:r>
      <w:r w:rsidRPr="00F426C1">
        <w:rPr>
          <w:color w:val="000000"/>
          <w:lang w:val="id-ID"/>
        </w:rPr>
        <w:t xml:space="preserve"> yang bergantung pada konsentrasi dimediasi melalui aktivasi</w:t>
      </w:r>
      <w:r>
        <w:rPr>
          <w:color w:val="000000"/>
          <w:lang w:val="id-ID"/>
        </w:rPr>
        <w:t xml:space="preserve"> a</w:t>
      </w:r>
      <w:r w:rsidRPr="00F426C1">
        <w:rPr>
          <w:color w:val="000000"/>
          <w:lang w:val="id-ID"/>
        </w:rPr>
        <w:t xml:space="preserve">2 reseptor adrenergik, yang secara anatomi terletak di locus coeruleus. Sifat farmakodinamik </w:t>
      </w:r>
      <w:r>
        <w:rPr>
          <w:rFonts w:eastAsiaTheme="minorEastAsia"/>
          <w:lang w:val="id-ID"/>
        </w:rPr>
        <w:t>d</w:t>
      </w:r>
      <w:r w:rsidRPr="00F426C1">
        <w:rPr>
          <w:rFonts w:eastAsiaTheme="minorEastAsia"/>
          <w:lang w:val="id-ID"/>
        </w:rPr>
        <w:t>exmedetomidine</w:t>
      </w:r>
      <w:r w:rsidRPr="00F426C1">
        <w:rPr>
          <w:color w:val="000000"/>
          <w:lang w:val="id-ID"/>
        </w:rPr>
        <w:t xml:space="preserve"> yang khas dan unik </w:t>
      </w:r>
      <w:r>
        <w:rPr>
          <w:color w:val="000000"/>
          <w:lang w:val="id-ID"/>
        </w:rPr>
        <w:t xml:space="preserve">berupa </w:t>
      </w:r>
      <w:r w:rsidRPr="00F426C1">
        <w:rPr>
          <w:color w:val="000000"/>
          <w:lang w:val="id-ID"/>
        </w:rPr>
        <w:t xml:space="preserve">sedasi kooperatif, dimana bahkan pasien dalam tahap tidur pun dapat dengan mudah dibangunkan. </w:t>
      </w:r>
      <w:r w:rsidRPr="00F426C1">
        <w:rPr>
          <w:rFonts w:eastAsiaTheme="minorEastAsia"/>
          <w:lang w:val="id-ID"/>
        </w:rPr>
        <w:t>Dexmedetomidine</w:t>
      </w:r>
      <w:r w:rsidRPr="00F426C1">
        <w:rPr>
          <w:color w:val="000000"/>
          <w:lang w:val="id-ID"/>
        </w:rPr>
        <w:t xml:space="preserve"> juga dapat mengurangi rasa sakit melalui</w:t>
      </w:r>
      <w:r>
        <w:rPr>
          <w:color w:val="000000"/>
          <w:lang w:val="id-ID"/>
        </w:rPr>
        <w:t xml:space="preserve"> a</w:t>
      </w:r>
      <w:r w:rsidRPr="00F426C1">
        <w:rPr>
          <w:color w:val="000000"/>
          <w:lang w:val="id-ID"/>
        </w:rPr>
        <w:t>2 reseptor adrenergik yang mengubah persepsi, melemahkan efek ansiolitik, dan mengurangi kebutuhan opioid pascabedah</w:t>
      </w:r>
      <w:r>
        <w:rPr>
          <w:color w:val="000000"/>
          <w:lang w:val="id-ID"/>
        </w:rPr>
        <w:t>.</w:t>
      </w:r>
      <w:r>
        <w:rPr>
          <w:rFonts w:eastAsiaTheme="minorEastAsia"/>
          <w:lang w:val="id-ID"/>
        </w:rPr>
        <w:t xml:space="preserve"> </w:t>
      </w:r>
      <w:r w:rsidRPr="00F426C1">
        <w:rPr>
          <w:color w:val="000000"/>
          <w:lang w:val="id-ID"/>
        </w:rPr>
        <w:t xml:space="preserve">Penerimaan induksi yang lebih baik dapat dicapai dengan </w:t>
      </w:r>
      <w:r>
        <w:rPr>
          <w:color w:val="000000"/>
          <w:lang w:val="id-ID"/>
        </w:rPr>
        <w:t xml:space="preserve">dosis </w:t>
      </w:r>
      <w:r>
        <w:rPr>
          <w:rFonts w:eastAsiaTheme="minorEastAsia"/>
          <w:lang w:val="id-ID"/>
        </w:rPr>
        <w:t>d</w:t>
      </w:r>
      <w:r w:rsidRPr="00F426C1">
        <w:rPr>
          <w:rFonts w:eastAsiaTheme="minorEastAsia"/>
          <w:lang w:val="id-ID"/>
        </w:rPr>
        <w:t>exmedetomidine</w:t>
      </w:r>
      <w:r>
        <w:rPr>
          <w:color w:val="000000"/>
          <w:lang w:val="id-ID"/>
        </w:rPr>
        <w:t xml:space="preserve"> </w:t>
      </w:r>
      <w:r w:rsidRPr="00F426C1">
        <w:rPr>
          <w:color w:val="000000"/>
          <w:lang w:val="id-ID"/>
        </w:rPr>
        <w:t>2</w:t>
      </w:r>
      <w:r>
        <w:rPr>
          <w:color w:val="000000"/>
          <w:lang w:val="id-ID"/>
        </w:rPr>
        <w:t xml:space="preserve"> </w:t>
      </w:r>
      <w:r>
        <w:rPr>
          <w:color w:val="231F20"/>
          <w:lang w:val="en-US"/>
        </w:rPr>
        <w:t>μ</w:t>
      </w:r>
      <w:r w:rsidRPr="00F426C1">
        <w:rPr>
          <w:color w:val="000000"/>
          <w:lang w:val="id-ID"/>
        </w:rPr>
        <w:t>g</w:t>
      </w:r>
      <w:r>
        <w:rPr>
          <w:color w:val="000000"/>
          <w:lang w:val="id-ID"/>
        </w:rPr>
        <w:t>/</w:t>
      </w:r>
      <w:r w:rsidRPr="00F426C1">
        <w:rPr>
          <w:color w:val="000000"/>
          <w:lang w:val="id-ID"/>
        </w:rPr>
        <w:t>kg</w:t>
      </w:r>
      <w:r>
        <w:rPr>
          <w:color w:val="000000"/>
          <w:lang w:val="id-ID"/>
        </w:rPr>
        <w:t xml:space="preserve"> </w:t>
      </w:r>
      <w:r w:rsidRPr="00F426C1">
        <w:rPr>
          <w:color w:val="000000"/>
          <w:lang w:val="id-ID"/>
        </w:rPr>
        <w:t>dibandingkan dengan 1</w:t>
      </w:r>
      <w:r>
        <w:rPr>
          <w:color w:val="000000"/>
          <w:lang w:val="id-ID"/>
        </w:rPr>
        <w:t xml:space="preserve"> </w:t>
      </w:r>
      <w:r>
        <w:rPr>
          <w:color w:val="231F20"/>
          <w:lang w:val="en-US"/>
        </w:rPr>
        <w:t>μ</w:t>
      </w:r>
      <w:r w:rsidRPr="00F426C1">
        <w:rPr>
          <w:color w:val="000000"/>
          <w:lang w:val="id-ID"/>
        </w:rPr>
        <w:t>g</w:t>
      </w:r>
      <w:r>
        <w:rPr>
          <w:color w:val="000000"/>
          <w:lang w:val="id-ID"/>
        </w:rPr>
        <w:t>/</w:t>
      </w:r>
      <w:r w:rsidRPr="00F426C1">
        <w:rPr>
          <w:color w:val="000000"/>
          <w:lang w:val="id-ID"/>
        </w:rPr>
        <w:t>kg.</w:t>
      </w:r>
      <w:r>
        <w:rPr>
          <w:color w:val="000000"/>
          <w:lang w:val="id-ID"/>
        </w:rPr>
        <w:fldChar w:fldCharType="begin" w:fldLock="1"/>
      </w:r>
      <w:r>
        <w:rPr>
          <w:color w:val="000000"/>
          <w:lang w:val="id-ID"/>
        </w:rPr>
        <w:instrText>ADDIN CSL_CITATION {"citationItems":[{"id":"ITEM-1","itemData":{"DOI":"10.3390/brainsci11070846","ISSN":"20763425","abstract":"Dexmedetomidine, selective α2-adrenergic agonist dexmedetomidine, has been widely used clinically for sedation and anesthesia. The role of dexmedetomidine has been an interesting topic of neonatological and anesthetic research since a series of advantages of dexmedetomidine, such as enhancing recovery from surgery, reducing opioid prescription, decreasing sympathetic tone, inhibiting inflammatory reactions, and protecting organs, were reported. Particularly, an increasing number of animal studies have demonstrated that dexmedetomidine ameliorates the neurological outcomes associated with various brain and spinal cord injuries. In addition, a growing number of clinical trials have reported the efficacy of dexmedetomidine for decreasing the rates of postoperative neurological dysfunction, such as delirium and stroke, which strongly highlights the possibility of dexmedetomidine functioning as a neuroprotective agent for future clinical use. Mechanism studies have linked dexmedetomidine’s neuroprotective properties with its modulation of neuroinflammation, apoptosis, oxidative stress, and synaptic plasticity via the α2-adrenergic receptor, dependently or independently. By reviewing recent advances and preclinical and clinical evidence on the neuroprotective effects of dexmedetomidine, we hope to provide a complete understanding of the above mechanism and provide insights into the potential efficacy of this agent in clinical use for patients.","author":[{"dropping-particle":"","family":"Liaquat","given":"Zaara","non-dropping-particle":"","parse-names":false,"suffix":""},{"dropping-particle":"","family":"Xu","given":"Xiaoying","non-dropping-particle":"","parse-names":false,"suffix":""},{"dropping-particle":"","family":"Zilundu","given":"Prince Last Mudenda","non-dropping-particle":"","parse-names":false,"suffix":""},{"dropping-particle":"","family":"Fu","given":"Rao","non-dropping-particle":"","parse-names":false,"suffix":""},{"dropping-particle":"","family":"Zhou","given":"Lihua","non-dropping-particle":"","parse-names":false,"suffix":""}],"container-title":"Brain Sciences","id":"ITEM-1","issue":"7","issued":{"date-parts":[["2021"]]},"title":"The current role of dexmedetomidine as neuroprotective agent: An updated review","type":"article-journal","volume":"11"},"uris":["http://www.mendeley.com/documents/?uuid=60ef8cce-df2a-4c52-8735-53f629f4d5ff"]}],"mendeley":{"formattedCitation":"&lt;sup&gt;45&lt;/sup&gt;","plainTextFormattedCitation":"45","previouslyFormattedCitation":"&lt;sup&gt;45&lt;/sup&gt;"},"properties":{"noteIndex":0},"schema":"https://github.com/citation-style-language/schema/raw/master/csl-citation.json"}</w:instrText>
      </w:r>
      <w:r>
        <w:rPr>
          <w:color w:val="000000"/>
          <w:lang w:val="id-ID"/>
        </w:rPr>
        <w:fldChar w:fldCharType="separate"/>
      </w:r>
      <w:r>
        <w:rPr>
          <w:noProof/>
          <w:color w:val="000000"/>
          <w:vertAlign w:val="superscript"/>
          <w:lang w:val="id-ID"/>
        </w:rPr>
        <w:t>45</w:t>
      </w:r>
      <w:r>
        <w:rPr>
          <w:color w:val="000000"/>
          <w:lang w:val="id-ID"/>
        </w:rPr>
        <w:fldChar w:fldCharType="end"/>
      </w:r>
      <w:r>
        <w:rPr>
          <w:color w:val="000000"/>
          <w:lang w:val="id-ID"/>
        </w:rPr>
        <w:t xml:space="preserve"> </w:t>
      </w:r>
    </w:p>
    <w:p w14:paraId="778295B9" w14:textId="77777777" w:rsidR="003B79BC" w:rsidRDefault="003B79BC">
      <w:pPr>
        <w:spacing w:line="360" w:lineRule="auto"/>
        <w:ind w:firstLine="709"/>
        <w:jc w:val="both"/>
        <w:rPr>
          <w:color w:val="000000"/>
          <w:lang w:val="id-ID"/>
        </w:rPr>
      </w:pPr>
    </w:p>
    <w:p w14:paraId="67B6E4F9" w14:textId="77777777" w:rsidR="003B79BC" w:rsidRDefault="00000000">
      <w:pPr>
        <w:pStyle w:val="Heading3"/>
        <w:numPr>
          <w:ilvl w:val="0"/>
          <w:numId w:val="9"/>
        </w:numPr>
        <w:ind w:left="426" w:hanging="426"/>
        <w:rPr>
          <w:lang w:eastAsia="zh-CN"/>
        </w:rPr>
      </w:pPr>
      <w:bookmarkStart w:id="39" w:name="_Toc158290250"/>
      <w:r>
        <w:rPr>
          <w:rFonts w:eastAsiaTheme="minorEastAsia"/>
          <w:lang w:val="id-ID" w:eastAsia="zh-CN"/>
        </w:rPr>
        <w:t xml:space="preserve">Efek Samping </w:t>
      </w:r>
      <w:r>
        <w:t>Dexme</w:t>
      </w:r>
      <w:r w:rsidRPr="00F426C1">
        <w:rPr>
          <w:lang w:val="id-ID"/>
        </w:rPr>
        <w:t>de</w:t>
      </w:r>
      <w:r>
        <w:t>tomidine</w:t>
      </w:r>
      <w:bookmarkEnd w:id="39"/>
    </w:p>
    <w:p w14:paraId="6E7B0D94" w14:textId="77777777" w:rsidR="003B79BC" w:rsidRDefault="00000000">
      <w:pPr>
        <w:spacing w:line="360" w:lineRule="auto"/>
        <w:ind w:firstLine="709"/>
        <w:jc w:val="both"/>
        <w:rPr>
          <w:rFonts w:eastAsiaTheme="minorEastAsia"/>
          <w:color w:val="000000"/>
          <w:lang w:eastAsia="zh-CN"/>
        </w:rPr>
      </w:pPr>
      <w:r>
        <w:rPr>
          <w:color w:val="000000"/>
          <w:lang w:val="id-ID" w:eastAsia="zh-CN"/>
        </w:rPr>
        <w:t>Efek samping dari penggunaan d</w:t>
      </w:r>
      <w:r w:rsidRPr="00F426C1">
        <w:rPr>
          <w:color w:val="000000"/>
          <w:lang w:val="id-ID" w:eastAsia="zh-CN"/>
        </w:rPr>
        <w:t xml:space="preserve">exmedetomidine </w:t>
      </w:r>
      <w:r>
        <w:rPr>
          <w:color w:val="000000"/>
          <w:lang w:val="id-ID" w:eastAsia="zh-CN"/>
        </w:rPr>
        <w:t>yaitu</w:t>
      </w:r>
      <w:r w:rsidRPr="00F426C1">
        <w:rPr>
          <w:color w:val="000000"/>
          <w:lang w:val="id-ID" w:eastAsia="zh-CN"/>
        </w:rPr>
        <w:t xml:space="preserve"> ketidakstabilan hemodinamik karena</w:t>
      </w:r>
      <w:r>
        <w:rPr>
          <w:color w:val="000000"/>
          <w:lang w:val="id-ID" w:eastAsia="zh-CN"/>
        </w:rPr>
        <w:t xml:space="preserve"> a</w:t>
      </w:r>
      <w:r w:rsidRPr="00F426C1">
        <w:rPr>
          <w:color w:val="000000"/>
          <w:lang w:val="id-ID" w:eastAsia="zh-CN"/>
        </w:rPr>
        <w:t xml:space="preserve">ktivasi reseptor </w:t>
      </w:r>
      <w:r>
        <w:rPr>
          <w:color w:val="000000"/>
          <w:lang w:val="id-ID" w:eastAsia="zh-CN"/>
        </w:rPr>
        <w:t>a</w:t>
      </w:r>
      <w:r w:rsidRPr="00F426C1">
        <w:rPr>
          <w:color w:val="000000"/>
          <w:lang w:val="id-ID" w:eastAsia="zh-CN"/>
        </w:rPr>
        <w:t xml:space="preserve">2 adrenoreseptor yang menyebabkan hipertensi karena vasokonstriksi, yang menyebabkan bradikardia refleks melalui aktivasi otonom yang dimediasi baroreseptor karotis atau aorta. </w:t>
      </w:r>
      <w:r w:rsidRPr="00F426C1">
        <w:rPr>
          <w:color w:val="000000"/>
          <w:lang w:val="id-ID"/>
        </w:rPr>
        <w:t xml:space="preserve">Selain itu, </w:t>
      </w:r>
      <w:r>
        <w:rPr>
          <w:color w:val="000000"/>
          <w:lang w:val="id-ID"/>
        </w:rPr>
        <w:t>d</w:t>
      </w:r>
      <w:r w:rsidRPr="00F426C1">
        <w:rPr>
          <w:color w:val="000000"/>
          <w:lang w:val="id-ID"/>
        </w:rPr>
        <w:t>exmedetomidine bergantung pada dosis</w:t>
      </w:r>
      <w:r>
        <w:rPr>
          <w:color w:val="000000"/>
          <w:lang w:val="id-ID"/>
        </w:rPr>
        <w:t xml:space="preserve"> yaitu</w:t>
      </w:r>
      <w:r w:rsidRPr="00F426C1">
        <w:rPr>
          <w:color w:val="000000"/>
          <w:lang w:val="id-ID"/>
        </w:rPr>
        <w:t xml:space="preserve"> dosis tinggi 1 atau 2</w:t>
      </w:r>
      <w:r>
        <w:rPr>
          <w:color w:val="000000"/>
          <w:lang w:val="id-ID"/>
        </w:rPr>
        <w:t xml:space="preserve"> </w:t>
      </w:r>
      <w:r>
        <w:rPr>
          <w:color w:val="231F20"/>
          <w:lang w:val="en-US"/>
        </w:rPr>
        <w:t>μ</w:t>
      </w:r>
      <w:r w:rsidRPr="00F426C1">
        <w:rPr>
          <w:color w:val="000000"/>
          <w:lang w:val="id-ID"/>
        </w:rPr>
        <w:t xml:space="preserve">g/kg </w:t>
      </w:r>
      <w:r>
        <w:rPr>
          <w:color w:val="000000"/>
          <w:lang w:val="id-ID"/>
        </w:rPr>
        <w:t>d</w:t>
      </w:r>
      <w:r w:rsidRPr="00F426C1">
        <w:rPr>
          <w:color w:val="000000"/>
          <w:lang w:val="id-ID"/>
        </w:rPr>
        <w:t xml:space="preserve">exmedetomidine selama 2 menit diperlukan untuk sedasi cepat. Namun, pada konsentrasi dosis tersebut, pola respirasi yang tidak teratur dan obstruktif telah dilaporkan. Insiden takiaritmia ventrikel, termasuk fibrilasi ventrikel dan takikardia </w:t>
      </w:r>
      <w:r w:rsidRPr="00F426C1">
        <w:rPr>
          <w:color w:val="000000"/>
          <w:lang w:val="id-ID"/>
        </w:rPr>
        <w:lastRenderedPageBreak/>
        <w:t xml:space="preserve">ventrikel, berkurang setelah infus </w:t>
      </w:r>
      <w:r>
        <w:rPr>
          <w:color w:val="000000"/>
          <w:lang w:val="id-ID"/>
        </w:rPr>
        <w:t>d</w:t>
      </w:r>
      <w:r w:rsidRPr="00F426C1">
        <w:rPr>
          <w:color w:val="000000"/>
          <w:lang w:val="id-ID"/>
        </w:rPr>
        <w:t xml:space="preserve">exmedetomidine selama bedah. Sebaliknya, </w:t>
      </w:r>
      <w:r>
        <w:rPr>
          <w:color w:val="000000"/>
          <w:lang w:val="id-ID"/>
        </w:rPr>
        <w:t>d</w:t>
      </w:r>
      <w:r w:rsidRPr="00F426C1">
        <w:rPr>
          <w:color w:val="000000"/>
          <w:lang w:val="id-ID"/>
        </w:rPr>
        <w:t>exmedetomidine tidak menunjukkan efek pada fibrilasi atrium, tetapi overdosis dapat menyebabkan penyumbatan atrioventrikular tingkat I atau II.</w:t>
      </w:r>
      <w:r>
        <w:rPr>
          <w:color w:val="000000"/>
          <w:lang w:val="id-ID"/>
        </w:rPr>
        <w:t xml:space="preserve"> </w:t>
      </w:r>
      <w:r>
        <w:rPr>
          <w:color w:val="000000"/>
          <w:lang w:val="id-ID"/>
        </w:rPr>
        <w:fldChar w:fldCharType="begin" w:fldLock="1"/>
      </w:r>
      <w:r>
        <w:rPr>
          <w:color w:val="000000"/>
          <w:lang w:val="id-ID"/>
        </w:rPr>
        <w:instrText>ADDIN CSL_CITATION {"citationItems":[{"id":"ITEM-1","itemData":{"DOI":"10.3390/brainsci11070846","ISSN":"20763425","abstract":"Dexmedetomidine, selective α2-adrenergic agonist dexmedetomidine, has been widely used clinically for sedation and anesthesia. The role of dexmedetomidine has been an interesting topic of neonatological and anesthetic research since a series of advantages of dexmedetomidine, such as enhancing recovery from surgery, reducing opioid prescription, decreasing sympathetic tone, inhibiting inflammatory reactions, and protecting organs, were reported. Particularly, an increasing number of animal studies have demonstrated that dexmedetomidine ameliorates the neurological outcomes associated with various brain and spinal cord injuries. In addition, a growing number of clinical trials have reported the efficacy of dexmedetomidine for decreasing the rates of postoperative neurological dysfunction, such as delirium and stroke, which strongly highlights the possibility of dexmedetomidine functioning as a neuroprotective agent for future clinical use. Mechanism studies have linked dexmedetomidine’s neuroprotective properties with its modulation of neuroinflammation, apoptosis, oxidative stress, and synaptic plasticity via the α2-adrenergic receptor, dependently or independently. By reviewing recent advances and preclinical and clinical evidence on the neuroprotective effects of dexmedetomidine, we hope to provide a complete understanding of the above mechanism and provide insights into the potential efficacy of this agent in clinical use for patients.","author":[{"dropping-particle":"","family":"Liaquat","given":"Zaara","non-dropping-particle":"","parse-names":false,"suffix":""},{"dropping-particle":"","family":"Xu","given":"Xiaoying","non-dropping-particle":"","parse-names":false,"suffix":""},{"dropping-particle":"","family":"Zilundu","given":"Prince Last Mudenda","non-dropping-particle":"","parse-names":false,"suffix":""},{"dropping-particle":"","family":"Fu","given":"Rao","non-dropping-particle":"","parse-names":false,"suffix":""},{"dropping-particle":"","family":"Zhou","given":"Lihua","non-dropping-particle":"","parse-names":false,"suffix":""}],"container-title":"Brain Sciences","id":"ITEM-1","issue":"7","issued":{"date-parts":[["2021"]]},"title":"The current role of dexmedetomidine as neuroprotective agent: An updated review","type":"article-journal","volume":"11"},"uris":["http://www.mendeley.com/documents/?uuid=60ef8cce-df2a-4c52-8735-53f629f4d5ff"]}],"mendeley":{"formattedCitation":"&lt;sup&gt;45&lt;/sup&gt;","plainTextFormattedCitation":"45","previouslyFormattedCitation":"&lt;sup&gt;45&lt;/sup&gt;"},"properties":{"noteIndex":0},"schema":"https://github.com/citation-style-language/schema/raw/master/csl-citation.json"}</w:instrText>
      </w:r>
      <w:r>
        <w:rPr>
          <w:color w:val="000000"/>
          <w:lang w:val="id-ID"/>
        </w:rPr>
        <w:fldChar w:fldCharType="separate"/>
      </w:r>
      <w:r>
        <w:rPr>
          <w:noProof/>
          <w:color w:val="000000"/>
          <w:vertAlign w:val="superscript"/>
          <w:lang w:val="id-ID"/>
        </w:rPr>
        <w:t>45</w:t>
      </w:r>
      <w:r>
        <w:rPr>
          <w:color w:val="000000"/>
          <w:lang w:val="id-ID"/>
        </w:rPr>
        <w:fldChar w:fldCharType="end"/>
      </w:r>
    </w:p>
    <w:p w14:paraId="01C4E0E7" w14:textId="77777777" w:rsidR="003B79BC" w:rsidRDefault="00000000">
      <w:pPr>
        <w:spacing w:line="360" w:lineRule="auto"/>
        <w:ind w:firstLine="709"/>
        <w:jc w:val="both"/>
        <w:rPr>
          <w:rFonts w:eastAsia="MinionPro-Regular"/>
          <w:color w:val="000000"/>
          <w:lang w:val="id-ID"/>
        </w:rPr>
      </w:pPr>
      <w:r w:rsidRPr="00F426C1">
        <w:rPr>
          <w:rFonts w:eastAsia="MinionPro-Regular"/>
          <w:color w:val="000000"/>
          <w:lang w:val="id-ID"/>
        </w:rPr>
        <w:t xml:space="preserve">Sebagian besar efek samping dexmedetomidine terjadi selama atau segera setelah </w:t>
      </w:r>
      <w:r>
        <w:rPr>
          <w:rFonts w:eastAsia="MinionPro-Regular"/>
          <w:i/>
          <w:iCs/>
          <w:color w:val="000000"/>
          <w:lang w:val="id-ID"/>
        </w:rPr>
        <w:t>loading</w:t>
      </w:r>
      <w:r w:rsidRPr="00F426C1">
        <w:rPr>
          <w:rFonts w:eastAsia="MinionPro-Regular"/>
          <w:color w:val="000000"/>
          <w:lang w:val="id-ID"/>
        </w:rPr>
        <w:t xml:space="preserve"> infus. Infus </w:t>
      </w:r>
      <w:r>
        <w:rPr>
          <w:rFonts w:eastAsia="MinionPro-Regular"/>
          <w:i/>
          <w:iCs/>
          <w:color w:val="000000"/>
          <w:lang w:val="id-ID"/>
        </w:rPr>
        <w:t>loading</w:t>
      </w:r>
      <w:r w:rsidRPr="00F426C1">
        <w:rPr>
          <w:rFonts w:eastAsia="MinionPro-Regular"/>
          <w:color w:val="000000"/>
          <w:lang w:val="id-ID"/>
        </w:rPr>
        <w:t xml:space="preserve"> sering menyebabkan hipertensi, hipotensi, atau bradikardia, yang terkait erat dengan dosis </w:t>
      </w:r>
      <w:r>
        <w:rPr>
          <w:rFonts w:eastAsia="MinionPro-Regular"/>
          <w:i/>
          <w:iCs/>
          <w:color w:val="000000"/>
          <w:lang w:val="id-ID"/>
        </w:rPr>
        <w:t>loading</w:t>
      </w:r>
      <w:r w:rsidRPr="00F426C1">
        <w:rPr>
          <w:rFonts w:eastAsia="MinionPro-Regular"/>
          <w:color w:val="000000"/>
          <w:lang w:val="id-ID"/>
        </w:rPr>
        <w:t xml:space="preserve"> dan laju infus. Insiden efek samping ini dapat dicegah dengan </w:t>
      </w:r>
      <w:r>
        <w:rPr>
          <w:rFonts w:eastAsia="MinionPro-Regular"/>
          <w:i/>
          <w:iCs/>
          <w:color w:val="000000"/>
          <w:lang w:val="id-ID"/>
        </w:rPr>
        <w:t>loading</w:t>
      </w:r>
      <w:r w:rsidRPr="00F426C1">
        <w:rPr>
          <w:rFonts w:eastAsia="MinionPro-Regular"/>
          <w:color w:val="000000"/>
          <w:lang w:val="id-ID"/>
        </w:rPr>
        <w:t xml:space="preserve"> bolus yang lambat atau dengan menghilangkan </w:t>
      </w:r>
      <w:r>
        <w:rPr>
          <w:rFonts w:eastAsia="MinionPro-Regular"/>
          <w:i/>
          <w:iCs/>
          <w:color w:val="000000"/>
          <w:lang w:val="id-ID"/>
        </w:rPr>
        <w:t>loading</w:t>
      </w:r>
      <w:r w:rsidRPr="00F426C1">
        <w:rPr>
          <w:rFonts w:eastAsia="MinionPro-Regular"/>
          <w:color w:val="000000"/>
          <w:lang w:val="id-ID"/>
        </w:rPr>
        <w:t xml:space="preserve"> bolus. Titrasi lambat untuk mempertahankan laju infus dexmedetomidine juga dapat membantu mencegah efek samping. </w:t>
      </w:r>
      <w:r>
        <w:rPr>
          <w:rFonts w:eastAsia="MinionPro-Regular"/>
          <w:color w:val="000000"/>
          <w:lang w:val="id-ID"/>
        </w:rPr>
        <w:t>K</w:t>
      </w:r>
      <w:r w:rsidRPr="00F426C1">
        <w:rPr>
          <w:rFonts w:eastAsia="MinionPro-Regular"/>
          <w:color w:val="000000"/>
          <w:lang w:val="id-ID"/>
        </w:rPr>
        <w:t>ejadian hipotensi secara signifikan berkurang dengan meningkatkan interval waktu antara penyesuaian dosis di ICU bedah.</w:t>
      </w:r>
      <w:r>
        <w:rPr>
          <w:rFonts w:eastAsiaTheme="minorEastAsia" w:hint="eastAsia"/>
          <w:color w:val="000000"/>
          <w:lang w:eastAsia="zh-CN"/>
        </w:rPr>
        <w:t xml:space="preserve"> </w:t>
      </w:r>
      <w:r w:rsidRPr="00F426C1">
        <w:rPr>
          <w:rFonts w:eastAsia="MinionPro-Regular"/>
          <w:color w:val="000000"/>
          <w:lang w:val="id-ID"/>
        </w:rPr>
        <w:t>Gangguan konduksi jantung, termasuk blok fascicular anterior kiri dan blok AV derajat pertama, dan pemberian bersama amiodarone dan dexmedetomidine merupakan faktor potensial yang berkontribusi terhadap perkembangan asistol, terutama selama anestesi regional</w:t>
      </w:r>
      <w:r>
        <w:rPr>
          <w:rFonts w:eastAsia="MinionPro-Regular"/>
          <w:color w:val="000000"/>
          <w:lang w:val="id-ID"/>
        </w:rPr>
        <w:t xml:space="preserve"> atau anestesi umum</w:t>
      </w:r>
      <w:r w:rsidRPr="00F426C1">
        <w:rPr>
          <w:rFonts w:eastAsia="MinionPro-Regular"/>
          <w:color w:val="000000"/>
          <w:lang w:val="id-ID"/>
        </w:rPr>
        <w:t xml:space="preserve">. Selain itu, kehati-hatian harus dilakukan saat memberikan dexmedetomidine kepada pasien dengan penurunan volume atau vasokonstriksi. Pemilihan pasien dan dosis yang memadai </w:t>
      </w:r>
      <w:r>
        <w:rPr>
          <w:rFonts w:eastAsia="MinionPro-Regular"/>
          <w:color w:val="000000"/>
          <w:lang w:val="id-ID"/>
        </w:rPr>
        <w:t>sangat</w:t>
      </w:r>
      <w:r w:rsidRPr="00F426C1">
        <w:rPr>
          <w:rFonts w:eastAsia="MinionPro-Regular"/>
          <w:color w:val="000000"/>
          <w:lang w:val="id-ID"/>
        </w:rPr>
        <w:t xml:space="preserve"> penting untuk penggunaan dexmedetomidine yang aman.</w:t>
      </w:r>
      <w:r>
        <w:rPr>
          <w:rFonts w:eastAsia="MinionPro-Regular"/>
          <w:color w:val="000000"/>
          <w:lang w:val="en-US"/>
        </w:rPr>
        <w:fldChar w:fldCharType="begin" w:fldLock="1"/>
      </w:r>
      <w:r w:rsidRPr="00F426C1">
        <w:rPr>
          <w:rFonts w:eastAsia="MinionPro-Regular"/>
          <w:color w:val="000000"/>
          <w:lang w:val="id-ID"/>
        </w:rPr>
        <w:instrText xml:space="preserve">ADDIN CSL_CITATION {"citationItems":[{"id":"ITEM-1","itemData":{"DOI":"10.4097/kja.19259","ISBN":"0000000226752","ISSN":"20057563","PMID":"31220910","abstract":"Dexmedetomidine is a potent, highly selective </w:instrText>
      </w:r>
      <w:r>
        <w:rPr>
          <w:rFonts w:eastAsia="MinionPro-Regular"/>
          <w:color w:val="000000"/>
          <w:lang w:val="en-US"/>
        </w:rPr>
        <w:instrText>α</w:instrText>
      </w:r>
      <w:r w:rsidRPr="00F426C1">
        <w:rPr>
          <w:rFonts w:eastAsia="MinionPro-Regular"/>
          <w:color w:val="000000"/>
          <w:lang w:val="id-ID"/>
        </w:rPr>
        <w:instrText>-2 adrenoceptor agonist, with sedative, analgesic, anxiolytic, sympatholytic, and opioid-sparing properties. Dexmedetomidine induces a unique sedative response, which shows an easy transition from sleep to wakefuln</w:instrText>
      </w:r>
      <w:r>
        <w:rPr>
          <w:rFonts w:eastAsia="MinionPro-Regular"/>
          <w:color w:val="000000"/>
          <w:lang w:val="en-US"/>
        </w:rPr>
        <w:instrText>ess, thus allowing a patient to be cooperative and communicative when stimulated. Dexmedetomidine may produce less delirium than other sedatives or even prevent delirium. The analgesic effect of dexmedetomidine is not strong; however, it can be administered as a useful analgesic adjuvant. As an anesthetic adjuvant, dexmedetomidine decreases the need for opioids, inhalational anesthetics, and intravenous anesthetics. The sympatholytic effect of dexmedetomidine may provide stable hemodynamics during the perioperative period. Dexmedetomidine-induced cooperative sedation with minimal respiratory depression provides safe and acceptable conditions during neurosurgical procedures in awake patients and awake fiberoptic intubation. Despite the lack of pediatric labelling, dexmedetomidine has been widely studied for pediatric use in various applications. Most adverse events associated with dexmedetomidine occur during or shortly after a loading infusion. There are some case reports of dexmedetomidine-related cardiac arrest following severe bradycardia. Some extended applications of dexmedetomidine discussed in this review are promising, but still limited, and further research is required. The pharmacological properties and possible adverse effects of dexmedetomidine should be well understood by the anesthesiologist prior to use. Moreover, it is necessary to select patients carefully and to determine the appropriate dosage of dexmedetomidine to ensure patient safety.","author":[{"dropping-particle":"","family":"Lee","given":"Seongheon","non-dropping-particle":"","parse-names":false,"suffix":""}],"container-title":"Korean Journal of Anesthesiology","id":"ITEM-1","issue":"4","issued":{"date-parts":[["2019"]]},"page":"323-330","title":"Dexmedetomidine: Present and future directions","type":"article-journal","volume":"72"},"uris":["http://www.mendeley.com/documents/?uuid=531553d9-2cd6-4a8b-abbf-08231c80ca22"]}],"mendeley":{"formattedCitation":"&lt;sup&gt;9&lt;/sup&gt;","plainTextFormattedCitation":"9","previouslyFormattedCitation":"&lt;sup&gt;9&lt;/sup&gt;"},"properties":{"noteIndex":0},"schema":"https://github.com/citation-style-language/schema/raw/master/csl-citation.json"}</w:instrText>
      </w:r>
      <w:r>
        <w:rPr>
          <w:rFonts w:eastAsia="MinionPro-Regular"/>
          <w:color w:val="000000"/>
          <w:lang w:val="en-US"/>
        </w:rPr>
        <w:fldChar w:fldCharType="separate"/>
      </w:r>
      <w:r>
        <w:rPr>
          <w:rFonts w:eastAsia="MinionPro-Regular"/>
          <w:noProof/>
          <w:color w:val="000000"/>
          <w:vertAlign w:val="superscript"/>
          <w:lang w:val="en-US"/>
        </w:rPr>
        <w:t>9</w:t>
      </w:r>
      <w:r>
        <w:rPr>
          <w:rFonts w:eastAsia="MinionPro-Regular"/>
          <w:color w:val="000000"/>
          <w:lang w:val="en-US"/>
        </w:rPr>
        <w:fldChar w:fldCharType="end"/>
      </w:r>
      <w:r>
        <w:rPr>
          <w:rFonts w:eastAsia="MinionPro-Regular"/>
          <w:color w:val="000000"/>
          <w:lang w:val="id-ID"/>
        </w:rPr>
        <w:t xml:space="preserve"> </w:t>
      </w:r>
    </w:p>
    <w:p w14:paraId="78F4B463" w14:textId="77777777" w:rsidR="003B79BC" w:rsidRDefault="003B79BC">
      <w:pPr>
        <w:spacing w:line="360" w:lineRule="auto"/>
        <w:ind w:firstLine="709"/>
        <w:jc w:val="both"/>
        <w:rPr>
          <w:rFonts w:eastAsiaTheme="minorEastAsia"/>
          <w:color w:val="000000"/>
          <w:lang w:eastAsia="zh-CN"/>
        </w:rPr>
      </w:pPr>
    </w:p>
    <w:p w14:paraId="5EB93C31" w14:textId="77777777" w:rsidR="003B79BC" w:rsidRDefault="00000000">
      <w:pPr>
        <w:pStyle w:val="Heading3"/>
        <w:numPr>
          <w:ilvl w:val="0"/>
          <w:numId w:val="9"/>
        </w:numPr>
        <w:ind w:left="426" w:hanging="426"/>
        <w:rPr>
          <w:rFonts w:eastAsiaTheme="minorEastAsia"/>
          <w:lang w:eastAsia="zh-CN"/>
        </w:rPr>
      </w:pPr>
      <w:bookmarkStart w:id="40" w:name="_Toc158290251"/>
      <w:r>
        <w:rPr>
          <w:lang w:val="id-ID"/>
        </w:rPr>
        <w:t>P</w:t>
      </w:r>
      <w:r>
        <w:t>enggunaan Dexme</w:t>
      </w:r>
      <w:r>
        <w:rPr>
          <w:lang w:val="en-US"/>
        </w:rPr>
        <w:t>de</w:t>
      </w:r>
      <w:r>
        <w:t xml:space="preserve">tomidine </w:t>
      </w:r>
      <w:r>
        <w:rPr>
          <w:lang w:val="id-ID"/>
        </w:rPr>
        <w:t>Intravena</w:t>
      </w:r>
      <w:bookmarkEnd w:id="40"/>
    </w:p>
    <w:p w14:paraId="034708E2" w14:textId="77777777" w:rsidR="003B79BC" w:rsidRDefault="00000000">
      <w:pPr>
        <w:spacing w:line="360" w:lineRule="auto"/>
        <w:ind w:firstLine="709"/>
        <w:jc w:val="both"/>
        <w:rPr>
          <w:lang w:val="en-US"/>
        </w:rPr>
      </w:pPr>
      <w:r>
        <w:rPr>
          <w:lang w:val="id-ID" w:eastAsia="zh-CN"/>
        </w:rPr>
        <w:t xml:space="preserve">Rudikoff </w:t>
      </w:r>
      <w:r>
        <w:rPr>
          <w:i/>
          <w:iCs/>
          <w:lang w:val="id-ID" w:eastAsia="zh-CN"/>
        </w:rPr>
        <w:t>et al</w:t>
      </w:r>
      <w:r>
        <w:rPr>
          <w:lang w:val="id-ID" w:eastAsia="zh-CN"/>
        </w:rPr>
        <w:t xml:space="preserve">. melakukan penelitian </w:t>
      </w:r>
      <w:proofErr w:type="spellStart"/>
      <w:r>
        <w:rPr>
          <w:lang w:val="en-US" w:eastAsia="zh-CN"/>
        </w:rPr>
        <w:t>kombinasi</w:t>
      </w:r>
      <w:proofErr w:type="spellEnd"/>
      <w:r>
        <w:rPr>
          <w:lang w:val="en-US" w:eastAsia="zh-CN"/>
        </w:rPr>
        <w:t xml:space="preserve"> </w:t>
      </w:r>
      <w:proofErr w:type="spellStart"/>
      <w:r>
        <w:rPr>
          <w:lang w:val="en-US" w:eastAsia="zh-CN"/>
        </w:rPr>
        <w:t>perioperatif</w:t>
      </w:r>
      <w:proofErr w:type="spellEnd"/>
      <w:r>
        <w:rPr>
          <w:lang w:val="en-US" w:eastAsia="zh-CN"/>
        </w:rPr>
        <w:t xml:space="preserve"> </w:t>
      </w:r>
      <w:proofErr w:type="spellStart"/>
      <w:r>
        <w:rPr>
          <w:lang w:val="en-US" w:eastAsia="zh-CN"/>
        </w:rPr>
        <w:t>dari</w:t>
      </w:r>
      <w:proofErr w:type="spellEnd"/>
      <w:r>
        <w:rPr>
          <w:lang w:val="en-US" w:eastAsia="zh-CN"/>
        </w:rPr>
        <w:t xml:space="preserve"> dexmedetomidine dan acetaminophen dapat </w:t>
      </w:r>
      <w:proofErr w:type="spellStart"/>
      <w:r>
        <w:rPr>
          <w:lang w:val="en-US" w:eastAsia="zh-CN"/>
        </w:rPr>
        <w:t>menghilangkan</w:t>
      </w:r>
      <w:proofErr w:type="spellEnd"/>
      <w:r>
        <w:rPr>
          <w:lang w:val="en-US" w:eastAsia="zh-CN"/>
        </w:rPr>
        <w:t xml:space="preserve"> </w:t>
      </w:r>
      <w:proofErr w:type="spellStart"/>
      <w:r>
        <w:rPr>
          <w:lang w:val="en-US" w:eastAsia="zh-CN"/>
        </w:rPr>
        <w:t>kebutuhan</w:t>
      </w:r>
      <w:proofErr w:type="spellEnd"/>
      <w:r>
        <w:rPr>
          <w:lang w:val="en-US" w:eastAsia="zh-CN"/>
        </w:rPr>
        <w:t xml:space="preserve"> opioid </w:t>
      </w:r>
      <w:proofErr w:type="spellStart"/>
      <w:r>
        <w:rPr>
          <w:lang w:val="en-US" w:eastAsia="zh-CN"/>
        </w:rPr>
        <w:t>pascabedah</w:t>
      </w:r>
      <w:proofErr w:type="spellEnd"/>
      <w:r>
        <w:rPr>
          <w:lang w:val="en-US" w:eastAsia="zh-CN"/>
        </w:rPr>
        <w:t xml:space="preserve"> (dalam </w:t>
      </w:r>
      <w:proofErr w:type="spellStart"/>
      <w:r>
        <w:rPr>
          <w:lang w:val="en-US" w:eastAsia="zh-CN"/>
        </w:rPr>
        <w:t>pemulihan</w:t>
      </w:r>
      <w:proofErr w:type="spellEnd"/>
      <w:r>
        <w:rPr>
          <w:lang w:val="en-US" w:eastAsia="zh-CN"/>
        </w:rPr>
        <w:t xml:space="preserve"> dan di </w:t>
      </w:r>
      <w:proofErr w:type="spellStart"/>
      <w:r>
        <w:rPr>
          <w:lang w:val="en-US" w:eastAsia="zh-CN"/>
        </w:rPr>
        <w:t>rumah</w:t>
      </w:r>
      <w:proofErr w:type="spellEnd"/>
      <w:r>
        <w:rPr>
          <w:lang w:val="en-US" w:eastAsia="zh-CN"/>
        </w:rPr>
        <w:t xml:space="preserve">). </w:t>
      </w:r>
      <w:proofErr w:type="spellStart"/>
      <w:r>
        <w:rPr>
          <w:lang w:val="en-US"/>
        </w:rPr>
        <w:t>Protokol</w:t>
      </w:r>
      <w:proofErr w:type="spellEnd"/>
      <w:r>
        <w:rPr>
          <w:lang w:val="en-US"/>
        </w:rPr>
        <w:t xml:space="preserve"> multi-modal </w:t>
      </w:r>
      <w:proofErr w:type="spellStart"/>
      <w:r>
        <w:rPr>
          <w:lang w:val="en-US"/>
        </w:rPr>
        <w:t>menghilangkan</w:t>
      </w:r>
      <w:proofErr w:type="spellEnd"/>
      <w:r>
        <w:rPr>
          <w:lang w:val="en-US"/>
        </w:rPr>
        <w:t xml:space="preserve"> </w:t>
      </w:r>
      <w:proofErr w:type="spellStart"/>
      <w:r>
        <w:rPr>
          <w:lang w:val="en-US"/>
        </w:rPr>
        <w:t>kebutuhan</w:t>
      </w:r>
      <w:proofErr w:type="spellEnd"/>
      <w:r>
        <w:rPr>
          <w:lang w:val="en-US"/>
        </w:rPr>
        <w:t xml:space="preserve"> untuk </w:t>
      </w:r>
      <w:proofErr w:type="spellStart"/>
      <w:r>
        <w:rPr>
          <w:lang w:val="en-US"/>
        </w:rPr>
        <w:t>administrasi</w:t>
      </w:r>
      <w:proofErr w:type="spellEnd"/>
      <w:r>
        <w:rPr>
          <w:lang w:val="en-US"/>
        </w:rPr>
        <w:t xml:space="preserve"> opioid </w:t>
      </w:r>
      <w:proofErr w:type="spellStart"/>
      <w:r>
        <w:rPr>
          <w:lang w:val="en-US"/>
        </w:rPr>
        <w:t>pascatonsilektomi</w:t>
      </w:r>
      <w:proofErr w:type="spellEnd"/>
      <w:r>
        <w:rPr>
          <w:lang w:val="en-US"/>
        </w:rPr>
        <w:t xml:space="preserve">. Dexmedetomidine dalam </w:t>
      </w:r>
      <w:proofErr w:type="spellStart"/>
      <w:r>
        <w:rPr>
          <w:lang w:val="en-US"/>
        </w:rPr>
        <w:t>kombinasi</w:t>
      </w:r>
      <w:proofErr w:type="spellEnd"/>
      <w:r>
        <w:rPr>
          <w:lang w:val="en-US"/>
        </w:rPr>
        <w:t xml:space="preserve"> dengan acetaminophen </w:t>
      </w:r>
      <w:proofErr w:type="spellStart"/>
      <w:r>
        <w:rPr>
          <w:lang w:val="en-US"/>
        </w:rPr>
        <w:t>menghilangkan</w:t>
      </w:r>
      <w:proofErr w:type="spellEnd"/>
      <w:r>
        <w:rPr>
          <w:lang w:val="en-US"/>
        </w:rPr>
        <w:t xml:space="preserve"> </w:t>
      </w:r>
      <w:proofErr w:type="spellStart"/>
      <w:r>
        <w:rPr>
          <w:lang w:val="en-US"/>
        </w:rPr>
        <w:t>kebutuhan</w:t>
      </w:r>
      <w:proofErr w:type="spellEnd"/>
      <w:r>
        <w:rPr>
          <w:lang w:val="en-US"/>
        </w:rPr>
        <w:t xml:space="preserve"> opioid </w:t>
      </w:r>
      <w:proofErr w:type="spellStart"/>
      <w:r>
        <w:rPr>
          <w:lang w:val="en-US"/>
        </w:rPr>
        <w:t>pascabedah</w:t>
      </w:r>
      <w:proofErr w:type="spellEnd"/>
      <w:r>
        <w:rPr>
          <w:lang w:val="en-US"/>
        </w:rPr>
        <w:t xml:space="preserve"> dalam </w:t>
      </w:r>
      <w:proofErr w:type="spellStart"/>
      <w:r>
        <w:rPr>
          <w:lang w:val="en-US"/>
        </w:rPr>
        <w:t>periode</w:t>
      </w:r>
      <w:proofErr w:type="spellEnd"/>
      <w:r>
        <w:rPr>
          <w:lang w:val="en-US"/>
        </w:rPr>
        <w:t xml:space="preserve"> pemulihan.</w:t>
      </w:r>
      <w:r>
        <w:rPr>
          <w:lang w:val="en-US"/>
        </w:rPr>
        <w:fldChar w:fldCharType="begin" w:fldLock="1"/>
      </w:r>
      <w:r>
        <w:rPr>
          <w:lang w:val="en-US"/>
        </w:rPr>
        <w:instrText>ADDIN CSL_CITATION {"citationItems":[{"id":"ITEM-1","itemData":{"DOI":"10.3390/jcm11030561","ISSN":"20770383","abstract":"Administration of post-operative opioids following pediatric tonsillectomy can elicit respiratory events in this patient population that often arise as central and obstructive sleep apnea. The primary objective of this study was to determine whether a perioperative combination of dexmedetomidine and acetaminophen could eliminate post-operative (in recovery and at home) opioid requirements. Following IRB approval and a waiver for informed consent, the medical records of 681 patients who underwent tonsillectomy between 1 January 2013 and 31 December 2018 were evaluated. Between 1 January 2013 and 31 December 2015, all patients received a fentanyl-sevoflurane-based anesthetic, without acetaminophen or dexmedetomidine, and received opioids in recovery and for discharge home. On 1 January 2016, an institution-wide practice change replaced this protocol with a multimodal perioperative regimen of acetaminophen (intravenous or enteral) and dexmedetomidine and eliminated post-operative opioids. This is the first time that the effect of an acetaminophen and dexmedetomidine combination on the perioperative and home opioid requirement has been reported. Primarily, we compared the need for rescue opioids in the post-anesthesia care period and after discharge. The multi-modal protocol eliminated the need for post-tonsillectomy opioid administration. Dexmedetomidine in combination with acetaminophen eliminated the need for post-operative opioids in the recovery period.","author":[{"dropping-particle":"","family":"Rudikoff","given":"Andrew G.","non-dropping-particle":"","parse-names":false,"suffix":""},{"dropping-particle":"","family":"Tieu","given":"David D.","non-dropping-particle":"","parse-names":false,"suffix":""},{"dropping-particle":"","family":"Banzali","given":"Franklin M.","non-dropping-particle":"","parse-names":false,"suffix":""},{"dropping-particle":"V.","family":"Nguyen","given":"Carolyn","non-dropping-particle":"","parse-names":false,"suffix":""},{"dropping-particle":"","family":"Rettig","given":"Robert L.","non-dropping-particle":"","parse-names":false,"suffix":""},{"dropping-particle":"","family":"Nashed","given":"Marlene M.","non-dropping-particle":"","parse-names":false,"suffix":""},{"dropping-particle":"","family":"Mora-Marquez","given":"Janet","non-dropping-particle":"","parse-names":false,"suffix":""},{"dropping-particle":"","family":"Chen","given":"Qiaoling","non-dropping-particle":"","parse-names":false,"suffix":""},{"dropping-particle":"","family":"Conte","given":"Antonio Hernandez","non-dropping-particle":"","parse-names":false,"suffix":""},{"dropping-particle":"","family":"Mason","given":"Keira P.","non-dropping-particle":"","parse-names":false,"suffix":""}],"container-title":"Journal of Clinical Medicine","id":"ITEM-1","issue":"3","issued":{"date-parts":[["2022"]]},"page":"1-7","title":"Perioperative Acetaminophen and Dexmedetomidine Eliminate Post-Operative Opioid Requirement following Pediatric Tonsillectomy","type":"article-journal","volume":"11"},"uris":["http://www.mendeley.com/documents/?uuid=b880169c-f050-4308-9ac3-dd1a1bf2ecf1"]}],"mendeley":{"formattedCitation":"&lt;sup&gt;46&lt;/sup&gt;","plainTextFormattedCitation":"46","previouslyFormattedCitation":"&lt;sup&gt;46&lt;/sup&gt;"},"properties":{"noteIndex":0},"schema":"https://github.com/citation-style-language/schema/raw/master/csl-citation.json"}</w:instrText>
      </w:r>
      <w:r>
        <w:rPr>
          <w:lang w:val="en-US"/>
        </w:rPr>
        <w:fldChar w:fldCharType="separate"/>
      </w:r>
      <w:r>
        <w:rPr>
          <w:noProof/>
          <w:vertAlign w:val="superscript"/>
          <w:lang w:val="en-US"/>
        </w:rPr>
        <w:t>46</w:t>
      </w:r>
      <w:r>
        <w:rPr>
          <w:lang w:val="en-US"/>
        </w:rPr>
        <w:fldChar w:fldCharType="end"/>
      </w:r>
      <w:r>
        <w:rPr>
          <w:lang w:val="en-US"/>
        </w:rPr>
        <w:t xml:space="preserve"> </w:t>
      </w:r>
      <w:r>
        <w:rPr>
          <w:color w:val="231F20"/>
          <w:lang w:val="id-ID"/>
        </w:rPr>
        <w:t xml:space="preserve">Penelitian lain melaporkan bahwa </w:t>
      </w:r>
      <w:r>
        <w:rPr>
          <w:lang w:val="id-ID"/>
        </w:rPr>
        <w:t>adujan</w:t>
      </w:r>
      <w:r>
        <w:rPr>
          <w:lang w:val="en-US"/>
        </w:rPr>
        <w:t xml:space="preserve"> dexmedetomidine ke ropivacaine untuk </w:t>
      </w:r>
      <w:proofErr w:type="spellStart"/>
      <w:r>
        <w:rPr>
          <w:lang w:val="en-US"/>
        </w:rPr>
        <w:t>anestesi</w:t>
      </w:r>
      <w:proofErr w:type="spellEnd"/>
      <w:r>
        <w:rPr>
          <w:lang w:val="en-US"/>
        </w:rPr>
        <w:t xml:space="preserve"> infiltrasi </w:t>
      </w:r>
      <w:proofErr w:type="spellStart"/>
      <w:r>
        <w:rPr>
          <w:lang w:val="en-US"/>
        </w:rPr>
        <w:t>lokal</w:t>
      </w:r>
      <w:proofErr w:type="spellEnd"/>
      <w:r>
        <w:rPr>
          <w:lang w:val="en-US"/>
        </w:rPr>
        <w:t xml:space="preserve"> </w:t>
      </w:r>
      <w:proofErr w:type="spellStart"/>
      <w:r>
        <w:rPr>
          <w:lang w:val="en-US"/>
        </w:rPr>
        <w:t>lebih</w:t>
      </w:r>
      <w:proofErr w:type="spellEnd"/>
      <w:r>
        <w:rPr>
          <w:lang w:val="en-US"/>
        </w:rPr>
        <w:t xml:space="preserve"> </w:t>
      </w:r>
      <w:proofErr w:type="spellStart"/>
      <w:r>
        <w:rPr>
          <w:lang w:val="en-US"/>
        </w:rPr>
        <w:t>efektif</w:t>
      </w:r>
      <w:proofErr w:type="spellEnd"/>
      <w:r>
        <w:rPr>
          <w:lang w:val="en-US"/>
        </w:rPr>
        <w:t xml:space="preserve"> </w:t>
      </w:r>
      <w:proofErr w:type="spellStart"/>
      <w:r>
        <w:rPr>
          <w:lang w:val="en-US"/>
        </w:rPr>
        <w:t>daripada</w:t>
      </w:r>
      <w:proofErr w:type="spellEnd"/>
      <w:r>
        <w:rPr>
          <w:lang w:val="en-US"/>
        </w:rPr>
        <w:t xml:space="preserve"> ropivacaine saja dalam </w:t>
      </w:r>
      <w:proofErr w:type="spellStart"/>
      <w:r>
        <w:rPr>
          <w:lang w:val="en-US"/>
        </w:rPr>
        <w:t>meredakan</w:t>
      </w:r>
      <w:proofErr w:type="spellEnd"/>
      <w:r>
        <w:rPr>
          <w:lang w:val="en-US"/>
        </w:rPr>
        <w:t xml:space="preserve"> </w:t>
      </w:r>
      <w:proofErr w:type="spellStart"/>
      <w:r>
        <w:rPr>
          <w:lang w:val="en-US"/>
        </w:rPr>
        <w:t>nyeri</w:t>
      </w:r>
      <w:proofErr w:type="spellEnd"/>
      <w:r>
        <w:rPr>
          <w:lang w:val="en-US"/>
        </w:rPr>
        <w:t xml:space="preserve"> </w:t>
      </w:r>
      <w:proofErr w:type="spellStart"/>
      <w:r>
        <w:rPr>
          <w:lang w:val="en-US"/>
        </w:rPr>
        <w:t>setelah</w:t>
      </w:r>
      <w:proofErr w:type="spellEnd"/>
      <w:r>
        <w:rPr>
          <w:lang w:val="en-US"/>
        </w:rPr>
        <w:t xml:space="preserve"> </w:t>
      </w:r>
      <w:proofErr w:type="spellStart"/>
      <w:r>
        <w:rPr>
          <w:lang w:val="en-US"/>
        </w:rPr>
        <w:t>tonsilektomi</w:t>
      </w:r>
      <w:proofErr w:type="spellEnd"/>
      <w:r>
        <w:rPr>
          <w:lang w:val="en-US"/>
        </w:rPr>
        <w:t xml:space="preserve"> dan </w:t>
      </w:r>
      <w:proofErr w:type="spellStart"/>
      <w:r>
        <w:rPr>
          <w:lang w:val="en-US"/>
        </w:rPr>
        <w:t>adenoidektomi</w:t>
      </w:r>
      <w:proofErr w:type="spellEnd"/>
      <w:r>
        <w:rPr>
          <w:lang w:val="en-US"/>
        </w:rPr>
        <w:t>.</w:t>
      </w:r>
      <w:r>
        <w:rPr>
          <w:rFonts w:eastAsiaTheme="minorEastAsia" w:hint="eastAsia"/>
          <w:lang w:eastAsia="zh-CN"/>
        </w:rPr>
        <w:t xml:space="preserve"> </w:t>
      </w:r>
      <w:r>
        <w:rPr>
          <w:lang w:val="id-ID" w:eastAsia="zh-CN"/>
        </w:rPr>
        <w:t>P</w:t>
      </w:r>
      <w:proofErr w:type="spellStart"/>
      <w:r>
        <w:rPr>
          <w:lang w:val="en-US" w:eastAsia="zh-CN"/>
        </w:rPr>
        <w:t>enyerapan</w:t>
      </w:r>
      <w:proofErr w:type="spellEnd"/>
      <w:r>
        <w:rPr>
          <w:lang w:val="en-US" w:eastAsia="zh-CN"/>
        </w:rPr>
        <w:t xml:space="preserve"> dexmedetomidine </w:t>
      </w:r>
      <w:proofErr w:type="spellStart"/>
      <w:r>
        <w:rPr>
          <w:lang w:val="en-US" w:eastAsia="zh-CN"/>
        </w:rPr>
        <w:t>sistemik</w:t>
      </w:r>
      <w:proofErr w:type="spellEnd"/>
      <w:r>
        <w:rPr>
          <w:lang w:val="en-US" w:eastAsia="zh-CN"/>
        </w:rPr>
        <w:t xml:space="preserve"> yang </w:t>
      </w:r>
      <w:proofErr w:type="spellStart"/>
      <w:r>
        <w:rPr>
          <w:lang w:val="en-US" w:eastAsia="zh-CN"/>
        </w:rPr>
        <w:t>tertunda</w:t>
      </w:r>
      <w:proofErr w:type="spellEnd"/>
      <w:r>
        <w:rPr>
          <w:lang w:val="en-US" w:eastAsia="zh-CN"/>
        </w:rPr>
        <w:t xml:space="preserve"> </w:t>
      </w:r>
      <w:proofErr w:type="spellStart"/>
      <w:r>
        <w:rPr>
          <w:lang w:val="en-US" w:eastAsia="zh-CN"/>
        </w:rPr>
        <w:t>memberikan</w:t>
      </w:r>
      <w:proofErr w:type="spellEnd"/>
      <w:r>
        <w:rPr>
          <w:lang w:val="en-US" w:eastAsia="zh-CN"/>
        </w:rPr>
        <w:t xml:space="preserve"> </w:t>
      </w:r>
      <w:proofErr w:type="spellStart"/>
      <w:r>
        <w:rPr>
          <w:lang w:val="en-US" w:eastAsia="zh-CN"/>
        </w:rPr>
        <w:t>kontribusi</w:t>
      </w:r>
      <w:proofErr w:type="spellEnd"/>
      <w:r>
        <w:rPr>
          <w:lang w:val="en-US" w:eastAsia="zh-CN"/>
        </w:rPr>
        <w:t xml:space="preserve"> untuk </w:t>
      </w:r>
      <w:proofErr w:type="spellStart"/>
      <w:r>
        <w:rPr>
          <w:lang w:val="en-US" w:eastAsia="zh-CN"/>
        </w:rPr>
        <w:t>menghilangkan</w:t>
      </w:r>
      <w:proofErr w:type="spellEnd"/>
      <w:r>
        <w:rPr>
          <w:lang w:val="en-US" w:eastAsia="zh-CN"/>
        </w:rPr>
        <w:t xml:space="preserve"> rasa </w:t>
      </w:r>
      <w:proofErr w:type="spellStart"/>
      <w:r>
        <w:rPr>
          <w:lang w:val="en-US" w:eastAsia="zh-CN"/>
        </w:rPr>
        <w:t>sakit</w:t>
      </w:r>
      <w:proofErr w:type="spellEnd"/>
      <w:r>
        <w:rPr>
          <w:lang w:val="en-US" w:eastAsia="zh-CN"/>
        </w:rPr>
        <w:t xml:space="preserve"> pascabedah.</w:t>
      </w:r>
      <w:r>
        <w:rPr>
          <w:lang w:val="en-US"/>
        </w:rPr>
        <w:fldChar w:fldCharType="begin" w:fldLock="1"/>
      </w:r>
      <w:r>
        <w:rPr>
          <w:lang w:val="en-US" w:eastAsia="zh-CN"/>
        </w:rPr>
        <w:instrText xml:space="preserve">ADDIN CSL_CITATION {"citationItems":[{"id":"ITEM-1","itemData":{"DOI":"10.1016/j.ijporl.2020.110168","ISSN":"18728464","PMID":"32658797","abstract":"Objectives: The aim of this study was to determine whether the addition of dexmedetomidine to ropivacaine for local infiltration anaesthesia was more effective than ropivacaine alone in attenuating pain after tonsillectomy and adenoidectomy. Methods: This was a double-blind randomized clinical trial. One hundred and twenty children scheduled for tonsillectomy and adenoidectomy using a combination of general anaesthesia and local infiltration anaesthesia were randomized into the dexmedetomidine plus ropivacaine group (DR) and ropivacaine group (R). The children were locally infiltrated with 1 </w:instrText>
      </w:r>
      <w:r>
        <w:rPr>
          <w:lang w:val="en-US"/>
        </w:rPr>
        <w:instrText>μ</w:instrText>
      </w:r>
      <w:r>
        <w:rPr>
          <w:lang w:val="en-US" w:eastAsia="zh-CN"/>
        </w:rPr>
        <w:instrText>g kg−1 dexmedetomidine and 0.25% ropivacaine in the DR group or 0.25% ropivacaine alone in the R group. In both groups, local infiltration anaesthesia was performed using 5 ml of solution. The pain scores were recorded at the 1st, 4th, 8th, 12th, 16th, 20th, and 24th hours after surgery using the Face Legs Activity Cry Consolability (FLACC) scale. When the pain score exceeded 4, paracetamol syrup (15 mg kg−1) was administered as a rescue analgesic. Time to the first administration of analgesic was recorded. Results: 8th, 16th, 20th, and 24th hours after surgery, the children in the DR group had lower pain scores than those in th</w:instrText>
      </w:r>
      <w:r>
        <w:rPr>
          <w:lang w:val="en-US"/>
        </w:rPr>
        <w:instrText>e R group (P&lt;0.05). The time to the first administration of analgesic was significantly longer in the DR group (mean: 10.4 h, range: 9.4–11.4 h) than in the R group (mean: 8.1 h, range: 7.3–8.8 h) (P &lt; 0.001). Conclusion: The addition of dexmedetomidine to ropivacaine for local infiltration anaesthesia effectively improved the efficacy of analgesia and extended the duration of analgesia after tonsillectomy and adenoidectomy.","author":[{"dropping-particle":"","family":"Hao","given":"Jianhong","non-dropping-particle":"","parse-names":false,"suffix":""},{"dropping-particle":"","family":"Wu","given":"Zanqing","non-dropping-particle":"","parse-names":false,"suffix":""},{"dropping-particle":"","family":"Luo","given":"Zhenguo","non-dropping-particle":"","parse-names":false,"suffix":""},{"dropping-particle":"","family":"Dong","given":"Buhuai","non-dropping-particle":"","parse-names":false,"suffix":""}],"container-title":"International Journal of Pediatric Otorhinolaryngology","id":"ITEM-1","issued":{"date-parts":[["2020"]]},"page":"110168","publisher":"Elsevier B.V.","title":"Addition of dexmedetomidine to ropivacaine for local infiltration anaesthesia improves analgesic efficacy after tonsillectomy and adenoidectomy: A randomized controlled trial","type":"article-journal","volume":"137"},"uris":["http://www.mendeley.com/documents/?uuid=339512b3-e2cd-42af-9380-52392400827c"]}],"mendeley":{"formattedCitation":"&lt;sup&gt;47&lt;/sup&gt;","plainTextFormattedCitation":"47","previouslyFormattedCitation":"&lt;sup&gt;47&lt;/sup&gt;"},"properties":{"noteIndex":0},"schema":"https://github.com/citation-style-language/schema/raw/master/csl-citation.json"}</w:instrText>
      </w:r>
      <w:r>
        <w:rPr>
          <w:lang w:val="en-US"/>
        </w:rPr>
        <w:fldChar w:fldCharType="separate"/>
      </w:r>
      <w:r>
        <w:rPr>
          <w:noProof/>
          <w:vertAlign w:val="superscript"/>
          <w:lang w:val="en-US"/>
        </w:rPr>
        <w:t>47</w:t>
      </w:r>
      <w:r>
        <w:rPr>
          <w:lang w:val="en-US"/>
        </w:rPr>
        <w:fldChar w:fldCharType="end"/>
      </w:r>
      <w:r>
        <w:rPr>
          <w:lang w:val="en-US"/>
        </w:rPr>
        <w:t xml:space="preserve"> </w:t>
      </w:r>
    </w:p>
    <w:p w14:paraId="572C7ADA" w14:textId="77777777" w:rsidR="003B79BC" w:rsidRDefault="00000000">
      <w:pPr>
        <w:spacing w:line="360" w:lineRule="auto"/>
        <w:ind w:firstLine="709"/>
        <w:jc w:val="both"/>
        <w:rPr>
          <w:lang w:val="en-US"/>
        </w:rPr>
      </w:pPr>
      <w:r>
        <w:rPr>
          <w:lang w:val="en-US"/>
        </w:rPr>
        <w:lastRenderedPageBreak/>
        <w:t xml:space="preserve">Dexmedetomidine </w:t>
      </w:r>
      <w:r>
        <w:rPr>
          <w:lang w:val="id-ID"/>
        </w:rPr>
        <w:t>m</w:t>
      </w:r>
      <w:proofErr w:type="spellStart"/>
      <w:r>
        <w:rPr>
          <w:lang w:val="en-US"/>
        </w:rPr>
        <w:t>encegahan</w:t>
      </w:r>
      <w:proofErr w:type="spellEnd"/>
      <w:r>
        <w:rPr>
          <w:lang w:val="en-US"/>
        </w:rPr>
        <w:t xml:space="preserve"> </w:t>
      </w:r>
      <w:proofErr w:type="spellStart"/>
      <w:r>
        <w:rPr>
          <w:lang w:val="en-US"/>
        </w:rPr>
        <w:t>munculnya</w:t>
      </w:r>
      <w:proofErr w:type="spellEnd"/>
      <w:r>
        <w:rPr>
          <w:lang w:val="en-US"/>
        </w:rPr>
        <w:t xml:space="preserve"> </w:t>
      </w:r>
      <w:proofErr w:type="spellStart"/>
      <w:r>
        <w:rPr>
          <w:lang w:val="en-US"/>
        </w:rPr>
        <w:t>agitasi</w:t>
      </w:r>
      <w:proofErr w:type="spellEnd"/>
      <w:r>
        <w:rPr>
          <w:lang w:val="id-ID"/>
        </w:rPr>
        <w:t xml:space="preserve">. </w:t>
      </w:r>
      <w:r>
        <w:rPr>
          <w:lang w:val="en-US"/>
        </w:rPr>
        <w:t>Dexmedetomidine dengan dosis 0,25-0,38</w:t>
      </w:r>
      <w:r>
        <w:rPr>
          <w:lang w:val="id-ID"/>
        </w:rPr>
        <w:t xml:space="preserve"> </w:t>
      </w:r>
      <w:proofErr w:type="spellStart"/>
      <w:r>
        <w:rPr>
          <w:lang w:val="en-US"/>
        </w:rPr>
        <w:t>μg</w:t>
      </w:r>
      <w:proofErr w:type="spellEnd"/>
      <w:r>
        <w:rPr>
          <w:lang w:val="en-US"/>
        </w:rPr>
        <w:t xml:space="preserve">/kg </w:t>
      </w:r>
      <w:proofErr w:type="spellStart"/>
      <w:r>
        <w:rPr>
          <w:lang w:val="en-US"/>
        </w:rPr>
        <w:t>telah</w:t>
      </w:r>
      <w:proofErr w:type="spellEnd"/>
      <w:r>
        <w:rPr>
          <w:lang w:val="en-US"/>
        </w:rPr>
        <w:t xml:space="preserve"> </w:t>
      </w:r>
      <w:proofErr w:type="spellStart"/>
      <w:r>
        <w:rPr>
          <w:lang w:val="en-US"/>
        </w:rPr>
        <w:t>dicoba</w:t>
      </w:r>
      <w:proofErr w:type="spellEnd"/>
      <w:r>
        <w:rPr>
          <w:lang w:val="en-US"/>
        </w:rPr>
        <w:t xml:space="preserve"> untuk </w:t>
      </w:r>
      <w:proofErr w:type="spellStart"/>
      <w:r>
        <w:rPr>
          <w:lang w:val="en-US"/>
        </w:rPr>
        <w:t>memberikan</w:t>
      </w:r>
      <w:proofErr w:type="spellEnd"/>
      <w:r>
        <w:rPr>
          <w:lang w:val="en-US"/>
        </w:rPr>
        <w:t xml:space="preserve"> </w:t>
      </w:r>
      <w:proofErr w:type="spellStart"/>
      <w:r>
        <w:rPr>
          <w:lang w:val="en-US"/>
        </w:rPr>
        <w:t>hemodinamik</w:t>
      </w:r>
      <w:proofErr w:type="spellEnd"/>
      <w:r>
        <w:rPr>
          <w:lang w:val="en-US"/>
        </w:rPr>
        <w:t xml:space="preserve"> </w:t>
      </w:r>
      <w:proofErr w:type="spellStart"/>
      <w:r>
        <w:rPr>
          <w:lang w:val="en-US"/>
        </w:rPr>
        <w:t>intraoperatif</w:t>
      </w:r>
      <w:proofErr w:type="spellEnd"/>
      <w:r>
        <w:rPr>
          <w:lang w:val="en-US"/>
        </w:rPr>
        <w:t xml:space="preserve"> yang </w:t>
      </w:r>
      <w:proofErr w:type="spellStart"/>
      <w:r>
        <w:rPr>
          <w:lang w:val="en-US"/>
        </w:rPr>
        <w:t>stabil</w:t>
      </w:r>
      <w:proofErr w:type="spellEnd"/>
      <w:r>
        <w:rPr>
          <w:lang w:val="en-US"/>
        </w:rPr>
        <w:t xml:space="preserve"> dan juga untuk </w:t>
      </w:r>
      <w:proofErr w:type="spellStart"/>
      <w:r>
        <w:rPr>
          <w:lang w:val="en-US"/>
        </w:rPr>
        <w:t>mencegah</w:t>
      </w:r>
      <w:proofErr w:type="spellEnd"/>
      <w:r>
        <w:rPr>
          <w:lang w:val="en-US"/>
        </w:rPr>
        <w:t xml:space="preserve"> </w:t>
      </w:r>
      <w:proofErr w:type="spellStart"/>
      <w:r>
        <w:rPr>
          <w:lang w:val="en-US"/>
        </w:rPr>
        <w:t>munculnya</w:t>
      </w:r>
      <w:proofErr w:type="spellEnd"/>
      <w:r>
        <w:rPr>
          <w:lang w:val="en-US"/>
        </w:rPr>
        <w:t xml:space="preserve"> </w:t>
      </w:r>
      <w:proofErr w:type="spellStart"/>
      <w:r>
        <w:rPr>
          <w:lang w:val="en-US"/>
        </w:rPr>
        <w:t>agitasi</w:t>
      </w:r>
      <w:proofErr w:type="spellEnd"/>
      <w:r>
        <w:rPr>
          <w:lang w:val="en-US"/>
        </w:rPr>
        <w:t xml:space="preserve"> yang </w:t>
      </w:r>
      <w:proofErr w:type="spellStart"/>
      <w:r>
        <w:rPr>
          <w:lang w:val="en-US"/>
        </w:rPr>
        <w:t>dihasilkan</w:t>
      </w:r>
      <w:proofErr w:type="spellEnd"/>
      <w:r>
        <w:rPr>
          <w:lang w:val="en-US"/>
        </w:rPr>
        <w:t xml:space="preserve"> oleh </w:t>
      </w:r>
      <w:proofErr w:type="spellStart"/>
      <w:r>
        <w:rPr>
          <w:lang w:val="en-US"/>
        </w:rPr>
        <w:t>sevofluran</w:t>
      </w:r>
      <w:proofErr w:type="spellEnd"/>
      <w:r>
        <w:rPr>
          <w:lang w:val="en-US"/>
        </w:rPr>
        <w:t xml:space="preserve"> dan </w:t>
      </w:r>
      <w:proofErr w:type="spellStart"/>
      <w:r>
        <w:rPr>
          <w:lang w:val="en-US"/>
        </w:rPr>
        <w:t>desfluran</w:t>
      </w:r>
      <w:proofErr w:type="spellEnd"/>
      <w:r>
        <w:rPr>
          <w:lang w:val="en-US"/>
        </w:rPr>
        <w:t xml:space="preserve">. Dengan </w:t>
      </w:r>
      <w:proofErr w:type="spellStart"/>
      <w:r>
        <w:rPr>
          <w:lang w:val="en-US"/>
        </w:rPr>
        <w:t>demikian</w:t>
      </w:r>
      <w:proofErr w:type="spellEnd"/>
      <w:r>
        <w:rPr>
          <w:lang w:val="en-US"/>
        </w:rPr>
        <w:t xml:space="preserve">, dexmedetomidine </w:t>
      </w:r>
      <w:proofErr w:type="spellStart"/>
      <w:r>
        <w:rPr>
          <w:lang w:val="en-US"/>
        </w:rPr>
        <w:t>memiliki</w:t>
      </w:r>
      <w:proofErr w:type="spellEnd"/>
      <w:r>
        <w:rPr>
          <w:lang w:val="en-US"/>
        </w:rPr>
        <w:t xml:space="preserve"> </w:t>
      </w:r>
      <w:proofErr w:type="spellStart"/>
      <w:r>
        <w:rPr>
          <w:lang w:val="en-US"/>
        </w:rPr>
        <w:t>peran</w:t>
      </w:r>
      <w:proofErr w:type="spellEnd"/>
      <w:r>
        <w:rPr>
          <w:lang w:val="en-US"/>
        </w:rPr>
        <w:t xml:space="preserve"> </w:t>
      </w:r>
      <w:proofErr w:type="spellStart"/>
      <w:r>
        <w:rPr>
          <w:lang w:val="en-US"/>
        </w:rPr>
        <w:t>definitif</w:t>
      </w:r>
      <w:proofErr w:type="spellEnd"/>
      <w:r>
        <w:rPr>
          <w:lang w:val="en-US"/>
        </w:rPr>
        <w:t xml:space="preserve"> dalam </w:t>
      </w:r>
      <w:proofErr w:type="spellStart"/>
      <w:r>
        <w:rPr>
          <w:lang w:val="en-US"/>
        </w:rPr>
        <w:t>pencegahan</w:t>
      </w:r>
      <w:proofErr w:type="spellEnd"/>
      <w:r>
        <w:rPr>
          <w:lang w:val="en-US"/>
        </w:rPr>
        <w:t xml:space="preserve"> </w:t>
      </w:r>
      <w:proofErr w:type="spellStart"/>
      <w:r>
        <w:rPr>
          <w:lang w:val="en-US"/>
        </w:rPr>
        <w:t>munculnya</w:t>
      </w:r>
      <w:proofErr w:type="spellEnd"/>
      <w:r>
        <w:rPr>
          <w:lang w:val="en-US"/>
        </w:rPr>
        <w:t xml:space="preserve"> </w:t>
      </w:r>
      <w:proofErr w:type="spellStart"/>
      <w:r>
        <w:rPr>
          <w:lang w:val="en-US"/>
        </w:rPr>
        <w:t>agitasi</w:t>
      </w:r>
      <w:proofErr w:type="spellEnd"/>
      <w:r>
        <w:rPr>
          <w:lang w:val="en-US"/>
        </w:rPr>
        <w:t xml:space="preserve"> </w:t>
      </w:r>
      <w:proofErr w:type="spellStart"/>
      <w:r>
        <w:rPr>
          <w:lang w:val="en-US"/>
        </w:rPr>
        <w:t>setelah</w:t>
      </w:r>
      <w:proofErr w:type="spellEnd"/>
      <w:r>
        <w:rPr>
          <w:lang w:val="en-US"/>
        </w:rPr>
        <w:t xml:space="preserve"> tonsilektomi.</w:t>
      </w:r>
      <w:r>
        <w:rPr>
          <w:lang w:val="en-US"/>
        </w:rPr>
        <w:fldChar w:fldCharType="begin" w:fldLock="1"/>
      </w:r>
      <w:r>
        <w:rPr>
          <w:lang w:val="en-US"/>
        </w:rPr>
        <w:instrText>ADDIN CSL_CITATION {"citationItems":[{"id":"ITEM-1","itemData":{"DOI":"10.4103/0019-5049.199855","ISSN":"00195049","abstract":"Adenotonsillectomy remains one of the most common surgical procedures carried out in children. Though a commonly performed procedure, it poses a great challenge to the surgeon as well as the anaesthesiologist and is associated with a substantially increased risk of morbidity and mortality. In the post‑operative period, it poses threats such as post‑tonsillectomy bleeding and airway obstruction if not diagnosed and treated promptly. Various recent advances in airway management and early detection of post‑operative complications have been made to reduce the sequelae associated with tonsillectomy. In this article, we have reviewed the various techniques, complications and recent advances, which have evolved in the anaesthetic technique related to adenotonsillectomy.","author":[{"dropping-particle":"","family":"Bangera","given":"Anand","non-dropping-particle":"","parse-names":false,"suffix":""}],"container-title":"Indian Journal of Anaesthesia","id":"ITEM-1","issue":"2","issued":{"date-parts":[["2017"]]},"page":"103-109","title":"Anaesthesia for adenotonsillectomy: An update","type":"article-journal","volume":"61"},"uris":["http://www.mendeley.com/documents/?uuid=8b72a035-d3f0-434e-95fb-49b60ab69325"]}],"mendeley":{"formattedCitation":"&lt;sup&gt;8&lt;/sup&gt;","plainTextFormattedCitation":"8","previouslyFormattedCitation":"&lt;sup&gt;8&lt;/sup&gt;"},"properties":{"noteIndex":0},"schema":"https://github.com/citation-style-language/schema/raw/master/csl-citation.json"}</w:instrText>
      </w:r>
      <w:r>
        <w:rPr>
          <w:lang w:val="en-US"/>
        </w:rPr>
        <w:fldChar w:fldCharType="separate"/>
      </w:r>
      <w:r>
        <w:rPr>
          <w:noProof/>
          <w:vertAlign w:val="superscript"/>
          <w:lang w:val="en-US"/>
        </w:rPr>
        <w:t>8</w:t>
      </w:r>
      <w:r>
        <w:rPr>
          <w:lang w:val="en-US"/>
        </w:rPr>
        <w:fldChar w:fldCharType="end"/>
      </w:r>
      <w:r>
        <w:rPr>
          <w:lang w:val="id-ID"/>
        </w:rPr>
        <w:t xml:space="preserve"> </w:t>
      </w:r>
    </w:p>
    <w:p w14:paraId="6071D23D" w14:textId="77777777" w:rsidR="003B79BC" w:rsidRDefault="00000000">
      <w:pPr>
        <w:spacing w:line="360" w:lineRule="auto"/>
        <w:ind w:firstLine="709"/>
        <w:jc w:val="both"/>
        <w:rPr>
          <w:lang w:val="id-ID"/>
        </w:rPr>
      </w:pPr>
      <w:r>
        <w:rPr>
          <w:lang w:val="id-ID"/>
        </w:rPr>
        <w:t xml:space="preserve">Penggunaan </w:t>
      </w:r>
      <w:r>
        <w:rPr>
          <w:color w:val="000000"/>
          <w:lang w:val="en-US"/>
        </w:rPr>
        <w:t>dexmedetomidine</w:t>
      </w:r>
      <w:r>
        <w:rPr>
          <w:color w:val="000000"/>
          <w:lang w:val="id-ID"/>
        </w:rPr>
        <w:t xml:space="preserve"> pada bedah selain bedah tonsil dilaporkan bahwa i</w:t>
      </w:r>
      <w:proofErr w:type="spellStart"/>
      <w:r>
        <w:rPr>
          <w:color w:val="000000"/>
          <w:lang w:val="en-US"/>
        </w:rPr>
        <w:t>nfus</w:t>
      </w:r>
      <w:proofErr w:type="spellEnd"/>
      <w:r>
        <w:rPr>
          <w:color w:val="000000"/>
          <w:lang w:val="en-US"/>
        </w:rPr>
        <w:t xml:space="preserve"> </w:t>
      </w:r>
      <w:proofErr w:type="spellStart"/>
      <w:r>
        <w:rPr>
          <w:color w:val="000000"/>
          <w:lang w:val="en-US"/>
        </w:rPr>
        <w:t>tunggal</w:t>
      </w:r>
      <w:proofErr w:type="spellEnd"/>
      <w:r>
        <w:rPr>
          <w:color w:val="000000"/>
          <w:lang w:val="en-US"/>
        </w:rPr>
        <w:t xml:space="preserve"> dexmedetomidine 1 </w:t>
      </w:r>
      <w:proofErr w:type="spellStart"/>
      <w:r>
        <w:rPr>
          <w:color w:val="000000"/>
          <w:lang w:val="en-US"/>
        </w:rPr>
        <w:t>μg</w:t>
      </w:r>
      <w:proofErr w:type="spellEnd"/>
      <w:r>
        <w:rPr>
          <w:color w:val="000000"/>
          <w:lang w:val="en-US"/>
        </w:rPr>
        <w:t xml:space="preserve">/kg </w:t>
      </w:r>
      <w:proofErr w:type="spellStart"/>
      <w:r>
        <w:rPr>
          <w:color w:val="000000"/>
          <w:lang w:val="en-US"/>
        </w:rPr>
        <w:t>preanestetik</w:t>
      </w:r>
      <w:proofErr w:type="spellEnd"/>
      <w:r>
        <w:rPr>
          <w:color w:val="000000"/>
          <w:lang w:val="en-US"/>
        </w:rPr>
        <w:t xml:space="preserve"> </w:t>
      </w:r>
      <w:r>
        <w:rPr>
          <w:color w:val="000000"/>
          <w:lang w:val="id-ID"/>
        </w:rPr>
        <w:t>dinyatakan sebagai</w:t>
      </w:r>
      <w:r>
        <w:rPr>
          <w:color w:val="000000"/>
          <w:lang w:val="en-US"/>
        </w:rPr>
        <w:t xml:space="preserve"> </w:t>
      </w:r>
      <w:proofErr w:type="spellStart"/>
      <w:r>
        <w:rPr>
          <w:color w:val="000000"/>
          <w:lang w:val="en-US"/>
        </w:rPr>
        <w:t>adjuvan</w:t>
      </w:r>
      <w:proofErr w:type="spellEnd"/>
      <w:r>
        <w:rPr>
          <w:color w:val="000000"/>
          <w:lang w:val="en-US"/>
        </w:rPr>
        <w:t xml:space="preserve"> </w:t>
      </w:r>
      <w:proofErr w:type="spellStart"/>
      <w:r>
        <w:rPr>
          <w:color w:val="000000"/>
          <w:lang w:val="en-US"/>
        </w:rPr>
        <w:t>anestesi</w:t>
      </w:r>
      <w:proofErr w:type="spellEnd"/>
      <w:r>
        <w:rPr>
          <w:color w:val="000000"/>
          <w:lang w:val="en-US"/>
        </w:rPr>
        <w:t xml:space="preserve"> </w:t>
      </w:r>
      <w:proofErr w:type="spellStart"/>
      <w:r>
        <w:rPr>
          <w:color w:val="000000"/>
          <w:lang w:val="en-US"/>
        </w:rPr>
        <w:t>umum</w:t>
      </w:r>
      <w:proofErr w:type="spellEnd"/>
      <w:r>
        <w:rPr>
          <w:color w:val="000000"/>
          <w:lang w:val="en-US"/>
        </w:rPr>
        <w:t xml:space="preserve"> yang </w:t>
      </w:r>
      <w:proofErr w:type="spellStart"/>
      <w:r>
        <w:rPr>
          <w:color w:val="000000"/>
          <w:lang w:val="en-US"/>
        </w:rPr>
        <w:t>sederhana</w:t>
      </w:r>
      <w:proofErr w:type="spellEnd"/>
      <w:r>
        <w:rPr>
          <w:color w:val="000000"/>
          <w:lang w:val="en-US"/>
        </w:rPr>
        <w:t xml:space="preserve">, </w:t>
      </w:r>
      <w:proofErr w:type="spellStart"/>
      <w:r>
        <w:rPr>
          <w:color w:val="000000"/>
          <w:lang w:val="en-US"/>
        </w:rPr>
        <w:t>mudah</w:t>
      </w:r>
      <w:proofErr w:type="spellEnd"/>
      <w:r>
        <w:rPr>
          <w:color w:val="000000"/>
          <w:lang w:val="en-US"/>
        </w:rPr>
        <w:t xml:space="preserve">, dan </w:t>
      </w:r>
      <w:proofErr w:type="spellStart"/>
      <w:r>
        <w:rPr>
          <w:color w:val="000000"/>
          <w:lang w:val="en-US"/>
        </w:rPr>
        <w:t>ekonomis</w:t>
      </w:r>
      <w:proofErr w:type="spellEnd"/>
      <w:r>
        <w:rPr>
          <w:color w:val="000000"/>
          <w:lang w:val="en-US"/>
        </w:rPr>
        <w:t xml:space="preserve"> yang </w:t>
      </w:r>
      <w:proofErr w:type="spellStart"/>
      <w:r>
        <w:rPr>
          <w:color w:val="000000"/>
          <w:lang w:val="en-US"/>
        </w:rPr>
        <w:t>mempertahankan</w:t>
      </w:r>
      <w:proofErr w:type="spellEnd"/>
      <w:r>
        <w:rPr>
          <w:color w:val="000000"/>
          <w:lang w:val="en-US"/>
        </w:rPr>
        <w:t xml:space="preserve"> </w:t>
      </w:r>
      <w:proofErr w:type="spellStart"/>
      <w:r>
        <w:rPr>
          <w:color w:val="000000"/>
          <w:lang w:val="en-US"/>
        </w:rPr>
        <w:t>hemodinamik</w:t>
      </w:r>
      <w:proofErr w:type="spellEnd"/>
      <w:r>
        <w:rPr>
          <w:color w:val="000000"/>
          <w:lang w:val="en-US"/>
        </w:rPr>
        <w:t xml:space="preserve"> </w:t>
      </w:r>
      <w:proofErr w:type="spellStart"/>
      <w:r>
        <w:rPr>
          <w:color w:val="000000"/>
          <w:lang w:val="en-US"/>
        </w:rPr>
        <w:t>stabil</w:t>
      </w:r>
      <w:proofErr w:type="spellEnd"/>
      <w:r>
        <w:rPr>
          <w:color w:val="000000"/>
          <w:lang w:val="en-US"/>
        </w:rPr>
        <w:t xml:space="preserve"> dan </w:t>
      </w:r>
      <w:proofErr w:type="spellStart"/>
      <w:r>
        <w:rPr>
          <w:color w:val="000000"/>
          <w:lang w:val="en-US"/>
        </w:rPr>
        <w:t>mengurangi</w:t>
      </w:r>
      <w:proofErr w:type="spellEnd"/>
      <w:r>
        <w:rPr>
          <w:color w:val="000000"/>
          <w:lang w:val="en-US"/>
        </w:rPr>
        <w:t xml:space="preserve"> </w:t>
      </w:r>
      <w:proofErr w:type="spellStart"/>
      <w:r>
        <w:rPr>
          <w:color w:val="000000"/>
          <w:lang w:val="en-US"/>
        </w:rPr>
        <w:t>konsumsi</w:t>
      </w:r>
      <w:proofErr w:type="spellEnd"/>
      <w:r>
        <w:rPr>
          <w:color w:val="000000"/>
          <w:lang w:val="en-US"/>
        </w:rPr>
        <w:t xml:space="preserve"> </w:t>
      </w:r>
      <w:proofErr w:type="spellStart"/>
      <w:r>
        <w:rPr>
          <w:color w:val="000000"/>
          <w:lang w:val="en-US"/>
        </w:rPr>
        <w:t>anestesi</w:t>
      </w:r>
      <w:proofErr w:type="spellEnd"/>
      <w:r>
        <w:rPr>
          <w:color w:val="000000"/>
          <w:lang w:val="en-US"/>
        </w:rPr>
        <w:t xml:space="preserve"> tanpa </w:t>
      </w:r>
      <w:proofErr w:type="spellStart"/>
      <w:r>
        <w:rPr>
          <w:color w:val="000000"/>
          <w:lang w:val="en-US"/>
        </w:rPr>
        <w:t>mengubah</w:t>
      </w:r>
      <w:proofErr w:type="spellEnd"/>
      <w:r>
        <w:rPr>
          <w:color w:val="000000"/>
          <w:lang w:val="en-US"/>
        </w:rPr>
        <w:t xml:space="preserve"> </w:t>
      </w:r>
      <w:proofErr w:type="spellStart"/>
      <w:r>
        <w:rPr>
          <w:color w:val="000000"/>
          <w:lang w:val="en-US"/>
        </w:rPr>
        <w:t>profil</w:t>
      </w:r>
      <w:proofErr w:type="spellEnd"/>
      <w:r>
        <w:rPr>
          <w:color w:val="000000"/>
          <w:lang w:val="en-US"/>
        </w:rPr>
        <w:t xml:space="preserve"> </w:t>
      </w:r>
      <w:proofErr w:type="spellStart"/>
      <w:r>
        <w:rPr>
          <w:color w:val="000000"/>
          <w:lang w:val="en-US"/>
        </w:rPr>
        <w:t>pemulihan</w:t>
      </w:r>
      <w:proofErr w:type="spellEnd"/>
      <w:r>
        <w:rPr>
          <w:color w:val="000000"/>
          <w:lang w:val="id-ID"/>
        </w:rPr>
        <w:t xml:space="preserve"> pada bedah ginekologi.</w:t>
      </w:r>
      <w:r>
        <w:rPr>
          <w:color w:val="000000"/>
          <w:lang w:val="id-ID"/>
        </w:rPr>
        <w:fldChar w:fldCharType="begin" w:fldLock="1"/>
      </w:r>
      <w:r>
        <w:rPr>
          <w:color w:val="000000"/>
          <w:lang w:val="id-ID"/>
        </w:rPr>
        <w:instrText>ADDIN CSL_CITATION {"citationItems":[{"id":"ITEM-1","itemData":{"DOI":"10.4097/kjae.2013.65.2.114","ISSN":"20056419","PMID":"24023992","abstract":"Background: Dexmedetomidine is an α2-adrenoreceptor agonist with sedative, analgesic and anxiolytic effects, and it has more selective α2-adrenergic effect than clonidine. We evaluate the effect of preansethetic dexmedetomidine 1 μg/kg single infusion on sedation, hemodynamics, anesthetic consumption, and recovery profiles during anesthesia. Methods: Forty-two female patients with American Society of Anesthesiologists physical status I or II undergoing gynecologic surgery with anticipated operation time of 2 h, were randomly assigned to receive dexmedetomidine 1 μg/kg (Dex group) or saline (control group) iv over 10 min before anesthetic induction. After tracheal intubation with propofol 2 mg/kg, cisatracurium 0.15 mg/kg iv, anesthesia was maintained with sevoflurane, O2 50%, N2O 50% around a BIS value of 40. Results: After study drug infusion, BIS of Dex group was lower than that of control group (93.9 ± 3.1 vs 51.5 ± 5.2, P &lt; 0.05). Mean arterial pressure (MAP) and heart rate (HR) after intubation were increased in control group, but did not change in Dex group. During maintenance, there was no difference in MAP between groups, but HR of Dex group was lower compared to that of control group. End-tidal concentration (2.0 ± 0.5 vol% vs 1.4 ± 0.3 vol%, P &lt; 0.05) and total cumulative consumption of sevoflurane (34.6 ± 3.8 ml vs 26.5 ± 5.3 ml, P &lt; 0.05) were lower in Dex group than in control group. Recovery profiles, modified Aldrete score, postoperative nausea vomiting, and visual analogue pain score were not significantly different between groups. Conclusions: Preanesthetic dexmetomidine 1 μg/kg single infusion is a simple, easy, and economic general anesthetic adjuvant that maintains stable hemodynamics and decrease anesthetic consumption without the change of recovery profiles. © the Korean Society of Anesthesiologists, 2013.","author":[{"dropping-particle":"","family":"Shin","given":"Hye Won","non-dropping-particle":"","parse-names":false,"suffix":""},{"dropping-particle":"","family":"Yoo","given":"Hye Na","non-dropping-particle":"","parse-names":false,"suffix":""},{"dropping-particle":"","family":"Kim","given":"Dong Hwan","non-dropping-particle":"","parse-names":false,"suffix":""},{"dropping-particle":"","family":"Lee","given":"Han","non-dropping-particle":"","parse-names":false,"suffix":""},{"dropping-particle":"","family":"Shin","given":"Hyeon Ju","non-dropping-particle":"","parse-names":false,"suffix":""},{"dropping-particle":"","family":"Lee","given":"Hye Won","non-dropping-particle":"","parse-names":false,"suffix":""}],"container-title":"Korean Journal of Anesthesiology","id":"ITEM-1","issue":"2","issued":{"date-parts":[["2013"]]},"page":"114-120","title":"Preanesthetic dexmedetomidine 1 μg/kg single infusion is a simple, easy, and economic adjuvant for general anesthesia","type":"article-journal","volume":"65"},"uris":["http://www.mendeley.com/documents/?uuid=7d4ba34f-4a2d-45f9-8340-7c6c62ee8bb8"]}],"mendeley":{"formattedCitation":"&lt;sup&gt;48&lt;/sup&gt;","plainTextFormattedCitation":"48","previouslyFormattedCitation":"&lt;sup&gt;48&lt;/sup&gt;"},"properties":{"noteIndex":0},"schema":"https://github.com/citation-style-language/schema/raw/master/csl-citation.json"}</w:instrText>
      </w:r>
      <w:r>
        <w:rPr>
          <w:color w:val="000000"/>
          <w:lang w:val="id-ID"/>
        </w:rPr>
        <w:fldChar w:fldCharType="separate"/>
      </w:r>
      <w:r>
        <w:rPr>
          <w:noProof/>
          <w:color w:val="000000"/>
          <w:vertAlign w:val="superscript"/>
          <w:lang w:val="id-ID"/>
        </w:rPr>
        <w:t>48</w:t>
      </w:r>
      <w:r>
        <w:rPr>
          <w:color w:val="000000"/>
          <w:lang w:val="id-ID"/>
        </w:rPr>
        <w:fldChar w:fldCharType="end"/>
      </w:r>
      <w:r>
        <w:rPr>
          <w:lang w:val="id-ID"/>
        </w:rPr>
        <w:t xml:space="preserve"> </w:t>
      </w:r>
      <w:r w:rsidRPr="00F426C1">
        <w:rPr>
          <w:color w:val="131413"/>
          <w:lang w:val="id-ID"/>
        </w:rPr>
        <w:t xml:space="preserve">Dexmedetomidine dianggap sebagai </w:t>
      </w:r>
      <w:r>
        <w:rPr>
          <w:color w:val="131413"/>
          <w:lang w:val="id-ID"/>
        </w:rPr>
        <w:t>ajuvan</w:t>
      </w:r>
      <w:r w:rsidRPr="00F426C1">
        <w:rPr>
          <w:color w:val="131413"/>
          <w:lang w:val="id-ID"/>
        </w:rPr>
        <w:t xml:space="preserve"> yang aman dalam banyak aplikasi anestesi klinis. Dexmedetomidine telah digunakan sebagai tambahan untuk anestesi umum ketika diberikan sebagai premedikasi intravena dengan dosis 0,33–0,67</w:t>
      </w:r>
      <w:r>
        <w:rPr>
          <w:color w:val="131413"/>
          <w:lang w:val="en-US"/>
        </w:rPr>
        <w:t>μ</w:t>
      </w:r>
      <w:r w:rsidRPr="00F426C1">
        <w:rPr>
          <w:color w:val="131413"/>
          <w:lang w:val="id-ID"/>
        </w:rPr>
        <w:t xml:space="preserve">g/kg 1 menit sebelum bedah. </w:t>
      </w:r>
      <w:r w:rsidRPr="00F426C1">
        <w:rPr>
          <w:color w:val="131413"/>
          <w:lang w:val="pt-BR"/>
        </w:rPr>
        <w:t xml:space="preserve">Dexmedetomidine juga digunakan sebagai </w:t>
      </w:r>
      <w:r>
        <w:rPr>
          <w:color w:val="131413"/>
          <w:lang w:val="id-ID"/>
        </w:rPr>
        <w:t>d</w:t>
      </w:r>
      <w:r w:rsidRPr="00F426C1">
        <w:rPr>
          <w:color w:val="131413"/>
          <w:lang w:val="pt-BR"/>
        </w:rPr>
        <w:t>exmedetomidine anestesi lokal pada anestesi dan analgesia lokoregional. Menambahkan dexmedetomidine ke lidokain untuk anestesi regional intravena menyebabkan peningkatan kualitas anestesi intraoperatif, dan pemberian dexmedetomidine intra-artikular mengurangi kebutuhan analgesia pascabedah setelah bedah lutut arthroscopic. Mengenai anestesi kaudal dan blokade saraf sciatic, penambahan dexmedetomidine ke anestesi lokal meningkatkan durasi anestesi dan analgesia.</w:t>
      </w:r>
      <w:r>
        <w:rPr>
          <w:color w:val="131413"/>
          <w:lang w:val="en-US"/>
        </w:rPr>
        <w:fldChar w:fldCharType="begin" w:fldLock="1"/>
      </w:r>
      <w:r w:rsidRPr="00F426C1">
        <w:rPr>
          <w:color w:val="131413"/>
          <w:lang w:val="pt-BR"/>
        </w:rPr>
        <w:instrText xml:space="preserve">ADDIN CSL_CITATION {"citationItems":[{"id":"ITEM-1","itemData":{"DOI":"10.1186/s42077-018-0012-8","abstract":"Background: Wound infiltration with local anesthetics was developed to provide intraoperative and postoperative analgesia and to reduce opioid consumption and its side effects. Methods: This is a prospective randomized, double-blinded study. A total of 45 patients, American Society of Anesthesiologists physical status I–II, aged from 18 to 60 years scheduled for open abdominal surgeries were randomly assigned to one of the following groups to receive wound infiltration 2 min prior to skin incision: group I: bupivacaine 0.25% alone (20 ml) (n = 15), group II: bupivacaine 0.25% + magnesium sulfate (1 g) (20 ml) (n = 15), and group III: bupivacaine 0.25% + dexmedetomidine (70 </w:instrText>
      </w:r>
      <w:r>
        <w:rPr>
          <w:color w:val="131413"/>
          <w:lang w:val="en-US"/>
        </w:rPr>
        <w:instrText>μ</w:instrText>
      </w:r>
      <w:r w:rsidRPr="00F426C1">
        <w:rPr>
          <w:color w:val="131413"/>
          <w:lang w:val="pt-BR"/>
        </w:rPr>
        <w:instrText xml:space="preserve">g) (20 ml) (n = 15). Induction and maintenance were done according to our hospital protocol. Heart rate (HR) and systolic blood pressure (SBP) at baseline and every 15 min till the end of surgery, the need for supplemental fentanyl, and the concentration of inhalational anesthetic were assessed. Postoperatively, Ramsay sedation scale was assessed 10 min post extubation and every 30 min for 6 h; visual analog scale was assessed at rest and every 30 min for 6 h postoperatively; time to the first request of analgesia and the cumulative analgesic consumption were </w:instrText>
      </w:r>
      <w:r>
        <w:rPr>
          <w:color w:val="131413"/>
          <w:lang w:val="en-US"/>
        </w:rPr>
        <w:instrText>recorded; HR and SBP were recorded for 6 h. Results: The concentration of inhalational isoflurane and the need for supplemental fentanyl intraoperatively were significantly lower in group III than in groups I and II. Postoperatively in group III, HR and SBP and visual analog scale scores were significantly lower compared with groups I and II. Ramsay sedation score was significantly higher in group III up to 2 h after recovery in comparison to groups I and II. Group III showed longer time for the first request of analgesia and a lower need for postoperative opioids in comparison to groups I and II. Conclusions: Wound infiltration with dexmedetomidine–bupivacaine mixture before skin incision decreases the anesthetic requirements, provides prolonged analgesia, and decreases the need for rescue analgesics in patients undergoing open abdominal surgeries. [ABSTRACT FROM AUTHOR]","author":[{"dropping-particle":"","family":"Abdelnaim","given":"Hala Ezzat","non-dropping-particle":"","parse-names":false,"suffix":""},{"dropping-particle":"","family":"Mohamed","given":"Nashwa Nabil","non-dropping-particle":"","parse-names":false,"suffix":""},{"dropping-particle":"","family":"Saleh","given":"Amany Hassan","non-dropping-particle":"","parse-names":false,"suffix":""},{"dropping-particle":"","family":"Youssef","given":"Ahmed Nabih","non-dropping-particle":"","parse-names":false,"suffix":""}],"container-title":"Ain-Shams Journal of Anesthesiology","id":"ITEM-1","issue":"1","issued":{"date-parts":[["2018"]]},"publisher":"Ain-Shams Journal of Anesthesiology","title":"Comparison between bupivacaine–dexmedetomidine mixture and bupivacaine–magnesium mixture when used for wound infiltration before skin incision in surgeries for hernia repair regarding their intraoperative and postoperative analgesic effects","type":"article-journal","volume":"10"},"uris":["http://www.mendeley.com/documents/?uuid=c51a0056-167a-4647-969a-96e9480a3ef1"]}],"mendeley":{"formattedCitation":"&lt;sup&gt;49&lt;/sup&gt;","plainTextFormattedCitation":"49","previouslyFormattedCitation":"&lt;sup&gt;49&lt;/sup&gt;"},"properties":{"noteIndex":0},"schema":"https://github.com/citation-style-language/schema/raw/master/csl-citation.json"}</w:instrText>
      </w:r>
      <w:r>
        <w:rPr>
          <w:color w:val="131413"/>
          <w:lang w:val="en-US"/>
        </w:rPr>
        <w:fldChar w:fldCharType="separate"/>
      </w:r>
      <w:r>
        <w:rPr>
          <w:noProof/>
          <w:color w:val="131413"/>
          <w:vertAlign w:val="superscript"/>
          <w:lang w:val="en-US"/>
        </w:rPr>
        <w:t>49</w:t>
      </w:r>
      <w:r>
        <w:rPr>
          <w:color w:val="131413"/>
          <w:lang w:val="en-US"/>
        </w:rPr>
        <w:fldChar w:fldCharType="end"/>
      </w:r>
    </w:p>
    <w:p w14:paraId="099B653A" w14:textId="77777777" w:rsidR="003B79BC" w:rsidRDefault="00000000">
      <w:pPr>
        <w:spacing w:line="360" w:lineRule="auto"/>
        <w:ind w:firstLine="709"/>
        <w:jc w:val="both"/>
        <w:rPr>
          <w:lang w:val="id-ID"/>
        </w:rPr>
      </w:pPr>
      <w:r>
        <w:rPr>
          <w:color w:val="000000"/>
          <w:lang w:val="id-ID"/>
        </w:rPr>
        <w:t>P</w:t>
      </w:r>
      <w:r w:rsidRPr="00374F09">
        <w:rPr>
          <w:color w:val="000000"/>
          <w:lang w:val="id-ID"/>
        </w:rPr>
        <w:t xml:space="preserve">enggunaan dexmedetomidine perioperatif pada pasien yang menjalani bedah saraf telah menunjukkan bahwa penggunaan dexmedetomidine pra bedah dapat menghemat kebutuhan opioid dan </w:t>
      </w:r>
      <w:r>
        <w:rPr>
          <w:color w:val="000000"/>
          <w:lang w:val="id-ID"/>
        </w:rPr>
        <w:t>memberikan hasil</w:t>
      </w:r>
      <w:r w:rsidRPr="00374F09">
        <w:rPr>
          <w:color w:val="000000"/>
          <w:lang w:val="id-ID"/>
        </w:rPr>
        <w:t xml:space="preserve"> hemodinamik yang lebih stabil selama bedah saraf. Selain efek sedatif</w:t>
      </w:r>
      <w:r>
        <w:rPr>
          <w:color w:val="000000"/>
          <w:lang w:val="id-ID"/>
        </w:rPr>
        <w:t xml:space="preserve">, </w:t>
      </w:r>
      <w:r w:rsidRPr="00374F09">
        <w:rPr>
          <w:color w:val="000000"/>
          <w:lang w:val="id-ID"/>
        </w:rPr>
        <w:t>dexmedetomidine juga memberikan efek perlindungan sel pada jaringan saraf dalam kondisi iskemik.</w:t>
      </w:r>
      <w:r>
        <w:rPr>
          <w:lang w:val="id-ID"/>
        </w:rPr>
        <w:t xml:space="preserve"> </w:t>
      </w:r>
      <w:r>
        <w:rPr>
          <w:color w:val="000000"/>
          <w:lang w:val="id-ID"/>
        </w:rPr>
        <w:t>P</w:t>
      </w:r>
      <w:r w:rsidRPr="00374F09">
        <w:rPr>
          <w:color w:val="000000"/>
          <w:lang w:val="id-ID"/>
        </w:rPr>
        <w:t xml:space="preserve">enggunaan dexmedetomidine sebagai </w:t>
      </w:r>
      <w:r>
        <w:rPr>
          <w:color w:val="000000"/>
          <w:lang w:val="id-ID"/>
        </w:rPr>
        <w:t>ajuvan</w:t>
      </w:r>
      <w:r w:rsidRPr="00374F09">
        <w:rPr>
          <w:color w:val="000000"/>
          <w:lang w:val="id-ID"/>
        </w:rPr>
        <w:t xml:space="preserve"> induksi anestesi dapat membantu pasien yang menjalani bedah saraf. Dexmedetomidine loading infus dengan dosis 1 µg/kg selama 10 menit menunjukkan efikasi dan keamanannya untuk beberapa jenis</w:t>
      </w:r>
      <w:r>
        <w:rPr>
          <w:color w:val="000000"/>
          <w:lang w:val="id-ID"/>
        </w:rPr>
        <w:t xml:space="preserve"> </w:t>
      </w:r>
      <w:r w:rsidRPr="00374F09">
        <w:rPr>
          <w:color w:val="000000"/>
          <w:lang w:val="id-ID"/>
        </w:rPr>
        <w:t>bedah.</w:t>
      </w:r>
      <w:r>
        <w:rPr>
          <w:color w:val="000000"/>
          <w:lang w:val="en-US"/>
        </w:rPr>
        <w:fldChar w:fldCharType="begin" w:fldLock="1"/>
      </w:r>
      <w:r w:rsidRPr="00374F09">
        <w:rPr>
          <w:color w:val="000000"/>
          <w:lang w:val="id-ID"/>
        </w:rPr>
        <w:instrText>ADDIN CSL_CITATION {"citationItems":[{"id":"ITEM-1","itemData":{"DOI":"10.4236/pp.2013.48084","ISSN":"2157-9423","author":[{"dropping-particle":"","family":"Cao","given":"Jiangbei","non-dropping-particle":"","parse-names":false,"suffix":""},{"dropping-particle":"","family":"Shi","given":"Wenzhu","non-dropping-particle":"","parse-names":false,"suffix":""},{"dropping-particle":"","family":"Mi","given":"Weidong","non-dropping-particle":"","parse-names":false,"suffix":""},{"dropping-particle":"","family":"Zhang","given":"Hong","non-dropping-particle":"","parse-names":false,"suffix":""}],"container-title":"Pharmacology &amp;amp; Pharmacy","id":"ITEM-1","issue":"08","issued":{"date-parts":[["2013"]]},"page":"584-589","title":"Efficacy and Safety of Dexmedetomidine during Anesthesia Induction of Patients with Intracranial Tumor: A Preliminary Observational Trial","type":"article-journal","volume":"04"},"uris":["http://www.mendeley.com/documents/?uuid=4beb585d-1f6c-410f-9b52-2e6a7dddf84e"]}],"mendeley":{"formattedCitation":"&lt;sup&gt;50&lt;/sup&gt;","plainTextFormattedCitation":"50","previouslyFormattedCitation":"&lt;sup&gt;50&lt;/sup&gt;"},"properties":{"noteIndex":0},"schema":"https://github.com/citation-style-language/schema/raw/master/csl-citation.json"}</w:instrText>
      </w:r>
      <w:r>
        <w:rPr>
          <w:color w:val="000000"/>
          <w:lang w:val="en-US"/>
        </w:rPr>
        <w:fldChar w:fldCharType="separate"/>
      </w:r>
      <w:r>
        <w:rPr>
          <w:noProof/>
          <w:color w:val="000000"/>
          <w:vertAlign w:val="superscript"/>
          <w:lang w:val="en-US"/>
        </w:rPr>
        <w:t>50</w:t>
      </w:r>
      <w:r>
        <w:rPr>
          <w:color w:val="000000"/>
          <w:lang w:val="en-US"/>
        </w:rPr>
        <w:fldChar w:fldCharType="end"/>
      </w:r>
    </w:p>
    <w:p w14:paraId="2987073D" w14:textId="2496ABF2" w:rsidR="003B79BC" w:rsidRPr="00F426C1" w:rsidRDefault="00000000">
      <w:pPr>
        <w:spacing w:line="360" w:lineRule="auto"/>
        <w:ind w:firstLine="709"/>
        <w:jc w:val="both"/>
        <w:rPr>
          <w:color w:val="000000"/>
          <w:lang w:val="pt-BR"/>
        </w:rPr>
      </w:pPr>
      <w:r w:rsidRPr="00374F09">
        <w:rPr>
          <w:color w:val="000000"/>
          <w:lang w:val="id-ID"/>
        </w:rPr>
        <w:lastRenderedPageBreak/>
        <w:t>Dexmedetomidine saat ini disetujui oleh FDA untuk pemberian intravena dengan infus terus menerus hingga 24 jam untuk sedasi orang dewasa selama ventilasi mekanis dalam pengaturan unit perawatan intensif</w:t>
      </w:r>
      <w:r>
        <w:rPr>
          <w:color w:val="000000"/>
          <w:lang w:val="id-ID"/>
        </w:rPr>
        <w:t xml:space="preserve"> yang dapat </w:t>
      </w:r>
      <w:r w:rsidRPr="00374F09">
        <w:rPr>
          <w:color w:val="000000"/>
          <w:lang w:val="id-ID"/>
        </w:rPr>
        <w:t xml:space="preserve">menurunkan detak jantung, tekanan darah, dan curah jantung dengan cara yang tergantung dosis. </w:t>
      </w:r>
      <w:r w:rsidRPr="00F426C1">
        <w:rPr>
          <w:color w:val="000000"/>
          <w:lang w:val="pt-BR"/>
        </w:rPr>
        <w:t xml:space="preserve">Pengalaman awal pada </w:t>
      </w:r>
      <w:r w:rsidR="00602263" w:rsidRPr="00F426C1">
        <w:rPr>
          <w:color w:val="000000"/>
          <w:lang w:val="pt-BR"/>
        </w:rPr>
        <w:t xml:space="preserve">berbagai populasi </w:t>
      </w:r>
      <w:r w:rsidRPr="00F426C1">
        <w:rPr>
          <w:color w:val="000000"/>
          <w:lang w:val="pt-BR"/>
        </w:rPr>
        <w:t xml:space="preserve">telah menunjukkan kemanjuran obat untuk sedasi selama ventilasi mekanis serta sedasi prosedural selama pencitraan radiologis noninvasif. Karena karakteristik sedasi, stabilitas hemodinamik, dan tidak adanya depresi pernapasan, maka </w:t>
      </w:r>
      <w:r>
        <w:rPr>
          <w:color w:val="000000"/>
          <w:lang w:val="id-ID"/>
        </w:rPr>
        <w:t>d</w:t>
      </w:r>
      <w:r w:rsidRPr="00F426C1">
        <w:rPr>
          <w:lang w:val="pt-BR"/>
        </w:rPr>
        <w:t xml:space="preserve">exmedetomidine menawarkan keunggulan spesifik dibandingkan agen lain </w:t>
      </w:r>
      <w:r>
        <w:rPr>
          <w:lang w:val="id-ID"/>
        </w:rPr>
        <w:t>untuk</w:t>
      </w:r>
      <w:r w:rsidRPr="00F426C1">
        <w:rPr>
          <w:lang w:val="pt-BR"/>
        </w:rPr>
        <w:t xml:space="preserve"> tonsilektomi.</w:t>
      </w:r>
      <w:r>
        <w:rPr>
          <w:lang w:val="en-US"/>
        </w:rPr>
        <w:fldChar w:fldCharType="begin" w:fldLock="1"/>
      </w:r>
      <w:r w:rsidRPr="00F426C1">
        <w:rPr>
          <w:lang w:val="pt-BR"/>
        </w:rPr>
        <w:instrText>ADDIN CSL_CITATION {"citationItems":[{"id":"ITEM-1","itemData":{"DOI":"10.1016/j.ijporl.2012.03.028","ISSN":"01655876","PMID":"22537843","abstract":"Objective: To evaluate the efficacy and safety of dexmedetomidine for emergence agitation after tonsillectomy in children. Methods: 120 ASA physical status I and II children, aged 5-14 years, undergoing anesthesia for tonsillectomy, were randomly divided into 3 groups: Placebo group, the low dexmedetomidine concentration group and the high dexmedetomidine concentration group. Before the entrance of the operating room (OR), all of the children received intravenous injection 40</w:instrText>
      </w:r>
      <w:r>
        <w:rPr>
          <w:lang w:val="en-US"/>
        </w:rPr>
        <w:instrText>μ</w:instrText>
      </w:r>
      <w:r w:rsidRPr="00F426C1">
        <w:rPr>
          <w:lang w:val="pt-BR"/>
        </w:rPr>
        <w:instrText>gkg -1 midazolam to reduce anxiety at first, and then dexmedetomidine was given intravenously at an initial loading dose of 0.5</w:instrText>
      </w:r>
      <w:r>
        <w:rPr>
          <w:lang w:val="en-US"/>
        </w:rPr>
        <w:instrText>μ</w:instrText>
      </w:r>
      <w:r w:rsidRPr="00F426C1">
        <w:rPr>
          <w:lang w:val="pt-BR"/>
        </w:rPr>
        <w:instrText>gkg -1 or 1</w:instrText>
      </w:r>
      <w:r>
        <w:rPr>
          <w:lang w:val="en-US"/>
        </w:rPr>
        <w:instrText>μ</w:instrText>
      </w:r>
      <w:r w:rsidRPr="00F426C1">
        <w:rPr>
          <w:lang w:val="pt-BR"/>
        </w:rPr>
        <w:instrText>g/kg over a 10-min period via a computer controlled infusion pump followed by a maintenance infusion of 0.2</w:instrText>
      </w:r>
      <w:r>
        <w:rPr>
          <w:lang w:val="en-US"/>
        </w:rPr>
        <w:instrText>μ</w:instrText>
      </w:r>
      <w:r w:rsidRPr="00F426C1">
        <w:rPr>
          <w:lang w:val="pt-BR"/>
        </w:rPr>
        <w:instrText>gkg -1h -1 or 0.4</w:instrText>
      </w:r>
      <w:r>
        <w:rPr>
          <w:lang w:val="en-US"/>
        </w:rPr>
        <w:instrText>μ</w:instrText>
      </w:r>
      <w:r w:rsidRPr="00F426C1">
        <w:rPr>
          <w:lang w:val="pt-BR"/>
        </w:rPr>
        <w:instrText>gkg -1h -1over the surgery. The heart rate, SpO 2 and mean arterial blood pressure were recorded for each patient in both operation room and PACU. The designated time points: at the start of the anesthetic induction, at the discontinuation of inhalational agents, at first opening of eyes, at time to remove endotracheal tube were recorded. After patient arrival at the PACU, VAS score, RSS, the occurrence of emergence agitation were recorded every 5min for the first 30min and every 10min for the next 30min after endotracheal tube was removed. Results: There was significant difference in the incidence of emergence agitation between Placebo group and the high concentration group when endotracheal tube was removed (P&lt;0.05). There was significant difference in the VAS pain scores and in the RSS between three groups at the time of extubation, as well as 5. min and 10. min after extubation (P&lt;0.05). Conclusions: Dexmedetomidine appears to be safe and effective to reduce the incidence of early emergence agitation in children after tonsillectomy. Initial loading dose of 1.0</w:instrText>
      </w:r>
      <w:r>
        <w:rPr>
          <w:lang w:val="en-US"/>
        </w:rPr>
        <w:instrText>μ</w:instrText>
      </w:r>
      <w:r w:rsidRPr="00F426C1">
        <w:rPr>
          <w:lang w:val="pt-BR"/>
        </w:rPr>
        <w:instrText>gkg -1 followed by a maintenance infusion of 0.4</w:instrText>
      </w:r>
      <w:r>
        <w:rPr>
          <w:lang w:val="en-US"/>
        </w:rPr>
        <w:instrText>μ</w:instrText>
      </w:r>
      <w:r w:rsidRPr="00F426C1">
        <w:rPr>
          <w:lang w:val="pt-BR"/>
        </w:rPr>
        <w:instrText>gkg -1h -1 is better choice for children received tonsillectomy. © 2012 Elsevier Ireland Ltd.","author":[{"dropping-particle":"","family":"Meng","given":"Qing tao","non-dropping-particle":"","parse-names":false,"suffix":""},{"dropping-particle":"","family":"Xia","given":"Zhong yuan","non-dropping-particle":"","parse-names":false,"suffix":""},{"dropping-particle":"","family":"Luo","given":"Tao","non-dropping-particle":"","parse-names":false,"suffix":""},{"dropping-particle":"","family":"Wu","given":"Yang","non-dropping-particle":"","parse-names":false,"suffix":""},{"dropping-particle":"","family":"Tang","given":"Ling hua","non-dropping-particle":"","parse-names":false,"suffix":""},{"dropping-particle":"","family":"Zhao","given":"Bo","non-dropping-particle":"","parse-names":false,"suffix":""},{"dropping-particle":"","family":"Chen","given":"Jin hui","non-dropping-particle":"","parse-names":false,"suffix":""},{"dropping-particle":"","family":"Chen","given":"Xiangdong","non-dropping-particle":"","parse-names":false,"suffix":""}],"container-title":"International Journal of Pediatric Otorhinolaryngology","id":"ITEM-1","issue":"7","issued":{"date-parts":[["2012"]]},"page":"1036-1041","publisher":"Elsevier Ireland Ltd","title":"Dexmedetomidine reduces emergence agitation after tonsillectomy in children by sevoflurane anesthesia: A case-control study","type":"article-journal","volume":"76"},"uris":["http://www.mendeley.com/documents/?uuid=9dfc56df-2bc1-4b4e-97b3-216283ff5d4c"]}],"mendeley":{"formattedCitation":"&lt;sup&gt;51&lt;/sup&gt;","plainTextFormattedCitation":"51","previouslyFormattedCitation":"&lt;sup&gt;51&lt;/sup&gt;"},"properties":{"noteIndex":0},"schema":"https://github.com/citation-style-language/schema/raw/master/csl-citation.json"}</w:instrText>
      </w:r>
      <w:r>
        <w:rPr>
          <w:lang w:val="en-US"/>
        </w:rPr>
        <w:fldChar w:fldCharType="separate"/>
      </w:r>
      <w:r w:rsidRPr="00F426C1">
        <w:rPr>
          <w:noProof/>
          <w:vertAlign w:val="superscript"/>
          <w:lang w:val="pt-BR"/>
        </w:rPr>
        <w:t>51</w:t>
      </w:r>
      <w:r>
        <w:rPr>
          <w:lang w:val="en-US"/>
        </w:rPr>
        <w:fldChar w:fldCharType="end"/>
      </w:r>
      <w:r w:rsidRPr="00F426C1">
        <w:rPr>
          <w:lang w:val="pt-BR"/>
        </w:rPr>
        <w:t xml:space="preserve"> </w:t>
      </w:r>
    </w:p>
    <w:p w14:paraId="3C2D663C" w14:textId="77777777" w:rsidR="003B79BC" w:rsidRPr="00F426C1" w:rsidRDefault="00000000">
      <w:pPr>
        <w:spacing w:line="360" w:lineRule="auto"/>
        <w:ind w:firstLine="709"/>
        <w:jc w:val="both"/>
        <w:rPr>
          <w:color w:val="000000"/>
          <w:lang w:val="id-ID"/>
        </w:rPr>
      </w:pPr>
      <w:r>
        <w:rPr>
          <w:color w:val="000000"/>
          <w:lang w:val="id-ID"/>
        </w:rPr>
        <w:t>P</w:t>
      </w:r>
      <w:r>
        <w:rPr>
          <w:color w:val="000000"/>
        </w:rPr>
        <w:t xml:space="preserve">reanestesi dexmedetomidine 1 μg/kg mengurangi konsentrasi sevofluran sebesar 30% dan total konsumsi sevofluran sebesar 23,4%  dibandingkan dengan kelompok kontrol. </w:t>
      </w:r>
      <w:r>
        <w:rPr>
          <w:color w:val="000000"/>
          <w:lang w:val="id-ID"/>
        </w:rPr>
        <w:t>D</w:t>
      </w:r>
      <w:r>
        <w:rPr>
          <w:color w:val="000000"/>
        </w:rPr>
        <w:t>exmedetomidine telah terbukti mengurangi konsentrasi target propofol sebesar 30-50% selama anestesi propofol-remifentanil dan konsentrasi end-tidal sebesar 15-20% selama anestesi volatil. Efek farmakoekonomi dexmedetomidine dapat membantu mengurangi konsentrasi anestesi yang digunakan dan mencegah efek samping seperti toksisitas hati dan ginjal, depresi miokard parah, dan efek rumah kaca.</w:t>
      </w:r>
      <w:r>
        <w:rPr>
          <w:color w:val="000000"/>
        </w:rPr>
        <w:fldChar w:fldCharType="begin" w:fldLock="1"/>
      </w:r>
      <w:r>
        <w:rPr>
          <w:color w:val="000000"/>
        </w:rPr>
        <w:instrText>ADDIN CSL_CITATION {"citationItems":[{"id":"ITEM-1","itemData":{"DOI":"10.4097/kjae.2013.65.2.114","ISSN":"20056419","PMID":"24023992","abstract":"Background: Dexmedetomidine is an α2-adrenoreceptor agonist with sedative, analgesic and anxiolytic effects, and it has more selective α2-adrenergic effect than clonidine. We evaluate the effect of preansethetic dexmedetomidine 1 μg/kg single infusion on sedation, hemodynamics, anesthetic consumption, and recovery profiles during anesthesia. Methods: Forty-two female patients with American Society of Anesthesiologists physical status I or II undergoing gynecologic surgery with anticipated operation time of 2 h, were randomly assigned to receive dexmedetomidine 1 μg/kg (Dex group) or saline (control group) iv over 10 min before anesthetic induction. After tracheal intubation with propofol 2 mg/kg, cisatracurium 0.15 mg/kg iv, anesthesia was maintained with sevoflurane, O2 50%, N2O 50% around a BIS value of 40. Results: After study drug infusion, BIS of Dex group was lower than that of control group (93.9 ± 3.1 vs 51.5 ± 5.2, P &lt; 0.05). Mean arterial pressure (MAP) and heart rate (HR) after intubation were increased in control group, but did not change in Dex group. During maintenance, there was no difference in MAP between groups, but HR of Dex group was lower compared to that of control group. End-tidal concentration (2.0 ± 0.5 vol% vs 1.4 ± 0.3 vol%, P &lt; 0.05) and total cumulative consumption of sevoflurane (34.6 ± 3.8 ml vs 26.5 ± 5.3 ml, P &lt; 0.05) were lower in Dex group than in control group. Recovery profiles, modified Aldrete score, postoperative nausea vomiting, and visual analogue pain score were not significantly different between groups. Conclusions: Preanesthetic dexmetomidine 1 μg/kg single infusion is a simple, easy, and economic general anesthetic adjuvant that maintain</w:instrText>
      </w:r>
      <w:r>
        <w:rPr>
          <w:color w:val="000000"/>
          <w:lang w:eastAsia="zh-CN"/>
        </w:rPr>
        <w:instrText xml:space="preserve">s stable hemodynamics and decrease anesthetic consumption without the change of recovery profiles. © the Korean Society of Anesthesiologists, 2013.","author":[{"dropping-particle":"","family":"Shin","given":"Hye Won","non-dropping-particle":"","parse-names":false,"suffix":""},{"dropping-particle":"","family":"Yoo","given":"Hye Na","non-dropping-particle":"","parse-names":false,"suffix":""},{"dropping-particle":"","family":"Kim","given":"Dong Hwan","non-dropping-particle":"","parse-names":false,"suffix":""},{"dropping-particle":"","family":"Lee","given":"Han","non-dropping-particle":"","parse-names":false,"suffix":""},{"dropping-particle":"","family":"Shin","given":"Hyeon Ju","non-dropping-particle":"","parse-names":false,"suffix":""},{"dropping-particle":"","family":"Lee","given":"Hye Won","non-dropping-particle":"","parse-names":false,"suffix":""}],"container-title":"Korean Journal of Anesthesiology","id":"ITEM-1","issue":"2","issued":{"date-parts":[["2013"]]},"page":"114-120","title":"Preanesthetic dexmedetomidine 1 </w:instrText>
      </w:r>
      <w:r>
        <w:rPr>
          <w:color w:val="000000"/>
        </w:rPr>
        <w:instrText>μ</w:instrText>
      </w:r>
      <w:r>
        <w:rPr>
          <w:color w:val="000000"/>
          <w:lang w:eastAsia="zh-CN"/>
        </w:rPr>
        <w:instrText>g/kg single infusion is a simple, easy, and economic adjuvant for general anesthesia","type":"article-journal","volume":"65"},"uris":["http://www.mendeley.com/documents/?uuid=7d4ba34f-4a2d-45f9-8340-7c6c62ee8bb8"]}],"mendeley":{"formattedCitation":"&lt;sup&gt;48&lt;/sup&gt;","plainTextFormattedCitation":"48","previouslyFormattedCitation":"&lt;sup&gt;48&lt;/sup&gt;"},"properties":{"noteIndex":0},"schema":"https://github.com/citation-style-language/schema/raw/master/csl-citation.json"}</w:instrText>
      </w:r>
      <w:r>
        <w:rPr>
          <w:color w:val="000000"/>
        </w:rPr>
        <w:fldChar w:fldCharType="separate"/>
      </w:r>
      <w:r>
        <w:rPr>
          <w:noProof/>
          <w:color w:val="000000"/>
          <w:vertAlign w:val="superscript"/>
          <w:lang w:eastAsia="zh-CN"/>
        </w:rPr>
        <w:t>48</w:t>
      </w:r>
      <w:r>
        <w:rPr>
          <w:color w:val="000000"/>
        </w:rPr>
        <w:fldChar w:fldCharType="end"/>
      </w:r>
      <w:r>
        <w:rPr>
          <w:color w:val="000000"/>
          <w:lang w:val="id-ID" w:eastAsia="zh-CN"/>
        </w:rPr>
        <w:t xml:space="preserve"> </w:t>
      </w:r>
      <w:proofErr w:type="spellStart"/>
      <w:r>
        <w:rPr>
          <w:rFonts w:eastAsia="E-BZ"/>
          <w:color w:val="000000"/>
          <w:lang w:val="en-US" w:eastAsia="zh-CN"/>
        </w:rPr>
        <w:t>Kebutuhan</w:t>
      </w:r>
      <w:proofErr w:type="spellEnd"/>
      <w:r>
        <w:rPr>
          <w:rFonts w:eastAsia="E-BZ"/>
          <w:color w:val="000000"/>
          <w:lang w:val="en-US" w:eastAsia="zh-CN"/>
        </w:rPr>
        <w:t xml:space="preserve"> fentanyl </w:t>
      </w:r>
      <w:r>
        <w:rPr>
          <w:rFonts w:eastAsia="E-BZ"/>
          <w:color w:val="000000"/>
          <w:lang w:val="id-ID" w:eastAsia="zh-CN"/>
        </w:rPr>
        <w:t>berkurang</w:t>
      </w:r>
      <w:r>
        <w:rPr>
          <w:rFonts w:eastAsia="E-BZ"/>
          <w:color w:val="000000"/>
          <w:lang w:val="en-US" w:eastAsia="zh-CN"/>
        </w:rPr>
        <w:t xml:space="preserve"> 44%</w:t>
      </w:r>
      <w:r>
        <w:rPr>
          <w:rFonts w:eastAsia="E-BZ"/>
          <w:color w:val="000000"/>
          <w:lang w:val="id-ID" w:eastAsia="zh-CN"/>
        </w:rPr>
        <w:t xml:space="preserve"> </w:t>
      </w:r>
      <w:r>
        <w:rPr>
          <w:rFonts w:eastAsia="E-BZ"/>
          <w:color w:val="000000"/>
          <w:lang w:val="en-US" w:eastAsia="zh-CN"/>
        </w:rPr>
        <w:t xml:space="preserve">pada </w:t>
      </w:r>
      <w:proofErr w:type="spellStart"/>
      <w:r>
        <w:rPr>
          <w:rFonts w:eastAsia="E-BZ"/>
          <w:color w:val="000000"/>
          <w:lang w:val="en-US" w:eastAsia="zh-CN"/>
        </w:rPr>
        <w:t>kelompok</w:t>
      </w:r>
      <w:proofErr w:type="spellEnd"/>
      <w:r>
        <w:rPr>
          <w:rFonts w:eastAsia="E-BZ"/>
          <w:color w:val="000000"/>
          <w:lang w:val="en-US" w:eastAsia="zh-CN"/>
        </w:rPr>
        <w:t xml:space="preserve"> dexmedetomidine</w:t>
      </w:r>
      <w:r>
        <w:rPr>
          <w:rFonts w:eastAsia="E-BZ"/>
          <w:color w:val="000000"/>
          <w:lang w:val="id-ID" w:eastAsia="zh-CN"/>
        </w:rPr>
        <w:t xml:space="preserve">. </w:t>
      </w:r>
      <w:r w:rsidRPr="00374F09">
        <w:rPr>
          <w:rFonts w:eastAsia="E-BZ"/>
          <w:color w:val="000000"/>
          <w:lang w:val="id-ID" w:eastAsia="zh-CN"/>
        </w:rPr>
        <w:t xml:space="preserve">Dexmedetomidine sebagai obat preanestesi dan infus intraoperatif secara signifikan melemahkan respon simpatoadrenal terhadap intubasi trakea dibandingkan dengan </w:t>
      </w:r>
      <w:r>
        <w:rPr>
          <w:rFonts w:eastAsia="E-BZ"/>
          <w:color w:val="000000"/>
          <w:lang w:val="id-ID" w:eastAsia="zh-CN"/>
        </w:rPr>
        <w:t>c</w:t>
      </w:r>
      <w:r w:rsidRPr="00374F09">
        <w:rPr>
          <w:rFonts w:eastAsia="E-BZ"/>
          <w:color w:val="000000"/>
          <w:lang w:val="id-ID" w:eastAsia="zh-CN"/>
        </w:rPr>
        <w:t>lonidin</w:t>
      </w:r>
      <w:r>
        <w:rPr>
          <w:rFonts w:eastAsia="E-BZ"/>
          <w:color w:val="000000"/>
          <w:lang w:val="id-ID" w:eastAsia="zh-CN"/>
        </w:rPr>
        <w:t xml:space="preserve">e dan </w:t>
      </w:r>
      <w:r w:rsidRPr="00374F09">
        <w:rPr>
          <w:rFonts w:eastAsia="E-BZ"/>
          <w:color w:val="000000"/>
          <w:lang w:val="id-ID" w:eastAsia="zh-CN"/>
        </w:rPr>
        <w:t>memiliki stabilitas hemodinamik</w:t>
      </w:r>
      <w:r>
        <w:rPr>
          <w:rFonts w:eastAsia="E-BZ"/>
          <w:color w:val="000000"/>
          <w:lang w:val="id-ID" w:eastAsia="zh-CN"/>
        </w:rPr>
        <w:t xml:space="preserve"> serta lebih </w:t>
      </w:r>
      <w:r w:rsidRPr="00374F09">
        <w:rPr>
          <w:rFonts w:eastAsia="E-BZ"/>
          <w:color w:val="000000"/>
          <w:lang w:val="id-ID" w:eastAsia="zh-CN"/>
        </w:rPr>
        <w:t>hemat opioid dan anestesi ketika dianalisis terhadap clonidine.</w:t>
      </w:r>
      <w:r>
        <w:rPr>
          <w:rFonts w:eastAsia="E-BZ"/>
          <w:color w:val="000000"/>
          <w:lang w:val="en-US"/>
        </w:rPr>
        <w:fldChar w:fldCharType="begin" w:fldLock="1"/>
      </w:r>
      <w:r w:rsidRPr="00374F09">
        <w:rPr>
          <w:rFonts w:eastAsia="E-BZ"/>
          <w:color w:val="000000"/>
          <w:lang w:val="id-ID" w:eastAsia="zh-CN"/>
        </w:rPr>
        <w:instrText xml:space="preserve">ADDIN CSL_CITATION {"citationItems":[{"id":"ITEM-1","itemData":{"DOI":"10.1016/S2222-1808(12)60271-0","ISSN":"22221808","abstract":"Objective: To assess and compare the requirement of preanaesthetic agents to maintain anesthesia within the group of control and groups receiving Clonidine and Dexmedetomidine and reduction in cost due to reduced intraoperative anaesthetic and analgesics requirement. Method: Three groups of control, clonidine and dexmedetomidine were made. Twenty patients of American Society </w:instrText>
      </w:r>
      <w:r w:rsidRPr="00374F09">
        <w:rPr>
          <w:rFonts w:eastAsia="E-BZ" w:hint="eastAsia"/>
          <w:color w:val="000000"/>
          <w:lang w:val="id-ID" w:eastAsia="zh-CN"/>
        </w:rPr>
        <w:instrText xml:space="preserve">of Anesthesiologist's grade I &amp; II category for </w:instrText>
      </w:r>
      <w:r w:rsidRPr="00374F09">
        <w:rPr>
          <w:rFonts w:eastAsia="E-BZ" w:hint="eastAsia"/>
          <w:color w:val="000000"/>
          <w:lang w:val="id-ID" w:eastAsia="zh-CN"/>
        </w:rPr>
        <w:instrText>≥</w:instrText>
      </w:r>
      <w:r w:rsidRPr="00374F09">
        <w:rPr>
          <w:rFonts w:eastAsia="E-BZ" w:hint="eastAsia"/>
          <w:color w:val="000000"/>
          <w:lang w:val="id-ID" w:eastAsia="zh-CN"/>
        </w:rPr>
        <w:instrText xml:space="preserve"> 3 hours of surgery and &gt;18 years of age were involved in the study of six months duration in each group. Hemodynamic variables of all patients were continuously recorded and maintained. Then, during surger</w:instrText>
      </w:r>
      <w:r w:rsidRPr="00374F09">
        <w:rPr>
          <w:rFonts w:eastAsia="E-BZ"/>
          <w:color w:val="000000"/>
          <w:lang w:val="id-ID" w:eastAsia="zh-CN"/>
        </w:rPr>
        <w:instrText xml:space="preserve">y with anesthesiologists we have quantified the amount of drugs spared by use of these alpha2 agonists. Results: Dexmedetomidine and Clonidine were found hemodynamically stable during intubation compared to Control. Dexmedetomidine group showed 25% reduction in Isoflurane and 40% reduction in Diclofenac requirement compared to Clonidine group. The average Fentanyl dose was reduced by 33% and 44 % in Clonidine and Dexmedetomidine group respectively </w:instrText>
      </w:r>
      <w:r>
        <w:rPr>
          <w:rFonts w:eastAsia="E-BZ"/>
          <w:color w:val="000000"/>
          <w:lang w:val="en-US"/>
        </w:rPr>
        <w:instrText>compared to Control group. Diclofenac and propofol requirement was found to be less in dexmedetomidine group than of clonidine. Thus, on average for surgery involving Clonidine INR 1065 per patient were charged while in Dexmedetomidine only INR 833. Significant cost benefit upto INR 463 per patient can be achieved with better hemodynamic control by Dexmedetomidine compared to Control requiring INR 1296. Conclusions: Intraoperatively dexmedetomidine showed significant cardiovascular stability compared to clonidine. Also, Dexmedetomidine group showed significant drug sparing effect of Isoflurane, Thiopentone and Fentanyl than Control group. A clinical pharmacist can assist anesthesiologist's in apt selection of drugs. © 2012 Asian Pacific Tropical Medicine Press.","author":[{"dropping-particle":"","family":"Panda","given":"Bijoy Kumar","non-dropping-particle":"","parse-names":false,"suffix":""},{"dropping-particle":"","family":"Singh","given":"Priyanka","non-dropping-particle":"","parse-names":false,"suffix":""},{"dropping-particle":"","family":"Marne","given":"Sourabh","non-dropping-particle":"","parse-names":false,"suffix":""},{"dropping-particle":"","family":"Pawar","given":"Atmaram","non-dropping-particle":"","parse-names":false,"suffix":""},{"dropping-particle":"","family":"Keniya","given":"Varshali","non-dropping-particle":"","parse-names":false,"suffix":""},{"dropping-particle":"","family":"Ladi","given":"Sushma","non-dropping-particle":"","parse-names":false,"suffix":""},{"dropping-particle":"","family":"Swami","given":"Sarita","non-dropping-particle":"","parse-names":false,"suffix":""}],"container-title":"Asian Pacific Journal of Tropical Disease","id":"ITEM-1","issue":"SUPPL2","issued":{"date-parts":[["2012"]]},"page":"S815-S821","publisher":"Asian Pacific Tropical Medicine Press","title":"A comparison study of Dexmedetomidine Vs Clonidine for sympathoadrenal response, Perioperative drug requirements and cost analysis","type":"article-journal","volume":"2"},"uris":["http://www.mendeley.com/documents/?uuid=9af106e2-2898-43a5-80c3-cfeebd7e2f9d"]}],"mendeley":{"formattedCitation":"&lt;sup&gt;52&lt;/sup&gt;","plainTextFormattedCitation":"52","previouslyFormattedCitation":"&lt;sup&gt;52&lt;/sup&gt;"},"properties":{"noteIndex":0},"schema":"https://github.com/citation-style-language/schema/raw/master/csl-citation.json"}</w:instrText>
      </w:r>
      <w:r>
        <w:rPr>
          <w:rFonts w:eastAsia="E-BZ"/>
          <w:color w:val="000000"/>
          <w:lang w:val="en-US"/>
        </w:rPr>
        <w:fldChar w:fldCharType="separate"/>
      </w:r>
      <w:r>
        <w:rPr>
          <w:rFonts w:eastAsia="E-BZ"/>
          <w:noProof/>
          <w:color w:val="000000"/>
          <w:vertAlign w:val="superscript"/>
          <w:lang w:val="en-US"/>
        </w:rPr>
        <w:t>52</w:t>
      </w:r>
      <w:r>
        <w:rPr>
          <w:rFonts w:eastAsia="E-BZ"/>
          <w:color w:val="000000"/>
          <w:lang w:val="en-US"/>
        </w:rPr>
        <w:fldChar w:fldCharType="end"/>
      </w:r>
      <w:r>
        <w:rPr>
          <w:rFonts w:eastAsia="E-BZ"/>
          <w:color w:val="000000"/>
          <w:lang w:val="en-US"/>
        </w:rPr>
        <w:t xml:space="preserve"> </w:t>
      </w:r>
      <w:r>
        <w:rPr>
          <w:rFonts w:eastAsia="E-BZ"/>
          <w:color w:val="000000"/>
          <w:lang w:val="id-ID"/>
        </w:rPr>
        <w:t xml:space="preserve">Penelitian lain melaporkan bahwa </w:t>
      </w:r>
      <w:r>
        <w:rPr>
          <w:lang w:val="en-US"/>
        </w:rPr>
        <w:t xml:space="preserve">dexmedetomidine </w:t>
      </w:r>
      <w:proofErr w:type="spellStart"/>
      <w:r>
        <w:rPr>
          <w:lang w:val="en-US"/>
        </w:rPr>
        <w:t>berpotensi</w:t>
      </w:r>
      <w:proofErr w:type="spellEnd"/>
      <w:r>
        <w:rPr>
          <w:lang w:val="en-US"/>
        </w:rPr>
        <w:t xml:space="preserve"> </w:t>
      </w:r>
      <w:proofErr w:type="spellStart"/>
      <w:r>
        <w:rPr>
          <w:lang w:val="en-US"/>
        </w:rPr>
        <w:t>berimplikasi</w:t>
      </w:r>
      <w:proofErr w:type="spellEnd"/>
      <w:r>
        <w:rPr>
          <w:lang w:val="en-US"/>
        </w:rPr>
        <w:t xml:space="preserve"> pada </w:t>
      </w:r>
      <w:proofErr w:type="spellStart"/>
      <w:r>
        <w:rPr>
          <w:lang w:val="en-US"/>
        </w:rPr>
        <w:t>efisiensi</w:t>
      </w:r>
      <w:proofErr w:type="spellEnd"/>
      <w:r>
        <w:rPr>
          <w:lang w:val="en-US"/>
        </w:rPr>
        <w:t xml:space="preserve"> </w:t>
      </w:r>
      <w:proofErr w:type="spellStart"/>
      <w:r>
        <w:rPr>
          <w:lang w:val="en-US"/>
        </w:rPr>
        <w:t>biaya</w:t>
      </w:r>
      <w:proofErr w:type="spellEnd"/>
      <w:r>
        <w:rPr>
          <w:lang w:val="en-US"/>
        </w:rPr>
        <w:t xml:space="preserve"> ICU </w:t>
      </w:r>
      <w:r>
        <w:rPr>
          <w:lang w:val="id-ID"/>
        </w:rPr>
        <w:t>karena memperpendek lama perawatan di ICU.</w:t>
      </w:r>
      <w:r>
        <w:rPr>
          <w:lang w:val="id-ID"/>
        </w:rPr>
        <w:fldChar w:fldCharType="begin" w:fldLock="1"/>
      </w:r>
      <w:r>
        <w:rPr>
          <w:lang w:val="id-ID"/>
        </w:rPr>
        <w:instrText>ADDIN CSL_CITATION {"citationItems":[{"id":"ITEM-1","itemData":{"DOI":"10.1186/s13054-015-0787-y","ISSN":"1466609X","PMID":"25887576","abstract":"Introduction: Dexmedetomidine was shown in two European randomized double-blind double-dummy trials (PRODEX and MIDEX) to be non-inferior to propofol and midazolam in maintaining target sedation levels in mechanically ventilated intensive care unit (ICU) patients. Additionally, dexmedetomidine shortened the time to extubation versus both standard sedatives, suggesting that it may reduce ICU resource needs and thus lower ICU costs. Considering resource utilization data from these two trials, we performed a secondary, cost-minimization analysis assessing the economics of dexmedetomidine versus standard care sedation. Methods: The total ICU costs associated with each study sedative were calculated on the basis of total study sedative consumption and the number of days patients remained intubated, required non-invasive ventilation, or required ICU care without mechanical ventilation. The daily unit costs for these three consecutive ICU periods were set to decline toward discharge, reflecting the observed reduction in mean daily Therapeutic Intervention Scoring System (TISS) points between the periods. A number of additional sensitivity analyses were performed, including one in which the total ICU costs were based on the cumulative sum of daily TISS points over the ICU period, and two further scenarios, with declining direct variable daily costs only. Results: Based on pooled data from both trials, sedation with dexmedetomidine resulted in lower total ICU costs than using the standard sedatives, with a difference of €2,656 in the median (interquartile range) total ICU costs-€11,864 (€7,070 to €23,457) versus €14,520 (€7,871 to €26,254)-and €1,649 in the mean total ICU costs. The median (mean) total ICU costs with dexmedetomidine compared with those of propofol or midazolam were €1,292 (€747) and €3,573 (€2,536) lower, respectively. The result was robust, indicating lower costs with dexmedetomidine in all sensitivity analyses, including those in which only direct variable ICU costs were considered. The likelihood of dexmedetomidine resulting in lower total ICU costs compared with pooled standard care was 91.0% (72.4% versus propofol and 98.0% versus midazolam). Conclusions: From an economic point of view, dexmedetomidine appears to be a preferable option compared with standard sedatives for providing light to moderate ICU sedation exceeding 24 hours. The savings potential results primarily from shorter time to extubation. Trial registration: ClinicalTrials.go…","author":[{"dropping-particle":"","family":"Turunen","given":"Heidi","non-dropping-particle":"","parse-names":false,"suffix":""},{"dropping-particle":"","family":"Jakob","given":"Stephan M.","non-dropping-particle":"","parse-names":false,"suffix":""},{"dropping-particle":"","family":"Ruokonen","given":"Esko","non-dropping-particle":"","parse-names":false,"suffix":""},{"dropping-particle":"","family":"Kaukonen","given":"Kirsi Maija","non-dropping-particle":"","parse-names":false,"suffix":""},{"dropping-particle":"","family":"Sarapohja","given":"Toni","non-dropping-particle":"","parse-names":false,"suffix":""},{"dropping-particle":"","family":"Apajasalo","given":"Marjo","non-dropping-particle":"","parse-names":false,"suffix":""},{"dropping-particle":"","family":"Takala","given":"Jukka","non-dropping-particle":"","parse-names":false,"suffix":""}],"container-title":"Critical Care","id":"ITEM-1","issue":"1","issued":{"date-parts":[["2015"]]},"page":"1-10","title":"Dexmedetomidine versus standard care sedation with propofol or midazolam in intensive care: An economic evaluation","type":"article-journal","volume":"19"},"uris":["http://www.mendeley.com/documents/?uuid=8d6406e9-9830-44ae-a971-3d95958524f8"]}],"mendeley":{"formattedCitation":"&lt;sup&gt;53&lt;/sup&gt;","plainTextFormattedCitation":"53","previouslyFormattedCitation":"&lt;sup&gt;53&lt;/sup&gt;"},"properties":{"noteIndex":0},"schema":"https://github.com/citation-style-language/schema/raw/master/csl-citation.json"}</w:instrText>
      </w:r>
      <w:r>
        <w:rPr>
          <w:lang w:val="id-ID"/>
        </w:rPr>
        <w:fldChar w:fldCharType="separate"/>
      </w:r>
      <w:r>
        <w:rPr>
          <w:noProof/>
          <w:vertAlign w:val="superscript"/>
          <w:lang w:val="id-ID"/>
        </w:rPr>
        <w:t>53</w:t>
      </w:r>
      <w:r>
        <w:rPr>
          <w:lang w:val="id-ID"/>
        </w:rPr>
        <w:fldChar w:fldCharType="end"/>
      </w:r>
    </w:p>
    <w:p w14:paraId="34B7D2AE" w14:textId="77777777" w:rsidR="003B79BC" w:rsidRDefault="003B79BC">
      <w:pPr>
        <w:rPr>
          <w:lang w:val="id-ID"/>
        </w:rPr>
      </w:pPr>
    </w:p>
    <w:p w14:paraId="0B1A309C" w14:textId="77777777" w:rsidR="003B79BC" w:rsidRDefault="003B79BC">
      <w:pPr>
        <w:rPr>
          <w:lang w:val="id-ID"/>
        </w:rPr>
      </w:pPr>
    </w:p>
    <w:p w14:paraId="06C78A85" w14:textId="77777777" w:rsidR="003B79BC" w:rsidRPr="00F426C1" w:rsidRDefault="00000000">
      <w:pPr>
        <w:pStyle w:val="Heading2"/>
        <w:numPr>
          <w:ilvl w:val="0"/>
          <w:numId w:val="6"/>
        </w:numPr>
        <w:spacing w:after="0"/>
        <w:ind w:left="709" w:hanging="709"/>
        <w:rPr>
          <w:szCs w:val="24"/>
          <w:lang w:val="id-ID"/>
        </w:rPr>
      </w:pPr>
      <w:bookmarkStart w:id="41" w:name="_Toc158290252"/>
      <w:r>
        <w:rPr>
          <w:rFonts w:cs="Times New Roman"/>
          <w:szCs w:val="24"/>
          <w:lang w:val="id-ID"/>
        </w:rPr>
        <w:t>Levob</w:t>
      </w:r>
      <w:r>
        <w:rPr>
          <w:rFonts w:cs="Times New Roman"/>
          <w:szCs w:val="24"/>
        </w:rPr>
        <w:t>upivacaine</w:t>
      </w:r>
      <w:bookmarkEnd w:id="41"/>
      <w:r w:rsidRPr="00F426C1">
        <w:rPr>
          <w:szCs w:val="24"/>
          <w:lang w:val="id-ID"/>
        </w:rPr>
        <w:t xml:space="preserve"> </w:t>
      </w:r>
    </w:p>
    <w:p w14:paraId="3019CC7C" w14:textId="77777777" w:rsidR="003B79BC" w:rsidRDefault="00000000">
      <w:pPr>
        <w:pStyle w:val="Heading3"/>
        <w:numPr>
          <w:ilvl w:val="0"/>
          <w:numId w:val="10"/>
        </w:numPr>
        <w:ind w:left="426" w:hanging="426"/>
        <w:rPr>
          <w:color w:val="000000" w:themeColor="text1"/>
          <w:lang w:val="id-ID"/>
        </w:rPr>
      </w:pPr>
      <w:bookmarkStart w:id="42" w:name="_Toc158290253"/>
      <w:r>
        <w:rPr>
          <w:color w:val="000000" w:themeColor="text1"/>
          <w:lang w:val="id-ID"/>
        </w:rPr>
        <w:t>Pengertian dan Fungsi Levob</w:t>
      </w:r>
      <w:r>
        <w:rPr>
          <w:color w:val="000000" w:themeColor="text1"/>
        </w:rPr>
        <w:t>upivacaine</w:t>
      </w:r>
      <w:bookmarkEnd w:id="42"/>
    </w:p>
    <w:p w14:paraId="68C6856A" w14:textId="77777777" w:rsidR="003B79BC" w:rsidRDefault="00000000">
      <w:pPr>
        <w:spacing w:line="360" w:lineRule="auto"/>
        <w:ind w:firstLine="709"/>
        <w:jc w:val="both"/>
        <w:rPr>
          <w:rFonts w:eastAsiaTheme="minorEastAsia"/>
          <w:lang w:eastAsia="zh-CN"/>
        </w:rPr>
      </w:pPr>
      <w:r>
        <w:rPr>
          <w:rFonts w:eastAsiaTheme="minorEastAsia"/>
          <w:color w:val="000000" w:themeColor="text1"/>
          <w:lang w:eastAsia="zh-CN"/>
        </w:rPr>
        <w:t>Bupiva</w:t>
      </w:r>
      <w:r>
        <w:rPr>
          <w:rFonts w:eastAsiaTheme="minorEastAsia"/>
          <w:color w:val="000000" w:themeColor="text1"/>
          <w:lang w:val="id-ID" w:eastAsia="zh-CN"/>
        </w:rPr>
        <w:t>c</w:t>
      </w:r>
      <w:r>
        <w:rPr>
          <w:rFonts w:eastAsiaTheme="minorEastAsia"/>
          <w:color w:val="000000" w:themeColor="text1"/>
          <w:lang w:eastAsia="zh-CN"/>
        </w:rPr>
        <w:t>ain</w:t>
      </w:r>
      <w:r>
        <w:rPr>
          <w:rFonts w:eastAsiaTheme="minorEastAsia"/>
          <w:color w:val="000000" w:themeColor="text1"/>
          <w:lang w:val="id-ID" w:eastAsia="zh-CN"/>
        </w:rPr>
        <w:t>e</w:t>
      </w:r>
      <w:r>
        <w:rPr>
          <w:rFonts w:eastAsiaTheme="minorEastAsia"/>
          <w:color w:val="000000" w:themeColor="text1"/>
          <w:lang w:eastAsia="zh-CN"/>
        </w:rPr>
        <w:t xml:space="preserve"> menunjukkan fenomena stereoisomerisme karena adanya karbon asimetris, yang bertindak sebagai pusat kiral. Levobupivacaine ([2S]-1-butyl-N-[2, 6-dimethylphenyl] piperidin-2</w:t>
      </w:r>
      <w:r>
        <w:rPr>
          <w:rFonts w:eastAsiaTheme="minorEastAsia"/>
          <w:lang w:eastAsia="zh-CN"/>
        </w:rPr>
        <w:t xml:space="preserve">-carboxamide) </w:t>
      </w:r>
      <w:r>
        <w:rPr>
          <w:rFonts w:eastAsiaTheme="minorEastAsia"/>
          <w:lang w:val="id-ID" w:eastAsia="zh-CN"/>
        </w:rPr>
        <w:t>merupakan</w:t>
      </w:r>
      <w:r>
        <w:rPr>
          <w:rFonts w:eastAsiaTheme="minorEastAsia"/>
          <w:lang w:eastAsia="zh-CN"/>
        </w:rPr>
        <w:t xml:space="preserve"> obat anestesi lokal amino-amida milik keluarga pipecoloxylidide pengganti n-alkil. Rumus </w:t>
      </w:r>
      <w:r>
        <w:rPr>
          <w:rFonts w:eastAsiaTheme="minorEastAsia"/>
          <w:lang w:eastAsia="zh-CN"/>
        </w:rPr>
        <w:lastRenderedPageBreak/>
        <w:t>kimianya adalah C</w:t>
      </w:r>
      <w:r>
        <w:rPr>
          <w:rFonts w:eastAsiaTheme="minorEastAsia"/>
          <w:vertAlign w:val="subscript"/>
          <w:lang w:eastAsia="zh-CN"/>
        </w:rPr>
        <w:t>18</w:t>
      </w:r>
      <w:r>
        <w:rPr>
          <w:rFonts w:eastAsiaTheme="minorEastAsia"/>
          <w:lang w:eastAsia="zh-CN"/>
        </w:rPr>
        <w:t>H</w:t>
      </w:r>
      <w:r>
        <w:rPr>
          <w:rFonts w:eastAsiaTheme="minorEastAsia"/>
          <w:vertAlign w:val="subscript"/>
          <w:lang w:eastAsia="zh-CN"/>
        </w:rPr>
        <w:t>28</w:t>
      </w:r>
      <w:r>
        <w:rPr>
          <w:rFonts w:eastAsiaTheme="minorEastAsia"/>
          <w:lang w:eastAsia="zh-CN"/>
        </w:rPr>
        <w:t>N</w:t>
      </w:r>
      <w:r>
        <w:rPr>
          <w:rFonts w:eastAsiaTheme="minorEastAsia"/>
          <w:vertAlign w:val="subscript"/>
          <w:lang w:eastAsia="zh-CN"/>
        </w:rPr>
        <w:t>2</w:t>
      </w:r>
      <w:r>
        <w:rPr>
          <w:rFonts w:eastAsiaTheme="minorEastAsia"/>
          <w:lang w:eastAsia="zh-CN"/>
        </w:rPr>
        <w:t>O. Levobupivacaine semakin banyak digunakan dalam praktik anestesi klinis sejak beberapa tahun terakhir karena profil farmakologisnya yang lebih aman. Toksisitas kardiovaskular dan neurologis yang rendah dari levobupivacaine telah menyebabkan penerapannya sebagai anestesi lokal dalam berbagai aplikasi spesialis termasuk blok sub-arachnoid, anestesi dan analgesia epidural, blok pleksus brakialis, blok saraf perifer, blok okular serta infiltrasi lokal. Ini juga digunakan untuk anestesi intraoperatif, analgesia persalinan, nyeri pasca operasi serta manajemen nyeri akut dan kronis.</w:t>
      </w:r>
      <w:r>
        <w:rPr>
          <w:rFonts w:eastAsiaTheme="minorEastAsia"/>
          <w:lang w:eastAsia="zh-CN"/>
        </w:rPr>
        <w:fldChar w:fldCharType="begin" w:fldLock="1"/>
      </w:r>
      <w:r>
        <w:rPr>
          <w:rFonts w:eastAsiaTheme="minorEastAsia"/>
          <w:lang w:eastAsia="zh-CN"/>
        </w:rPr>
        <w:instrText>ADDIN CSL_CITATION {"citationItems":[{"id":"ITEM-1","itemData":{"DOI":"10.4103/0970-9185.119172","ISSN":"09709185","abstract":"The quest for searching newer and safer anesthetic agents has always been one of the primary needs in anesthesiology practice. Levobupivacaine, the pure S (-)-enantiomer of bupivacaine, has strongly emerged as a safer alternative for regional anesthesia than its racemic sibling, bupivacaine. Levobupivacaine has been found to be equally efficacious as bupivacaine, but with a superior pharmacokinetic profile. Clinically, levobupivacaine has been observed to be well-tolerated in regional anesthesia techniques both after bolus administration and continuous post-operative infusion. The incidence of adverse drug reactions (ADRs) is rare when it is administered correctly. Most ADRs are related to faulty administration technique (resulting in systemic exposure) or pharmacological effects of anesthesia; however, allergic reactions can also occur rarely. The available literary evidence in anesthesia practice indicates that levobupivacaine and bupivacaine produce comparable surgical sensory block, similar adverse side effects and provision of similar labor analgesia with good comparable maternal and fetal outcome. The present review aims to discuss the pharmacokinetic and pharmacological essentials of the safer profile of levobupivacaine as well as to discuss the scope and indications of levobupivacaine based on current clinical evidence.","author":[{"dropping-particle":"","family":"Bajwa","given":"Sukhminder Jit Singh","non-dropping-particle":"","parse-names":false,"suffix":""},{"dropping-particle":"","family":"Kaur","given":"Jasleen","non-dropping-particle":"","parse-names":false,"suffix":""}],"container-title":"Journal of Anaesthesiology Clinical Pharmacology","id":"ITEM-1","issue":"4","issued":{"date-parts":[["2013"]]},"page":"530-539","title":"Clinical profile of levobupivacaine in regional anesthesia: A systematic review","type":"article-journal","volume":"29"},"uris":["http://www.mendeley.com/documents/?uuid=d22b30e9-7b62-407c-af05-7f6af898d2ce"]}],"mendeley":{"formattedCitation":"&lt;sup&gt;54&lt;/sup&gt;","plainTextFormattedCitation":"54","previouslyFormattedCitation":"&lt;sup&gt;54&lt;/sup&gt;"},"properties":{"noteIndex":0},"schema":"https://github.com/citation-style-language/schema/raw/master/csl-citation.json"}</w:instrText>
      </w:r>
      <w:r>
        <w:rPr>
          <w:rFonts w:eastAsiaTheme="minorEastAsia"/>
          <w:lang w:eastAsia="zh-CN"/>
        </w:rPr>
        <w:fldChar w:fldCharType="separate"/>
      </w:r>
      <w:r>
        <w:rPr>
          <w:rFonts w:eastAsiaTheme="minorEastAsia"/>
          <w:noProof/>
          <w:vertAlign w:val="superscript"/>
          <w:lang w:eastAsia="zh-CN"/>
        </w:rPr>
        <w:t>54</w:t>
      </w:r>
      <w:r>
        <w:rPr>
          <w:rFonts w:eastAsiaTheme="minorEastAsia"/>
          <w:lang w:eastAsia="zh-CN"/>
        </w:rPr>
        <w:fldChar w:fldCharType="end"/>
      </w:r>
    </w:p>
    <w:p w14:paraId="22F92194" w14:textId="77777777" w:rsidR="003B79BC" w:rsidRDefault="003B79BC">
      <w:pPr>
        <w:spacing w:line="360" w:lineRule="auto"/>
        <w:ind w:firstLine="709"/>
        <w:jc w:val="both"/>
        <w:rPr>
          <w:rFonts w:eastAsiaTheme="minorEastAsia"/>
          <w:lang w:eastAsia="zh-CN"/>
        </w:rPr>
      </w:pPr>
    </w:p>
    <w:p w14:paraId="4A89FE16" w14:textId="77777777" w:rsidR="003B79BC" w:rsidRDefault="00000000">
      <w:pPr>
        <w:pStyle w:val="Heading3"/>
        <w:numPr>
          <w:ilvl w:val="0"/>
          <w:numId w:val="10"/>
        </w:numPr>
        <w:ind w:left="426" w:hanging="426"/>
        <w:rPr>
          <w:rStyle w:val="Emphasis"/>
          <w:i w:val="0"/>
          <w:iCs w:val="0"/>
          <w:lang w:val="id-ID" w:eastAsia="zh-CN"/>
        </w:rPr>
      </w:pPr>
      <w:bookmarkStart w:id="43" w:name="_Toc158290254"/>
      <w:r>
        <w:rPr>
          <w:lang w:val="id-ID" w:eastAsia="zh-CN"/>
        </w:rPr>
        <w:t>Indikasi dan Kontraindikasi Levob</w:t>
      </w:r>
      <w:r>
        <w:rPr>
          <w:lang w:eastAsia="zh-CN"/>
        </w:rPr>
        <w:t>upivacaine</w:t>
      </w:r>
      <w:bookmarkEnd w:id="43"/>
    </w:p>
    <w:p w14:paraId="2AE56B3C" w14:textId="77777777" w:rsidR="003B79BC" w:rsidRDefault="00000000">
      <w:pPr>
        <w:spacing w:line="360" w:lineRule="auto"/>
        <w:ind w:firstLine="709"/>
        <w:jc w:val="both"/>
        <w:rPr>
          <w:lang w:val="id-ID"/>
        </w:rPr>
      </w:pPr>
      <w:r>
        <w:rPr>
          <w:lang w:val="id-ID" w:eastAsia="zh-CN"/>
        </w:rPr>
        <w:t>Penggunaan levobupivacaine telah meningkat drastis selama beberapa tahun terakhir karena profil farmakologisnya yang lebih aman. Levobupivacaine semakin banyak digunakan dalam blok subarachnoid, anestesi epidural dan analgesia, blok pleksus brakialis, blok saraf perifer, blok okular serta infiltrasi lokal. Ini juga digunakan untuk analgesia persalinan, nyeri pasca operasi serta manajemen nyeri akut dan kronis.</w:t>
      </w:r>
      <w:r>
        <w:rPr>
          <w:lang w:val="id-ID"/>
        </w:rPr>
        <w:fldChar w:fldCharType="begin" w:fldLock="1"/>
      </w:r>
      <w:r>
        <w:rPr>
          <w:lang w:val="id-ID" w:eastAsia="zh-CN"/>
        </w:rPr>
        <w:instrText>ADDIN CSL_CITATION {"citationItems":[{"id":"ITEM-1","itemData":{"DOI":"10.4103/2455-3069.184114","ISSN":"2455-3069","abstract":"In the quest for safer and effective anesthesia and analgesia, local anesthetics such as levobupivacaine or ropivacaine have been introduced into the clinical practice. Several studies have been done to assess their efficacy and relative superiority to bupivacaine. The aim of this review is to provide the recent and comprehensive updates regarding the clinical and pharmacological utility of levobupivacaine. Using Google search for indexing databases, a search for articles published was performed using various combinations of the following search terms: (a) Pharmacology; (b) clinical; (c) profile; (d) levobupivacaine; (e) local anesthetic; (f) recent. Additional sources were also identified by exploring the primary reference list.","author":[{"dropping-particle":"","family":"Athar","given":"Manazir","non-dropping-particle":"","parse-names":false,"suffix":""},{"dropping-particle":"","family":"Ahmed</w:instrText>
      </w:r>
      <w:r>
        <w:rPr>
          <w:lang w:val="id-ID"/>
        </w:rPr>
        <w:instrText>","given":"SyedMoied","non-dropping-particle":"","parse-names":false,"suffix":""},{"dropping-particle":"","family":"Ali","given":"Shahna","non-dropping-particle":"","parse-names":false,"suffix":""},{"dropping-particle":"","family":"Siddiqi","given":"ObaidAhmad","non-dropping-particle":"","parse-names":false,"suffix":""}],"container-title":"Journal of Current Research in Scientific Medicine","id":"ITEM-1","issue":"1","issued":{"date-parts":[["2016"]]},"page":"3","title":"Levobupivacaine: A safer alternative","type":"article-journal","volume":"2"},"uris":["http://www.mendeley.com/documents/?uuid=86807b32-26d4-4c29-977d-056ed8e1d238"]}],"mendeley":{"formattedCitation":"&lt;sup&gt;55&lt;/sup&gt;","plainTextFormattedCitation":"55","previouslyFormattedCitation":"&lt;sup&gt;55&lt;/sup&gt;"},"properties":{"noteIndex":0},"schema":"https://github.com/citation-style-language/schema/raw/master/csl-citation.json"}</w:instrText>
      </w:r>
      <w:r>
        <w:rPr>
          <w:lang w:val="id-ID"/>
        </w:rPr>
        <w:fldChar w:fldCharType="separate"/>
      </w:r>
      <w:r>
        <w:rPr>
          <w:noProof/>
          <w:vertAlign w:val="superscript"/>
          <w:lang w:val="id-ID"/>
        </w:rPr>
        <w:t>55</w:t>
      </w:r>
      <w:r>
        <w:rPr>
          <w:lang w:val="id-ID"/>
        </w:rPr>
        <w:fldChar w:fldCharType="end"/>
      </w:r>
      <w:r>
        <w:rPr>
          <w:lang w:val="id-ID"/>
        </w:rPr>
        <w:t xml:space="preserve"> Kontraindikasi levobupivacaine meliputi pasien dengan hipersensitivitas terhadap ropivacaine atau agen anestesi lokal lainnya dari jenis amida, anestesi regional intravena (blok bier), pasien dengan hipotensi berat seperti syok kardiogenik atau hipovolemik, dan anestesi blok paraservikal obstetrik.</w:t>
      </w:r>
      <w:r>
        <w:rPr>
          <w:lang w:val="id-ID"/>
        </w:rPr>
        <w:fldChar w:fldCharType="begin" w:fldLock="1"/>
      </w:r>
      <w:r>
        <w:rPr>
          <w:lang w:val="id-ID"/>
        </w:rPr>
        <w:instrText>ADDIN CSL_CITATION {"citationItems":[{"id":"ITEM-1","itemData":{"DOI":"10.4103/2455-3069.184114","ISSN":"2455-3069","abstract":"In the quest for safer and effective anesthesia and analgesia, local anesthetics such as levobupivacaine or ropivacaine have been introduced into the clinical practice. Several studies have been done to assess their efficacy and relative superiority to bupivacaine. The aim of this review is to provide the recent and comprehensive updates regarding the clinical and pharmacological utility of levobupivacaine. Using Google search for indexing databases, a search for articles published was performed using various combinations of the following search terms: (a) Pharmacology; (b) clinical; (c) profile; (d) levobupivacaine; (e) local anesthetic; (f) recent. Additional sources were also identified by exploring the primary reference list.","author":[{"dropping-particle":"","family":"Athar","given":"Manazir","non-dropping-particle":"","parse-names":false,"suffix":""},{"dropping-particle":"","family":"Ahmed","given":"SyedMoied","non-dropping-particle":"","parse-names":false,"suffix":""},{"dropping-particle":"","family":"Ali","given":"Shahna","non-dropping-particle":"","parse-names":false,"suffix":""},{"dropping-particle":"","family":"Siddiqi","given":"ObaidAhmad","non-dropping-particle":"","parse-names":false,"suffix":""}],"container-title":"Journal of Current Research in Scientific Medicine","id":"ITEM-1","issue":"1","issued":{"date-parts":[["2016"]]},"page":"3","title":"Levobupivacaine: A safer alternative","type":"article-journal","volume":"2"},"uris":["http://www.mendeley.com/documents/?uuid=86807b32-26d4-4c29-977d-056ed8e1d238"]}],"mendeley":{"formattedCitation":"&lt;sup&gt;55&lt;/sup&gt;","plainTextFormattedCitation":"55","previouslyFormattedCitation":"&lt;sup&gt;55&lt;/sup&gt;"},"properties":{"noteIndex":0},"schema":"https://github.com/citation-style-language/schema/raw/master/csl-citation.json"}</w:instrText>
      </w:r>
      <w:r>
        <w:rPr>
          <w:lang w:val="id-ID"/>
        </w:rPr>
        <w:fldChar w:fldCharType="separate"/>
      </w:r>
      <w:r>
        <w:rPr>
          <w:noProof/>
          <w:vertAlign w:val="superscript"/>
          <w:lang w:val="id-ID"/>
        </w:rPr>
        <w:t>55</w:t>
      </w:r>
      <w:r>
        <w:rPr>
          <w:lang w:val="id-ID"/>
        </w:rPr>
        <w:fldChar w:fldCharType="end"/>
      </w:r>
    </w:p>
    <w:p w14:paraId="3E4F9D16" w14:textId="77777777" w:rsidR="003B79BC" w:rsidRDefault="003B79BC">
      <w:pPr>
        <w:spacing w:line="360" w:lineRule="auto"/>
        <w:ind w:firstLine="709"/>
        <w:jc w:val="both"/>
        <w:rPr>
          <w:lang w:val="id-ID"/>
        </w:rPr>
      </w:pPr>
    </w:p>
    <w:p w14:paraId="0F4A28FD" w14:textId="77777777" w:rsidR="003B79BC" w:rsidRDefault="00000000">
      <w:pPr>
        <w:pStyle w:val="Heading3"/>
        <w:numPr>
          <w:ilvl w:val="0"/>
          <w:numId w:val="10"/>
        </w:numPr>
        <w:ind w:left="426" w:hanging="426"/>
        <w:rPr>
          <w:lang w:val="id-ID"/>
        </w:rPr>
      </w:pPr>
      <w:bookmarkStart w:id="44" w:name="_Toc158290255"/>
      <w:r>
        <w:rPr>
          <w:lang w:val="id-ID"/>
        </w:rPr>
        <w:t>Mekanisme Aksi Levob</w:t>
      </w:r>
      <w:r>
        <w:t>upivacaine</w:t>
      </w:r>
      <w:bookmarkEnd w:id="44"/>
    </w:p>
    <w:p w14:paraId="2B133D24" w14:textId="77777777" w:rsidR="003B79BC" w:rsidRDefault="00000000">
      <w:pPr>
        <w:spacing w:line="360" w:lineRule="auto"/>
        <w:ind w:firstLine="709"/>
        <w:jc w:val="both"/>
        <w:rPr>
          <w:rFonts w:eastAsiaTheme="minorEastAsia"/>
          <w:lang w:eastAsia="zh-CN"/>
        </w:rPr>
      </w:pPr>
      <w:bookmarkStart w:id="45" w:name="_Hlk138242866"/>
      <w:r>
        <w:t>Semua anestesi lokal mengandung tiga komponen struktural: cincin aromatik, gugus penghubung yang merupakan ester (prokain) atau amida (bupiva</w:t>
      </w:r>
      <w:r>
        <w:rPr>
          <w:lang w:val="id-ID"/>
        </w:rPr>
        <w:t>c</w:t>
      </w:r>
      <w:r>
        <w:t>ain</w:t>
      </w:r>
      <w:r>
        <w:rPr>
          <w:lang w:val="id-ID"/>
        </w:rPr>
        <w:t>e</w:t>
      </w:r>
      <w:r>
        <w:t xml:space="preserve">), dan gugus amina yang dapat terionisasi. </w:t>
      </w:r>
      <w:r>
        <w:rPr>
          <w:lang w:eastAsia="zh-CN"/>
        </w:rPr>
        <w:t xml:space="preserve">Selain itu, semua </w:t>
      </w:r>
      <w:r>
        <w:rPr>
          <w:lang w:val="id-ID" w:eastAsia="zh-CN"/>
        </w:rPr>
        <w:t>anestesi lokal</w:t>
      </w:r>
      <w:r>
        <w:rPr>
          <w:lang w:eastAsia="zh-CN"/>
        </w:rPr>
        <w:t xml:space="preserve"> memiliki dua sifat kimia yang menentukan aktivitasnya</w:t>
      </w:r>
      <w:r>
        <w:rPr>
          <w:lang w:val="id-ID" w:eastAsia="zh-CN"/>
        </w:rPr>
        <w:t xml:space="preserve"> yaitu k</w:t>
      </w:r>
      <w:r>
        <w:rPr>
          <w:lang w:eastAsia="zh-CN"/>
        </w:rPr>
        <w:t>elarutan lipid</w:t>
      </w:r>
      <w:r>
        <w:rPr>
          <w:rFonts w:eastAsiaTheme="minorEastAsia" w:hint="eastAsia"/>
          <w:lang w:eastAsia="zh-CN"/>
        </w:rPr>
        <w:t xml:space="preserve"> </w:t>
      </w:r>
      <w:r>
        <w:rPr>
          <w:rFonts w:eastAsiaTheme="minorEastAsia"/>
          <w:lang w:val="id-ID" w:eastAsia="zh-CN"/>
        </w:rPr>
        <w:t xml:space="preserve">dan </w:t>
      </w:r>
      <w:r>
        <w:rPr>
          <w:lang w:val="id-ID" w:eastAsia="zh-CN"/>
        </w:rPr>
        <w:t>k</w:t>
      </w:r>
      <w:r>
        <w:rPr>
          <w:lang w:eastAsia="zh-CN"/>
        </w:rPr>
        <w:t>onstanta ionisasi (pKa)</w:t>
      </w:r>
      <w:r>
        <w:rPr>
          <w:rFonts w:eastAsiaTheme="minorEastAsia" w:hint="eastAsia"/>
          <w:lang w:eastAsia="zh-CN"/>
        </w:rPr>
        <w:t>.</w:t>
      </w:r>
      <w:r>
        <w:rPr>
          <w:rFonts w:eastAsiaTheme="minorEastAsia"/>
          <w:lang w:val="id-ID" w:eastAsia="zh-CN"/>
        </w:rPr>
        <w:t xml:space="preserve"> </w:t>
      </w:r>
      <w:r>
        <w:t xml:space="preserve">Kelarutan lipid menentukan potensi, durasi aksi, dan pengikatan plasma-protein anestesi lokal. Anestesi lokal memasuki serabut saraf sebagai basa bebas netral. </w:t>
      </w:r>
      <w:r>
        <w:rPr>
          <w:lang w:eastAsia="zh-CN"/>
        </w:rPr>
        <w:t>Bentuk terionisasi dan bentuk kationik memblokir konduksi melalui interaksinya pada permukaan dalam saluran Na</w:t>
      </w:r>
      <w:r>
        <w:rPr>
          <w:vertAlign w:val="superscript"/>
          <w:lang w:eastAsia="zh-CN"/>
        </w:rPr>
        <w:t>+</w:t>
      </w:r>
      <w:r>
        <w:rPr>
          <w:lang w:eastAsia="zh-CN"/>
        </w:rPr>
        <w:t xml:space="preserve">. Selain itu, </w:t>
      </w:r>
      <w:r>
        <w:rPr>
          <w:lang w:val="en-US" w:eastAsia="zh-CN"/>
        </w:rPr>
        <w:t xml:space="preserve">obat </w:t>
      </w:r>
      <w:proofErr w:type="spellStart"/>
      <w:r>
        <w:rPr>
          <w:lang w:val="en-US" w:eastAsia="zh-CN"/>
        </w:rPr>
        <w:t>anestesi</w:t>
      </w:r>
      <w:proofErr w:type="spellEnd"/>
      <w:r>
        <w:rPr>
          <w:lang w:val="en-US" w:eastAsia="zh-CN"/>
        </w:rPr>
        <w:t xml:space="preserve"> </w:t>
      </w:r>
      <w:proofErr w:type="spellStart"/>
      <w:r>
        <w:rPr>
          <w:lang w:val="en-US" w:eastAsia="zh-CN"/>
        </w:rPr>
        <w:t>lokal</w:t>
      </w:r>
      <w:proofErr w:type="spellEnd"/>
      <w:r>
        <w:rPr>
          <w:lang w:eastAsia="zh-CN"/>
        </w:rPr>
        <w:t xml:space="preserve"> dengan pKa yang lebih rendah memiliki onset aksi yang lebih cepat, yang berarti lebih banyak terdapat dalam bentuk tidak bermuatan, yang membuat </w:t>
      </w:r>
      <w:r>
        <w:rPr>
          <w:lang w:eastAsia="zh-CN"/>
        </w:rPr>
        <w:lastRenderedPageBreak/>
        <w:t>difusi lebih cepat ke sisi sitoplasma saluran Na</w:t>
      </w:r>
      <w:r>
        <w:rPr>
          <w:vertAlign w:val="superscript"/>
          <w:lang w:eastAsia="zh-CN"/>
        </w:rPr>
        <w:t>+</w:t>
      </w:r>
      <w:r>
        <w:rPr>
          <w:lang w:eastAsia="zh-CN"/>
        </w:rPr>
        <w:t>.</w:t>
      </w:r>
      <w:r>
        <w:rPr>
          <w:rFonts w:eastAsiaTheme="minorEastAsia" w:hint="eastAsia"/>
          <w:lang w:eastAsia="zh-CN"/>
        </w:rPr>
        <w:t xml:space="preserve"> </w:t>
      </w:r>
      <w:r>
        <w:t>Saluran Na</w:t>
      </w:r>
      <w:r>
        <w:rPr>
          <w:vertAlign w:val="superscript"/>
        </w:rPr>
        <w:t>+</w:t>
      </w:r>
      <w:r>
        <w:t xml:space="preserve"> adalah protein membran yang menyebarkan potensial aksi di akson, dendrit, dan jaringan otot. Subunit alfa, tempat konduksi ion, dan pengikatan anestesi lokal memiliki empat domain serupa, masing-masing dengan enam segmen rentang membran alfa-heliks. Permukaan luar subunit alfa sangat terglikosilasi, yang memungkinkan saluran untuk mengarahkan dengan benar di dalam membran sitoplasma. Berbeda dengan anestesi lokal, toksin kalajengking dan tetrodotoksin memiliki tempat pengikatan pada permukaan ekstraseluler saluran Na</w:t>
      </w:r>
      <w:r>
        <w:rPr>
          <w:vertAlign w:val="superscript"/>
        </w:rPr>
        <w:t>+</w:t>
      </w:r>
      <w:r>
        <w:t>.</w:t>
      </w:r>
      <w:r>
        <w:rPr>
          <w:rFonts w:eastAsiaTheme="minorEastAsia" w:hint="eastAsia"/>
          <w:lang w:eastAsia="zh-CN"/>
        </w:rPr>
        <w:t xml:space="preserve"> </w:t>
      </w:r>
      <w:r>
        <w:rPr>
          <w:lang w:eastAsia="zh-CN"/>
        </w:rPr>
        <w:t>Konduksi impuls saraf melalui pembentukan potensial aksi di sepanjang akson</w:t>
      </w:r>
      <w:r>
        <w:rPr>
          <w:lang w:val="id-ID" w:eastAsia="zh-CN"/>
        </w:rPr>
        <w:t>.</w:t>
      </w:r>
      <w:r>
        <w:fldChar w:fldCharType="begin" w:fldLock="1"/>
      </w:r>
      <w:r>
        <w:rPr>
          <w:lang w:eastAsia="zh-CN"/>
        </w:rPr>
        <w:instrText>ADDIN CSL_CITATION {"citationItems":[{"id":"ITEM-1","itemData":{"author":[{"dropping-particle":"","family":"Shafiei","given":"Fourutan T.","non-dropping-particle":"","parse-names":false,"suffix":""},{"dropping-particle":"","family":"McAllister","given":"Russell K.","non-dropping-particle":"","parse-names":false,"suffix":""},{"dropping-particle":"","family":"Lopez.","given":"Javier","non-dropping-particle":"","parse-names":false,"suffix":""}],"container-title":"StatPearls Publishing LLC","id":"ITEM-1","issued":{"date-parts":[["2022"]]},"title":"Bupivacaine","type":"article-journal"},"uris":["http://www.mendeley.com/documents/?uuid=14f55fc8-a629-43ed-8087-2a32f3be4d77"]}],"mendeley":{"formattedCitation":"&lt;sup&gt;56&lt;/sup&gt;","plainTextFormattedCitation":"56","previouslyFormattedCitation":"&lt;sup&gt;56&lt;/sup&gt;"},"properties":{"noteIndex":0},"schema":"https://github.com/citation-style-language/schema/raw/master/csl-citation.json"}</w:instrText>
      </w:r>
      <w:r>
        <w:fldChar w:fldCharType="separate"/>
      </w:r>
      <w:r>
        <w:rPr>
          <w:noProof/>
          <w:vertAlign w:val="superscript"/>
          <w:lang w:eastAsia="zh-CN"/>
        </w:rPr>
        <w:t>56</w:t>
      </w:r>
      <w:r>
        <w:fldChar w:fldCharType="end"/>
      </w:r>
      <w:r>
        <w:rPr>
          <w:lang w:eastAsia="zh-CN"/>
        </w:rPr>
        <w:t xml:space="preserve"> </w:t>
      </w:r>
    </w:p>
    <w:p w14:paraId="1C1D4FA5" w14:textId="77777777" w:rsidR="003B79BC" w:rsidRDefault="00000000">
      <w:pPr>
        <w:spacing w:line="360" w:lineRule="auto"/>
        <w:ind w:firstLine="709"/>
        <w:jc w:val="both"/>
        <w:rPr>
          <w:rFonts w:eastAsiaTheme="minorEastAsia"/>
          <w:lang w:eastAsia="zh-CN"/>
        </w:rPr>
      </w:pPr>
      <w:r>
        <w:rPr>
          <w:lang w:val="id-ID" w:eastAsia="zh-CN"/>
        </w:rPr>
        <w:t>H</w:t>
      </w:r>
      <w:r>
        <w:rPr>
          <w:lang w:eastAsia="zh-CN"/>
        </w:rPr>
        <w:t xml:space="preserve">asil anestesi lokal ketika </w:t>
      </w:r>
      <w:proofErr w:type="spellStart"/>
      <w:r>
        <w:rPr>
          <w:lang w:val="en-US" w:eastAsia="zh-CN"/>
        </w:rPr>
        <w:t>agen</w:t>
      </w:r>
      <w:proofErr w:type="spellEnd"/>
      <w:r>
        <w:rPr>
          <w:lang w:eastAsia="zh-CN"/>
        </w:rPr>
        <w:t xml:space="preserve"> mengikat saluran Na</w:t>
      </w:r>
      <w:r>
        <w:rPr>
          <w:vertAlign w:val="superscript"/>
          <w:lang w:eastAsia="zh-CN"/>
        </w:rPr>
        <w:t>+</w:t>
      </w:r>
      <w:r>
        <w:rPr>
          <w:lang w:eastAsia="zh-CN"/>
        </w:rPr>
        <w:t xml:space="preserve"> dan menghambat permeabilitas Na</w:t>
      </w:r>
      <w:r>
        <w:rPr>
          <w:vertAlign w:val="superscript"/>
          <w:lang w:eastAsia="zh-CN"/>
        </w:rPr>
        <w:t xml:space="preserve">+ </w:t>
      </w:r>
      <w:r>
        <w:rPr>
          <w:lang w:eastAsia="zh-CN"/>
        </w:rPr>
        <w:t>yang diperlukan untuk potensial aksi. Anestesi lokal secara selektif menghambat saluran Na</w:t>
      </w:r>
      <w:r>
        <w:rPr>
          <w:vertAlign w:val="superscript"/>
          <w:lang w:eastAsia="zh-CN"/>
        </w:rPr>
        <w:t>+</w:t>
      </w:r>
      <w:r>
        <w:rPr>
          <w:lang w:eastAsia="zh-CN"/>
        </w:rPr>
        <w:t xml:space="preserve"> voltage-gated terbuka. </w:t>
      </w:r>
      <w:r>
        <w:t>Blokade saluran Na</w:t>
      </w:r>
      <w:r>
        <w:rPr>
          <w:vertAlign w:val="superscript"/>
        </w:rPr>
        <w:t>+</w:t>
      </w:r>
      <w:r>
        <w:t xml:space="preserve"> mengakibatkan penurunan atau penghilangan konduksi pada otot polos pembuluh darah, yang menyebabkan relaksasi. </w:t>
      </w:r>
      <w:r>
        <w:rPr>
          <w:lang w:eastAsia="zh-CN"/>
        </w:rPr>
        <w:t xml:space="preserve">Di jantung, </w:t>
      </w:r>
      <w:r>
        <w:rPr>
          <w:lang w:val="id-ID" w:eastAsia="zh-CN"/>
        </w:rPr>
        <w:t>aksi tersebut</w:t>
      </w:r>
      <w:r>
        <w:rPr>
          <w:lang w:eastAsia="zh-CN"/>
        </w:rPr>
        <w:t xml:space="preserve"> menyebabkan penurunan aktivitas alat pacu jantung dan perpanjangan periode refraktori. Tindakan </w:t>
      </w:r>
      <w:r>
        <w:rPr>
          <w:lang w:val="id-ID" w:eastAsia="zh-CN"/>
        </w:rPr>
        <w:t>tersebut</w:t>
      </w:r>
      <w:r>
        <w:rPr>
          <w:lang w:eastAsia="zh-CN"/>
        </w:rPr>
        <w:t xml:space="preserve"> unik untuk bupivacaine karena penurunan laju disosiasi dari saluran natrium yang tersumbat, yang menyebabkan perpanjangan laju depolarisasi maksimal (Vmax) dan potensi aritmia ventrikel. Anestesi lokal juga mengikat reseptor beta-adrenergik dan menghambat pembentukan cAMP yang terstimulasi epinefrin, yang dapat menjelaskan refraktori toksisitas </w:t>
      </w:r>
      <w:proofErr w:type="spellStart"/>
      <w:r>
        <w:rPr>
          <w:lang w:val="en-US" w:eastAsia="zh-CN"/>
        </w:rPr>
        <w:t>kardiovaskular</w:t>
      </w:r>
      <w:proofErr w:type="spellEnd"/>
      <w:r>
        <w:rPr>
          <w:lang w:eastAsia="zh-CN"/>
        </w:rPr>
        <w:t xml:space="preserve"> bupivakain terhadap pedoman resusitasi standar. </w:t>
      </w:r>
      <w:r>
        <w:t>Dalam sistem saraf pusat (SSP), anestesi lokal dapat menyebabkan peningkatan rangsangan, diikuti oleh depresinya.</w:t>
      </w:r>
      <w:r>
        <w:rPr>
          <w:rFonts w:eastAsiaTheme="minorEastAsia" w:hint="eastAsia"/>
          <w:lang w:eastAsia="zh-CN"/>
        </w:rPr>
        <w:t xml:space="preserve"> </w:t>
      </w:r>
      <w:r>
        <w:t>Jaringan saraf memiliki kerentanan berbeda terhadap anestesi lokal. Arus depolarisasi dalam saraf bergerak di sepanjang nodus Ranvier, dan 2 hingga 3 nodus harus diblokir untuk mengganggu konduksi neuron sepenuhnya. Serat yang lebih kecil memiliki jarak internodal yang lebih kecil dan, oleh karena itu, lebih cepat tersumbat oleh anestesi lokal.</w:t>
      </w:r>
      <w:r>
        <w:fldChar w:fldCharType="begin" w:fldLock="1"/>
      </w:r>
      <w:r>
        <w:instrText>ADDIN CSL_CITATION {"citationItems":[{"id":"ITEM-1","itemData":{"author":[{"dropping-particle":"","family":"Shafiei","given":"Fourutan T.","non-dropping-particle":"","parse-names":false,"suffix":""},{"dropping-particle":"","family":"McAllister","given":"Russell K.","non-dropping-particle":"","parse-names":false,"suffix":""},{"dropping-particle":"","family":"Lopez.","given":"Javier","non-dropping-particle":"","parse-names":false,"suffix":""}],"container-title":"StatPearls Publishing LLC","id":"ITEM-1","issued":{"date-parts":[["2022"]]},"title":"Bupivacaine","type":"article-journal"},"uris":["http://www.mendeley.com/documents/?uuid=14f55fc8-a629-43ed-8087-2a32f3be4d77"]}],"mendeley":{"formattedCitation":"&lt;sup&gt;56&lt;/sup&gt;","plainTextFormattedCitation":"56","previouslyFormattedCitation":"&lt;sup&gt;56&lt;/sup&gt;"},"properties":{"noteIndex":0},"schema":"https://github.com/citation-style-language/schema/raw/master/csl-citation.json"}</w:instrText>
      </w:r>
      <w:r>
        <w:fldChar w:fldCharType="separate"/>
      </w:r>
      <w:r>
        <w:rPr>
          <w:noProof/>
          <w:vertAlign w:val="superscript"/>
        </w:rPr>
        <w:t>56</w:t>
      </w:r>
      <w:r>
        <w:fldChar w:fldCharType="end"/>
      </w:r>
    </w:p>
    <w:p w14:paraId="2B851DF2" w14:textId="77777777" w:rsidR="003B79BC" w:rsidRDefault="00000000">
      <w:pPr>
        <w:spacing w:line="360" w:lineRule="auto"/>
        <w:ind w:firstLine="709"/>
        <w:jc w:val="both"/>
        <w:rPr>
          <w:rFonts w:eastAsiaTheme="minorEastAsia"/>
          <w:lang w:eastAsia="zh-CN"/>
        </w:rPr>
      </w:pPr>
      <w:r>
        <w:rPr>
          <w:rFonts w:eastAsiaTheme="minorEastAsia"/>
          <w:lang w:eastAsia="zh-CN"/>
        </w:rPr>
        <w:t xml:space="preserve">Levobupivacaine memiliki mekanisme aksi dan sifat farmakodinamik yang serupa dengan bupivacaine. Levobupivacaine secara reversibel memblokir saluran natrium pada nodus Ranvier pada saraf bermielin yang menyebabkan onset lebih cepat dibandingkan dengan saraf yang tidak bermielin. Demikian pula, saraf yang </w:t>
      </w:r>
      <w:r>
        <w:rPr>
          <w:rFonts w:eastAsiaTheme="minorEastAsia"/>
          <w:lang w:eastAsia="zh-CN"/>
        </w:rPr>
        <w:lastRenderedPageBreak/>
        <w:t>berdiameter kecil lebih mudah tersumbat daripada saraf besar.</w:t>
      </w:r>
      <w:r>
        <w:rPr>
          <w:rFonts w:eastAsiaTheme="minorEastAsia"/>
          <w:lang w:eastAsia="zh-CN"/>
        </w:rPr>
        <w:fldChar w:fldCharType="begin" w:fldLock="1"/>
      </w:r>
      <w:r>
        <w:rPr>
          <w:rFonts w:eastAsiaTheme="minorEastAsia"/>
          <w:lang w:eastAsia="zh-CN"/>
        </w:rPr>
        <w:instrText>ADDIN CSL_CITATION {"citationItems":[{"id":"ITEM-1","itemData":{"DOI":"10.4103/2455-3069.184114","ISSN":"2455-3069","abstract":"In the quest for safer and effective anesthesia and analgesia, local anesthetics such as levobupivacaine or ropivacaine have been introduced into the clinical practice. Several studies have been done to assess their efficacy and relative superiority to bupivacaine. The aim of this review is to provide the recent and comprehensive updates regarding the clinical and pharmacological utility of levobupivacaine. Using Google search for indexing databases, a search for articles published was performed using various combinations of the following search terms: (a) Pharmacology; (b) clinical; (c) profile; (d) levobupivacaine; (e) local anesthetic; (f) recent. Additional sources were also identified by exploring the primary reference list.","author":[{"dropping-particle":"","family":"Athar","given":"Manazir","non-dropping-particle":"","parse-names":false,"suffix":""},{"dropping-particle":"","family":"Ahmed","given":"SyedMoied","non-dropping-particle":"","parse-names":false,"suffix":""},{"dropping-particle":"","family":"Ali","given":"Shahna","non-dropping-particle":"","parse-names":false,"suffix":""},{"dropping-particle":"","family":"Siddiqi","given":"ObaidAhmad","non-dropping-particle":"","parse-names":false,"suffix":""}],"container-title":"Journal of Current Research in Scientific Medicine","id":"ITEM-1","issue":"1","issued":{"date-parts":[["2016"]]},"page":"3","title":"Levobupivacaine: A safer alternative","type":"article-journal","volume":"2"},"uris":["http://www.mendeley.com/documents/?uuid=86807b32-26d4-4c29-977d-056ed8e1d238"]}],"mendeley":{"formattedCitation":"&lt;sup&gt;55&lt;/sup&gt;","plainTextFormattedCitation":"55","previouslyFormattedCitation":"&lt;sup&gt;55&lt;/sup&gt;"},"properties":{"noteIndex":0},"schema":"https://github.com/citation-style-language/schema/raw/master/csl-citation.json"}</w:instrText>
      </w:r>
      <w:r>
        <w:rPr>
          <w:rFonts w:eastAsiaTheme="minorEastAsia"/>
          <w:lang w:eastAsia="zh-CN"/>
        </w:rPr>
        <w:fldChar w:fldCharType="separate"/>
      </w:r>
      <w:r>
        <w:rPr>
          <w:rFonts w:eastAsiaTheme="minorEastAsia"/>
          <w:noProof/>
          <w:vertAlign w:val="superscript"/>
          <w:lang w:eastAsia="zh-CN"/>
        </w:rPr>
        <w:t>55</w:t>
      </w:r>
      <w:r>
        <w:rPr>
          <w:rFonts w:eastAsiaTheme="minorEastAsia"/>
          <w:lang w:eastAsia="zh-CN"/>
        </w:rPr>
        <w:fldChar w:fldCharType="end"/>
      </w:r>
      <w:r>
        <w:rPr>
          <w:rFonts w:eastAsiaTheme="minorEastAsia"/>
          <w:lang w:val="id-ID" w:eastAsia="zh-CN"/>
        </w:rPr>
        <w:t xml:space="preserve"> </w:t>
      </w:r>
      <w:r>
        <w:rPr>
          <w:lang w:val="id-ID" w:eastAsia="zh-CN"/>
        </w:rPr>
        <w:t xml:space="preserve">Penelitian secara </w:t>
      </w:r>
      <w:r>
        <w:rPr>
          <w:i/>
          <w:iCs/>
          <w:lang w:val="id-ID" w:eastAsia="zh-CN"/>
        </w:rPr>
        <w:t>in vitro</w:t>
      </w:r>
      <w:r>
        <w:rPr>
          <w:lang w:val="id-ID" w:eastAsia="zh-CN"/>
        </w:rPr>
        <w:t xml:space="preserve"> pada tikus menyatakan bahwa levobupivacaine</w:t>
      </w:r>
      <w:r>
        <w:rPr>
          <w:lang w:eastAsia="zh-CN"/>
        </w:rPr>
        <w:t xml:space="preserve"> secara efektif menghambat transmisi berbahaya ke kornu dorsal tulang belakang dengan </w:t>
      </w:r>
      <w:proofErr w:type="spellStart"/>
      <w:r>
        <w:rPr>
          <w:lang w:val="en-US" w:eastAsia="zh-CN"/>
        </w:rPr>
        <w:t>menghalangi</w:t>
      </w:r>
      <w:proofErr w:type="spellEnd"/>
      <w:r>
        <w:rPr>
          <w:lang w:eastAsia="zh-CN"/>
        </w:rPr>
        <w:t xml:space="preserve"> konduksi potensial aksi melalui serat aferen C dan A</w:t>
      </w:r>
      <w:r>
        <w:t>δ</w:t>
      </w:r>
      <w:r>
        <w:rPr>
          <w:lang w:eastAsia="zh-CN"/>
        </w:rPr>
        <w:t>.</w:t>
      </w:r>
      <w:r>
        <w:fldChar w:fldCharType="begin" w:fldLock="1"/>
      </w:r>
      <w:r>
        <w:rPr>
          <w:lang w:eastAsia="zh-CN"/>
        </w:rPr>
        <w:instrText>ADDIN CSL_CITATION {"citationItems":[{"id":"ITEM-1","itemData":{"DOI":"10.1097/ALN.0000000000003596","ISBN":"0000000000","ISSN":"15281175","PMID":"33166389","abstract":"Background: Although the widely used single L-enantiomers of local anesthetics have less toxic effects on the cardiovascular and central nervous systems, the mechanisms mediating their antinociceptive actions are not well understood. The authors hypothesized that significant differences in the ion channel blocking abilities of the enantiomers of bupivacaine would be identified. Methods: The authors performed electrophysiologic analysis on rat dorsal root ganglion neurons in vitro and on spinal transmissions in vivo. Results: In the dorsal root ganglion, these anesthetics decreased the amplitudes of action potentials. The half-maximum inhibitory concentrations of D-enantiomer D-bupivacaine were almost equal for A</w:instrText>
      </w:r>
      <w:r>
        <w:instrText>β</w:instrText>
      </w:r>
      <w:r>
        <w:rPr>
          <w:lang w:eastAsia="zh-CN"/>
        </w:rPr>
        <w:instrText xml:space="preserve"> (29.5 </w:instrText>
      </w:r>
      <w:r>
        <w:instrText>μ</w:instrText>
      </w:r>
      <w:r>
        <w:rPr>
          <w:lang w:eastAsia="zh-CN"/>
        </w:rPr>
        <w:instrText>M), A</w:instrText>
      </w:r>
      <w:r>
        <w:instrText>δ</w:instrText>
      </w:r>
      <w:r>
        <w:rPr>
          <w:lang w:eastAsia="zh-CN"/>
        </w:rPr>
        <w:instrText xml:space="preserve"> (29.7</w:instrText>
      </w:r>
      <w:r>
        <w:instrText>μ</w:instrText>
      </w:r>
      <w:r>
        <w:rPr>
          <w:lang w:eastAsia="zh-CN"/>
        </w:rPr>
        <w:instrText xml:space="preserve">M), and C (29.8 </w:instrText>
      </w:r>
      <w:r>
        <w:instrText>μ</w:instrText>
      </w:r>
      <w:r>
        <w:rPr>
          <w:lang w:eastAsia="zh-CN"/>
        </w:rPr>
        <w:instrText>M) neurons. However, the half-maximum inhibitory concentrations of L-bupivacaine was lower for A</w:instrText>
      </w:r>
      <w:r>
        <w:instrText>δ</w:instrText>
      </w:r>
      <w:r>
        <w:rPr>
          <w:lang w:eastAsia="zh-CN"/>
        </w:rPr>
        <w:instrText xml:space="preserve"> (19.35 </w:instrText>
      </w:r>
      <w:r>
        <w:instrText>μ</w:instrText>
      </w:r>
      <w:r>
        <w:rPr>
          <w:lang w:eastAsia="zh-CN"/>
        </w:rPr>
        <w:instrText xml:space="preserve">M) and C (19.5 </w:instrText>
      </w:r>
      <w:r>
        <w:instrText>μ</w:instrText>
      </w:r>
      <w:r>
        <w:rPr>
          <w:lang w:eastAsia="zh-CN"/>
        </w:rPr>
        <w:instrText xml:space="preserve">M) neurons than for A </w:instrText>
      </w:r>
      <w:r>
        <w:instrText>β</w:instrText>
      </w:r>
      <w:r>
        <w:rPr>
          <w:lang w:eastAsia="zh-CN"/>
        </w:rPr>
        <w:instrText xml:space="preserve"> (79.4 </w:instrText>
      </w:r>
      <w:r>
        <w:instrText>μ</w:instrText>
      </w:r>
      <w:r>
        <w:rPr>
          <w:lang w:eastAsia="zh-CN"/>
        </w:rPr>
        <w:instrText>M) neurons. Moreover, D-bupivacaine almost equally inhibited tetrodotoxin-resistant (mean ± SD: 15.8 ± 10.9% of the control, n = 14, P &lt; 0.001) and tetrodotoxin-sensitive (15.4 ± 15.6% of the</w:instrText>
      </w:r>
      <w:r>
        <w:instrText xml:space="preserve"> control, n = 11, P = 0.004) sodium currents. In contrast, L-bupivacaine suppressed tetrodotoxin-resistant sodium currents (26.1 ± 19.5% of the control, n = 18, P &lt; 0.001) but not tetrodotoxin-sensitive sodium currents (74.5 ± 18.2% of the control, n = 11, P = 0.477). In the spinal dorsal horn, L-bupivacaine decreased the area of pinch-evoked excitatory postsynaptic currents (39.4 ± 11.3% of the control, n = 7, P &lt; 0.001) but not touch-evoked responses (84.2 ± 14.5% of the control, n = 6, P = 0.826). In contrast, D-bupivacaine equally decreased pinch- and touch-evoked responses (38.8 ± 9.5% of the control, n = 6, P = </w:instrText>
      </w:r>
      <w:r>
        <w:rPr>
          <w:lang w:eastAsia="zh-CN"/>
        </w:rPr>
        <w:instrText>0.001, 42.9 ± 11.8% of the control, n = 6, P = 0.013, respectively). Conclusions: These results suggest that the L-enantiomer of bupivacaine (L-bupivacaine) effectively inhibits noxious transmission to the spinal dorsal horn by blocking action potential conduction through C and A</w:instrText>
      </w:r>
      <w:r>
        <w:instrText>δ</w:instrText>
      </w:r>
      <w:r>
        <w:rPr>
          <w:lang w:eastAsia="zh-CN"/>
        </w:rPr>
        <w:instrText xml:space="preserve"> afferent fibers.","author":[{"dropping-particle":"","family":"Uta","given":"Daisuke","non-dropping-particle":"","parse-names":false,"suffix":""},{"dropping-particle":"","family":"Koga","given":"Kohei","non-dropping-particle":"","parse-names":false,"suffix":""},{"dropping-particle":"","family":"Furue","given":"Hidemasa","non-dropping-particle":"","parse-names":false,"suffix":""},{"dropping-particle":"","family":"Imoto","given":"Keiji","non-dropping-particle":"","parse-names":false,"suffix":""},{"dropping-particle":"","family":"Yoshimura","given":"Megumu","non-dropping-particle":"","parse-names":false,"suffix":""}],"container-title":"Anesthesiology","id":"ITEM-1","issue":"1","issued":{"date-parts":[["2021"]]},"page":"88-102","title":"L-bupivacaine Inhibition of Nociceptive Transmission in Rat Peripheral and Dorsal Horn Neurons","type":"article-journal","volume":"134"},"uris":["http://www.mendeley.com/documents/?uuid=111d6fda-20e2-40ca-a42e-ce52bc8be588"]}],"mendeley":{"formattedCitation":"&lt;sup&gt;57&lt;/sup&gt;","plainTextFormattedCitation":"57","previouslyFormattedCitation":"&lt;sup&gt;57&lt;/sup&gt;"},"properties":{"noteIndex":0},"schema":"https://github.com/citation-style-language/schema/raw/master/csl-citation.json"}</w:instrText>
      </w:r>
      <w:r>
        <w:fldChar w:fldCharType="separate"/>
      </w:r>
      <w:r>
        <w:rPr>
          <w:noProof/>
          <w:vertAlign w:val="superscript"/>
          <w:lang w:eastAsia="zh-CN"/>
        </w:rPr>
        <w:t>57</w:t>
      </w:r>
      <w:r>
        <w:fldChar w:fldCharType="end"/>
      </w:r>
      <w:r>
        <w:rPr>
          <w:rFonts w:eastAsiaTheme="minorEastAsia" w:hint="eastAsia"/>
          <w:lang w:eastAsia="zh-CN"/>
        </w:rPr>
        <w:t xml:space="preserve"> </w:t>
      </w:r>
    </w:p>
    <w:p w14:paraId="2CDA9ED0" w14:textId="77777777" w:rsidR="003B79BC" w:rsidRDefault="00000000">
      <w:pPr>
        <w:spacing w:line="360" w:lineRule="auto"/>
        <w:ind w:firstLine="709"/>
        <w:jc w:val="both"/>
        <w:rPr>
          <w:lang w:val="en-US"/>
        </w:rPr>
      </w:pPr>
      <w:r w:rsidRPr="00374F09">
        <w:rPr>
          <w:lang w:val="pt-BR" w:eastAsia="zh-CN"/>
        </w:rPr>
        <w:t xml:space="preserve">L-bupivacaine </w:t>
      </w:r>
      <w:r>
        <w:rPr>
          <w:lang w:val="id-ID" w:eastAsia="zh-CN"/>
        </w:rPr>
        <w:t xml:space="preserve">dinyatakan </w:t>
      </w:r>
      <w:r w:rsidRPr="00374F09">
        <w:rPr>
          <w:lang w:val="pt-BR" w:eastAsia="zh-CN"/>
        </w:rPr>
        <w:t xml:space="preserve">lebih kuat dalam memblokir informasi sensorik berbahaya daripada bupivacaine. </w:t>
      </w:r>
      <w:r>
        <w:rPr>
          <w:lang w:val="id-ID" w:eastAsia="zh-CN"/>
        </w:rPr>
        <w:t>S</w:t>
      </w:r>
      <w:r w:rsidRPr="00374F09">
        <w:rPr>
          <w:lang w:val="pt-BR" w:eastAsia="zh-CN"/>
        </w:rPr>
        <w:t xml:space="preserve">erat </w:t>
      </w:r>
      <w:r>
        <w:rPr>
          <w:rFonts w:eastAsia="GandhariUnicode-Roman"/>
          <w:lang w:val="en-US"/>
        </w:rPr>
        <w:t>δ</w:t>
      </w:r>
      <w:r w:rsidRPr="00374F09">
        <w:rPr>
          <w:lang w:val="pt-BR" w:eastAsia="zh-CN"/>
        </w:rPr>
        <w:t xml:space="preserve"> C yang tidak bermyelin dan A yang bermyelin tipis</w:t>
      </w:r>
      <w:r>
        <w:rPr>
          <w:lang w:val="id-ID" w:eastAsia="zh-CN"/>
        </w:rPr>
        <w:t xml:space="preserve"> </w:t>
      </w:r>
      <w:r w:rsidRPr="00374F09">
        <w:rPr>
          <w:lang w:val="pt-BR" w:eastAsia="zh-CN"/>
        </w:rPr>
        <w:t>membawa informasi berbahaya dari pinggiran ke tingkat pusat, sedangkan A</w:t>
      </w:r>
      <w:r>
        <w:rPr>
          <w:rFonts w:eastAsia="GandhariUnicode-Roman"/>
          <w:lang w:val="en-US"/>
        </w:rPr>
        <w:t>β</w:t>
      </w:r>
      <w:r w:rsidRPr="00374F09">
        <w:rPr>
          <w:rFonts w:eastAsia="GandhariUnicode-Roman"/>
          <w:lang w:val="pt-BR" w:eastAsia="zh-CN"/>
        </w:rPr>
        <w:t xml:space="preserve"> </w:t>
      </w:r>
      <w:r w:rsidRPr="00374F09">
        <w:rPr>
          <w:lang w:val="pt-BR" w:eastAsia="zh-CN"/>
        </w:rPr>
        <w:t>serat terutama mengirimkan informasi taktil.</w:t>
      </w:r>
      <w:r>
        <w:rPr>
          <w:lang w:val="id-ID" w:eastAsia="zh-CN"/>
        </w:rPr>
        <w:t xml:space="preserve"> M</w:t>
      </w:r>
      <w:r w:rsidRPr="00374F09">
        <w:rPr>
          <w:lang w:val="id-ID" w:eastAsia="zh-CN"/>
        </w:rPr>
        <w:t xml:space="preserve">eskipun potensial aksi yang dihasilkan oleh ketiga jenis serat diblokir oleh ketiga anestesi lokal yang diuji, nilai konsentrasi penghambatan setengah maksimum </w:t>
      </w:r>
      <w:r>
        <w:rPr>
          <w:lang w:val="id-ID" w:eastAsia="zh-CN"/>
        </w:rPr>
        <w:t>levobupivacaine</w:t>
      </w:r>
      <w:r w:rsidRPr="00374F09">
        <w:rPr>
          <w:lang w:val="id-ID" w:eastAsia="zh-CN"/>
        </w:rPr>
        <w:t xml:space="preserve"> rendah untuk A</w:t>
      </w:r>
      <w:r>
        <w:rPr>
          <w:rFonts w:eastAsia="GandhariUnicode-Roman"/>
          <w:lang w:val="en-US"/>
        </w:rPr>
        <w:t>δ</w:t>
      </w:r>
      <w:r w:rsidRPr="00374F09">
        <w:rPr>
          <w:rFonts w:eastAsia="GandhariUnicode-Roman"/>
          <w:lang w:val="id-ID" w:eastAsia="zh-CN"/>
        </w:rPr>
        <w:t xml:space="preserve"> </w:t>
      </w:r>
      <w:r w:rsidRPr="00374F09">
        <w:rPr>
          <w:lang w:val="id-ID" w:eastAsia="zh-CN"/>
        </w:rPr>
        <w:t xml:space="preserve">dan potensi aksi yang ditimbulkan oleh serat C, menunjukkan penghambatan preferensi impuls pada neuron nosiseptif oleh anestesi lokal. Blokade diferensial dari berbagai jenis saluran natrium oleh anestesi lokal mungkin mendasari perbedaan tersebut. </w:t>
      </w:r>
      <w:r>
        <w:rPr>
          <w:lang w:val="id-ID" w:eastAsia="zh-CN"/>
        </w:rPr>
        <w:t>B</w:t>
      </w:r>
      <w:r w:rsidRPr="00374F09">
        <w:rPr>
          <w:lang w:val="id-ID" w:eastAsia="zh-CN"/>
        </w:rPr>
        <w:t xml:space="preserve">eberapa anestesi lokal dapat memblokir saluran natrium yang resisten terhadap tetrodotoksin. </w:t>
      </w:r>
      <w:proofErr w:type="spellStart"/>
      <w:r>
        <w:rPr>
          <w:lang w:val="en-US" w:eastAsia="zh-CN"/>
        </w:rPr>
        <w:t>Distribusi</w:t>
      </w:r>
      <w:proofErr w:type="spellEnd"/>
      <w:r>
        <w:rPr>
          <w:lang w:val="en-US" w:eastAsia="zh-CN"/>
        </w:rPr>
        <w:t xml:space="preserve"> </w:t>
      </w:r>
      <w:proofErr w:type="spellStart"/>
      <w:r>
        <w:rPr>
          <w:lang w:val="en-US" w:eastAsia="zh-CN"/>
        </w:rPr>
        <w:t>kanal</w:t>
      </w:r>
      <w:proofErr w:type="spellEnd"/>
      <w:r>
        <w:rPr>
          <w:lang w:val="en-US" w:eastAsia="zh-CN"/>
        </w:rPr>
        <w:t xml:space="preserve"> natrium yang </w:t>
      </w:r>
      <w:proofErr w:type="spellStart"/>
      <w:r>
        <w:rPr>
          <w:lang w:val="en-US" w:eastAsia="zh-CN"/>
        </w:rPr>
        <w:t>resisten</w:t>
      </w:r>
      <w:proofErr w:type="spellEnd"/>
      <w:r>
        <w:rPr>
          <w:lang w:val="en-US" w:eastAsia="zh-CN"/>
        </w:rPr>
        <w:t xml:space="preserve"> terhadap </w:t>
      </w:r>
      <w:proofErr w:type="spellStart"/>
      <w:r>
        <w:rPr>
          <w:lang w:val="en-US" w:eastAsia="zh-CN"/>
        </w:rPr>
        <w:t>tetrodotoksin</w:t>
      </w:r>
      <w:proofErr w:type="spellEnd"/>
      <w:r>
        <w:rPr>
          <w:lang w:val="en-US" w:eastAsia="zh-CN"/>
        </w:rPr>
        <w:t xml:space="preserve"> dan </w:t>
      </w:r>
      <w:proofErr w:type="spellStart"/>
      <w:r>
        <w:rPr>
          <w:lang w:val="en-US" w:eastAsia="zh-CN"/>
        </w:rPr>
        <w:t>sensitif</w:t>
      </w:r>
      <w:proofErr w:type="spellEnd"/>
      <w:r>
        <w:rPr>
          <w:lang w:val="en-US" w:eastAsia="zh-CN"/>
        </w:rPr>
        <w:t xml:space="preserve"> terhadap </w:t>
      </w:r>
      <w:proofErr w:type="spellStart"/>
      <w:r>
        <w:rPr>
          <w:lang w:val="en-US" w:eastAsia="zh-CN"/>
        </w:rPr>
        <w:t>tetrodotoksin</w:t>
      </w:r>
      <w:proofErr w:type="spellEnd"/>
      <w:r>
        <w:rPr>
          <w:lang w:val="en-US" w:eastAsia="zh-CN"/>
        </w:rPr>
        <w:t xml:space="preserve"> di </w:t>
      </w:r>
      <w:proofErr w:type="spellStart"/>
      <w:r>
        <w:rPr>
          <w:lang w:val="en-US" w:eastAsia="zh-CN"/>
        </w:rPr>
        <w:t>saraf</w:t>
      </w:r>
      <w:proofErr w:type="spellEnd"/>
      <w:r>
        <w:rPr>
          <w:lang w:val="en-US" w:eastAsia="zh-CN"/>
        </w:rPr>
        <w:t xml:space="preserve"> </w:t>
      </w:r>
      <w:proofErr w:type="spellStart"/>
      <w:r>
        <w:rPr>
          <w:lang w:val="en-US" w:eastAsia="zh-CN"/>
        </w:rPr>
        <w:t>tepi</w:t>
      </w:r>
      <w:proofErr w:type="spellEnd"/>
      <w:r>
        <w:rPr>
          <w:lang w:val="en-US" w:eastAsia="zh-CN"/>
        </w:rPr>
        <w:t xml:space="preserve"> sangat berbeda.</w:t>
      </w:r>
      <w:r>
        <w:rPr>
          <w:lang w:val="en-US"/>
        </w:rPr>
        <w:fldChar w:fldCharType="begin" w:fldLock="1"/>
      </w:r>
      <w:r>
        <w:rPr>
          <w:lang w:val="en-US" w:eastAsia="zh-CN"/>
        </w:rPr>
        <w:instrText>ADDIN CSL_CITATION {"citationItems":[{"id":"ITEM-1","itemData":{"DOI":"10.1097/ALN.0000000000003596","ISBN":"0000000000","ISSN":"15281175","PMID":"33166389","abstract":"Background: Although the widely used single L-enantiomers of local anesthetics have less toxic effects on the cardiovascular and central nervous systems, the mechanisms mediating their antinociceptive actions are not well understood. The authors hypothesized that significant differences in the ion channel blocking abilities of the enantiomers of bupivacaine would be identified. M</w:instrText>
      </w:r>
      <w:r>
        <w:rPr>
          <w:lang w:val="en-US"/>
        </w:rPr>
        <w:instrText>ethods: The authors performed electrophysiologic analysis on rat dorsal root ganglion neurons in vitro and on spinal transmissions in vivo. Results: In the dorsal root ganglion, these anesthetics decreased the amplitudes of action potentials. The half-maximum inhibitory concentrations of D-enantiomer D-bupivacaine were almost equal for Aβ (29.5 μM), Aδ (29.7μM), and C (29.8 μM) neurons. However, the half-maximum inhibitory concentrations of L-bupivacaine was lower for Aδ (19.35 μM) and C (19.5 μM) neurons than for A β (79.4 μM) neurons. Moreover, D-bupivacaine almost equally inhibited tetrodotoxin-resistant (mean ± SD: 15.8 ± 10.9% of the control, n = 14, P &lt; 0.001) and tetrodotoxin-sensitive (15.4 ± 15.6% of the control, n = 11, P = 0.004) sodium currents. In contrast, L-bupivacaine suppressed tetrodotoxin-resistant sodium currents (26.1 ± 19.5% of the control, n = 18, P &lt; 0.001) but not tetrodotoxin-sensitive sodium currents (74.5 ± 18.2% of the control, n = 11, P = 0.477). In the spinal dorsal horn, L-bupivacaine decreased the area of pinch-evoked excitatory postsynaptic currents (39.4 ± 11.3% of the control, n = 7, P &lt; 0.001) but not touch-evoked responses (84.2 ± 14.5% of the control, n = 6, P = 0.826). In contrast, D-bupivacaine equally decreased pinch- and touch-evoked responses (38.8 ± 9.5% of the control, n = 6, P = 0.001, 42.9 ± 11.8% of the control, n = 6, P = 0.013, respectively). Conclusions: These results suggest that the L-enantiomer of bupivacaine (L-bupivacaine) effectively inhibits noxious transmission to the spinal dorsal horn by blocking action potential conduction through C and Aδ afferent fibers.","author":[{"dropping-particle":"","family":"Uta","given":"Daisuke","non-dropping-particle":"","parse-names":false,"suffix":""},{"dropping-particle":"","family":"Koga","given":"Kohei","non-dropping-particle":"","parse-names":false,"suffix":""},{"dropping-particle":"","family":"Furue","given":"Hidemasa","non-dropping-particle":"","parse-names":false,"suffix":""},{"dropping-particle":"","family":"Imoto","given":"Keiji","non-dropping-particle":"","parse-names":false,"suffix":""},{"dropping-particle":"","family":"Yoshimura","given":"Megumu","non-dropping-particle":"","parse-names":false,"suffix":""}],"container-title":"Anesthesiology","id":"ITEM-1","issue":"1","issued":{"date-parts":[["2021"]]},"page":"88-102","title":"L-bupivacaine Inhibition of Nociceptive Transmission in Rat Peripheral and Dorsal Horn Neurons","type":"article-journal","volume":"134"},"uris":["http://www.mendeley.com/documents/?uuid=111d6fda-20e2-40ca-a42e-ce52bc8be588"]}],"mendeley":{"formattedCitation":"&lt;sup&gt;57&lt;/sup&gt;","plainTextFormattedCitation":"57","previouslyFormattedCitation":"&lt;sup&gt;57&lt;/sup&gt;"},"properties":{"noteIndex":0},"schema":"https://github.com/citation-style-language/schema/raw/master/csl-citation.json"}</w:instrText>
      </w:r>
      <w:r>
        <w:rPr>
          <w:lang w:val="en-US"/>
        </w:rPr>
        <w:fldChar w:fldCharType="separate"/>
      </w:r>
      <w:r>
        <w:rPr>
          <w:noProof/>
          <w:vertAlign w:val="superscript"/>
          <w:lang w:val="en-US"/>
        </w:rPr>
        <w:t>57</w:t>
      </w:r>
      <w:r>
        <w:rPr>
          <w:lang w:val="en-US"/>
        </w:rPr>
        <w:fldChar w:fldCharType="end"/>
      </w:r>
      <w:r>
        <w:rPr>
          <w:lang w:val="en-US"/>
        </w:rPr>
        <w:t xml:space="preserve"> </w:t>
      </w:r>
    </w:p>
    <w:p w14:paraId="5A0B597E" w14:textId="77777777" w:rsidR="003B79BC" w:rsidRDefault="00000000">
      <w:pPr>
        <w:jc w:val="center"/>
        <w:rPr>
          <w:lang w:val="en-US"/>
        </w:rPr>
      </w:pPr>
      <w:r>
        <w:rPr>
          <w:noProof/>
          <w:lang w:val="en-US"/>
        </w:rPr>
        <w:drawing>
          <wp:inline distT="0" distB="0" distL="0" distR="0" wp14:anchorId="1A371EA5" wp14:editId="4F9F66D3">
            <wp:extent cx="1809750" cy="2423795"/>
            <wp:effectExtent l="0" t="0" r="0" b="0"/>
            <wp:docPr id="987653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653154"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r="49738"/>
                    <a:stretch>
                      <a:fillRect/>
                    </a:stretch>
                  </pic:blipFill>
                  <pic:spPr>
                    <a:xfrm>
                      <a:off x="0" y="0"/>
                      <a:ext cx="1812292" cy="2427200"/>
                    </a:xfrm>
                    <a:prstGeom prst="rect">
                      <a:avLst/>
                    </a:prstGeom>
                    <a:noFill/>
                    <a:ln>
                      <a:noFill/>
                    </a:ln>
                  </pic:spPr>
                </pic:pic>
              </a:graphicData>
            </a:graphic>
          </wp:inline>
        </w:drawing>
      </w:r>
    </w:p>
    <w:p w14:paraId="00751F01" w14:textId="35E9C455" w:rsidR="003B79BC" w:rsidRDefault="00000000">
      <w:pPr>
        <w:pStyle w:val="Caption"/>
        <w:spacing w:after="0"/>
        <w:rPr>
          <w:i w:val="0"/>
          <w:iCs w:val="0"/>
          <w:sz w:val="24"/>
          <w:szCs w:val="24"/>
          <w:lang w:val="en-US"/>
        </w:rPr>
      </w:pPr>
      <w:r>
        <w:rPr>
          <w:i w:val="0"/>
          <w:iCs w:val="0"/>
          <w:color w:val="000000" w:themeColor="text1"/>
          <w:sz w:val="24"/>
          <w:szCs w:val="24"/>
        </w:rPr>
        <w:t xml:space="preserve">Gambar </w:t>
      </w:r>
      <w:r>
        <w:rPr>
          <w:i w:val="0"/>
          <w:iCs w:val="0"/>
          <w:color w:val="000000" w:themeColor="text1"/>
          <w:sz w:val="24"/>
          <w:szCs w:val="24"/>
        </w:rPr>
        <w:fldChar w:fldCharType="begin"/>
      </w:r>
      <w:r>
        <w:rPr>
          <w:i w:val="0"/>
          <w:iCs w:val="0"/>
          <w:color w:val="000000" w:themeColor="text1"/>
          <w:sz w:val="24"/>
          <w:szCs w:val="24"/>
        </w:rPr>
        <w:instrText xml:space="preserve"> SEQ Gambar \* ARABIC </w:instrText>
      </w:r>
      <w:r>
        <w:rPr>
          <w:i w:val="0"/>
          <w:iCs w:val="0"/>
          <w:color w:val="000000" w:themeColor="text1"/>
          <w:sz w:val="24"/>
          <w:szCs w:val="24"/>
        </w:rPr>
        <w:fldChar w:fldCharType="separate"/>
      </w:r>
      <w:r w:rsidR="00D671E3">
        <w:rPr>
          <w:i w:val="0"/>
          <w:iCs w:val="0"/>
          <w:noProof/>
          <w:color w:val="000000" w:themeColor="text1"/>
          <w:sz w:val="24"/>
          <w:szCs w:val="24"/>
        </w:rPr>
        <w:t>7</w:t>
      </w:r>
      <w:r>
        <w:rPr>
          <w:i w:val="0"/>
          <w:iCs w:val="0"/>
          <w:color w:val="000000" w:themeColor="text1"/>
          <w:sz w:val="24"/>
          <w:szCs w:val="24"/>
        </w:rPr>
        <w:fldChar w:fldCharType="end"/>
      </w:r>
      <w:r>
        <w:rPr>
          <w:i w:val="0"/>
          <w:iCs w:val="0"/>
          <w:color w:val="000000" w:themeColor="text1"/>
          <w:sz w:val="24"/>
          <w:szCs w:val="24"/>
          <w:lang w:val="id-ID"/>
        </w:rPr>
        <w:t>. Diagram skematik mekanisme penghambatan transmisi nosiseptif di tanduk dorsal tulang belakang oleh levobupivacaine</w:t>
      </w:r>
    </w:p>
    <w:p w14:paraId="28330FE1" w14:textId="77777777" w:rsidR="003B79BC" w:rsidRDefault="00000000">
      <w:pPr>
        <w:tabs>
          <w:tab w:val="left" w:pos="1134"/>
        </w:tabs>
        <w:ind w:left="1134" w:hanging="1134"/>
        <w:jc w:val="both"/>
        <w:rPr>
          <w:sz w:val="20"/>
          <w:szCs w:val="20"/>
          <w:lang w:val="id-ID" w:eastAsia="zh-CN"/>
        </w:rPr>
      </w:pPr>
      <w:r>
        <w:rPr>
          <w:sz w:val="20"/>
          <w:szCs w:val="20"/>
          <w:lang w:val="id-ID"/>
        </w:rPr>
        <w:t xml:space="preserve">Dikutip dari: </w:t>
      </w:r>
      <w:r>
        <w:rPr>
          <w:sz w:val="20"/>
          <w:szCs w:val="20"/>
          <w:lang w:val="id-ID"/>
        </w:rPr>
        <w:tab/>
      </w:r>
      <w:r>
        <w:rPr>
          <w:sz w:val="20"/>
          <w:szCs w:val="20"/>
        </w:rPr>
        <w:t xml:space="preserve">Uta D, Koga K, Furue H, Imoto K, Yoshimura M. L-bupivacaine Inhibition of Nociceptive Transmission in Rat Peripheral and Dorsal Horn Neurons. </w:t>
      </w:r>
      <w:r>
        <w:rPr>
          <w:sz w:val="20"/>
          <w:szCs w:val="20"/>
          <w:lang w:eastAsia="zh-CN"/>
        </w:rPr>
        <w:t>Anesthesiology. 2021;134(1):88–102.</w:t>
      </w:r>
    </w:p>
    <w:p w14:paraId="49F4EC27" w14:textId="77777777" w:rsidR="003B79BC" w:rsidRDefault="003B79BC">
      <w:pPr>
        <w:autoSpaceDE w:val="0"/>
        <w:autoSpaceDN w:val="0"/>
        <w:adjustRightInd w:val="0"/>
        <w:rPr>
          <w:lang w:val="en-US" w:eastAsia="zh-CN"/>
        </w:rPr>
      </w:pPr>
    </w:p>
    <w:p w14:paraId="54146919" w14:textId="77777777" w:rsidR="003B79BC" w:rsidRDefault="003B79BC">
      <w:pPr>
        <w:autoSpaceDE w:val="0"/>
        <w:autoSpaceDN w:val="0"/>
        <w:adjustRightInd w:val="0"/>
        <w:rPr>
          <w:lang w:val="en-US" w:eastAsia="zh-CN"/>
        </w:rPr>
      </w:pPr>
    </w:p>
    <w:p w14:paraId="2E10CCD5" w14:textId="77777777" w:rsidR="003B79BC" w:rsidRDefault="00000000">
      <w:pPr>
        <w:spacing w:line="360" w:lineRule="auto"/>
        <w:ind w:firstLine="709"/>
        <w:jc w:val="both"/>
        <w:rPr>
          <w:rFonts w:eastAsiaTheme="minorEastAsia"/>
          <w:lang w:eastAsia="zh-CN"/>
        </w:rPr>
      </w:pPr>
      <w:proofErr w:type="spellStart"/>
      <w:r>
        <w:rPr>
          <w:lang w:val="en-US" w:eastAsia="zh-CN"/>
        </w:rPr>
        <w:lastRenderedPageBreak/>
        <w:t>Dilaporkan</w:t>
      </w:r>
      <w:proofErr w:type="spellEnd"/>
      <w:r>
        <w:rPr>
          <w:lang w:val="en-US" w:eastAsia="zh-CN"/>
        </w:rPr>
        <w:t xml:space="preserve"> </w:t>
      </w:r>
      <w:proofErr w:type="spellStart"/>
      <w:r>
        <w:rPr>
          <w:lang w:val="en-US" w:eastAsia="zh-CN"/>
        </w:rPr>
        <w:t>bahwa</w:t>
      </w:r>
      <w:proofErr w:type="spellEnd"/>
      <w:r>
        <w:rPr>
          <w:lang w:val="en-US" w:eastAsia="zh-CN"/>
        </w:rPr>
        <w:t xml:space="preserve"> </w:t>
      </w:r>
      <w:proofErr w:type="spellStart"/>
      <w:r>
        <w:rPr>
          <w:lang w:val="en-US" w:eastAsia="zh-CN"/>
        </w:rPr>
        <w:t>saluran</w:t>
      </w:r>
      <w:proofErr w:type="spellEnd"/>
      <w:r>
        <w:rPr>
          <w:lang w:val="en-US" w:eastAsia="zh-CN"/>
        </w:rPr>
        <w:t xml:space="preserve"> natrium yang </w:t>
      </w:r>
      <w:proofErr w:type="spellStart"/>
      <w:r>
        <w:rPr>
          <w:lang w:val="en-US" w:eastAsia="zh-CN"/>
        </w:rPr>
        <w:t>resisten</w:t>
      </w:r>
      <w:proofErr w:type="spellEnd"/>
      <w:r>
        <w:rPr>
          <w:lang w:val="en-US" w:eastAsia="zh-CN"/>
        </w:rPr>
        <w:t xml:space="preserve"> terhadap </w:t>
      </w:r>
      <w:proofErr w:type="spellStart"/>
      <w:r>
        <w:rPr>
          <w:lang w:val="en-US" w:eastAsia="zh-CN"/>
        </w:rPr>
        <w:t>tetrodotoksin</w:t>
      </w:r>
      <w:proofErr w:type="spellEnd"/>
      <w:r>
        <w:rPr>
          <w:lang w:val="en-US" w:eastAsia="zh-CN"/>
        </w:rPr>
        <w:t xml:space="preserve"> </w:t>
      </w:r>
      <w:proofErr w:type="spellStart"/>
      <w:r>
        <w:rPr>
          <w:lang w:val="en-US" w:eastAsia="zh-CN"/>
        </w:rPr>
        <w:t>lebih</w:t>
      </w:r>
      <w:proofErr w:type="spellEnd"/>
      <w:r>
        <w:rPr>
          <w:lang w:val="en-US" w:eastAsia="zh-CN"/>
        </w:rPr>
        <w:t xml:space="preserve"> </w:t>
      </w:r>
      <w:proofErr w:type="spellStart"/>
      <w:r>
        <w:rPr>
          <w:lang w:val="en-US" w:eastAsia="zh-CN"/>
        </w:rPr>
        <w:t>disukai</w:t>
      </w:r>
      <w:proofErr w:type="spellEnd"/>
      <w:r>
        <w:rPr>
          <w:lang w:val="en-US" w:eastAsia="zh-CN"/>
        </w:rPr>
        <w:t xml:space="preserve"> </w:t>
      </w:r>
      <w:proofErr w:type="spellStart"/>
      <w:r>
        <w:rPr>
          <w:lang w:val="en-US" w:eastAsia="zh-CN"/>
        </w:rPr>
        <w:t>diekspresikan</w:t>
      </w:r>
      <w:proofErr w:type="spellEnd"/>
      <w:r>
        <w:rPr>
          <w:lang w:val="en-US" w:eastAsia="zh-CN"/>
        </w:rPr>
        <w:t xml:space="preserve"> dalam neuron ganglion </w:t>
      </w:r>
      <w:proofErr w:type="spellStart"/>
      <w:r>
        <w:rPr>
          <w:lang w:val="en-US" w:eastAsia="zh-CN"/>
        </w:rPr>
        <w:t>akar</w:t>
      </w:r>
      <w:proofErr w:type="spellEnd"/>
      <w:r>
        <w:rPr>
          <w:lang w:val="en-US" w:eastAsia="zh-CN"/>
        </w:rPr>
        <w:t xml:space="preserve"> dorsal </w:t>
      </w:r>
      <w:proofErr w:type="spellStart"/>
      <w:r>
        <w:rPr>
          <w:lang w:val="en-US" w:eastAsia="zh-CN"/>
        </w:rPr>
        <w:t>berdiameter</w:t>
      </w:r>
      <w:proofErr w:type="spellEnd"/>
      <w:r>
        <w:rPr>
          <w:lang w:val="en-US" w:eastAsia="zh-CN"/>
        </w:rPr>
        <w:t xml:space="preserve"> </w:t>
      </w:r>
      <w:proofErr w:type="spellStart"/>
      <w:r>
        <w:rPr>
          <w:lang w:val="en-US" w:eastAsia="zh-CN"/>
        </w:rPr>
        <w:t>kecil</w:t>
      </w:r>
      <w:proofErr w:type="spellEnd"/>
      <w:r>
        <w:rPr>
          <w:lang w:val="en-US" w:eastAsia="zh-CN"/>
        </w:rPr>
        <w:t xml:space="preserve"> dan </w:t>
      </w:r>
      <w:proofErr w:type="spellStart"/>
      <w:r>
        <w:rPr>
          <w:lang w:val="en-US" w:eastAsia="zh-CN"/>
        </w:rPr>
        <w:t>berkontribusi</w:t>
      </w:r>
      <w:proofErr w:type="spellEnd"/>
      <w:r>
        <w:rPr>
          <w:lang w:val="en-US" w:eastAsia="zh-CN"/>
        </w:rPr>
        <w:t xml:space="preserve"> pada </w:t>
      </w:r>
      <w:proofErr w:type="spellStart"/>
      <w:r>
        <w:rPr>
          <w:lang w:val="en-US" w:eastAsia="zh-CN"/>
        </w:rPr>
        <w:t>pembentukan</w:t>
      </w:r>
      <w:proofErr w:type="spellEnd"/>
      <w:r>
        <w:rPr>
          <w:lang w:val="en-US" w:eastAsia="zh-CN"/>
        </w:rPr>
        <w:t xml:space="preserve"> </w:t>
      </w:r>
      <w:proofErr w:type="spellStart"/>
      <w:r>
        <w:rPr>
          <w:lang w:val="en-US" w:eastAsia="zh-CN"/>
        </w:rPr>
        <w:t>potensial</w:t>
      </w:r>
      <w:proofErr w:type="spellEnd"/>
      <w:r>
        <w:rPr>
          <w:lang w:val="en-US" w:eastAsia="zh-CN"/>
        </w:rPr>
        <w:t xml:space="preserve"> </w:t>
      </w:r>
      <w:proofErr w:type="spellStart"/>
      <w:r>
        <w:rPr>
          <w:lang w:val="en-US" w:eastAsia="zh-CN"/>
        </w:rPr>
        <w:t>aksi</w:t>
      </w:r>
      <w:proofErr w:type="spellEnd"/>
      <w:r>
        <w:rPr>
          <w:lang w:val="en-US" w:eastAsia="zh-CN"/>
        </w:rPr>
        <w:t xml:space="preserve"> di dalam badan </w:t>
      </w:r>
      <w:proofErr w:type="spellStart"/>
      <w:r>
        <w:rPr>
          <w:lang w:val="en-US" w:eastAsia="zh-CN"/>
        </w:rPr>
        <w:t>sel</w:t>
      </w:r>
      <w:proofErr w:type="spellEnd"/>
      <w:r>
        <w:rPr>
          <w:lang w:val="en-US" w:eastAsia="zh-CN"/>
        </w:rPr>
        <w:t xml:space="preserve"> dan </w:t>
      </w:r>
      <w:proofErr w:type="spellStart"/>
      <w:r>
        <w:rPr>
          <w:lang w:val="en-US" w:eastAsia="zh-CN"/>
        </w:rPr>
        <w:t>akson</w:t>
      </w:r>
      <w:proofErr w:type="spellEnd"/>
      <w:r>
        <w:rPr>
          <w:lang w:val="en-US" w:eastAsia="zh-CN"/>
        </w:rPr>
        <w:t xml:space="preserve"> </w:t>
      </w:r>
      <w:proofErr w:type="spellStart"/>
      <w:r>
        <w:rPr>
          <w:lang w:val="en-US" w:eastAsia="zh-CN"/>
        </w:rPr>
        <w:t>dari</w:t>
      </w:r>
      <w:proofErr w:type="spellEnd"/>
      <w:r>
        <w:rPr>
          <w:lang w:eastAsia="zh-CN"/>
        </w:rPr>
        <w:t xml:space="preserve"> </w:t>
      </w:r>
      <w:r>
        <w:rPr>
          <w:color w:val="000000"/>
          <w:lang w:val="en-US" w:eastAsia="zh-CN"/>
        </w:rPr>
        <w:t xml:space="preserve">neuron ini, yang </w:t>
      </w:r>
      <w:proofErr w:type="spellStart"/>
      <w:r>
        <w:rPr>
          <w:color w:val="000000"/>
          <w:lang w:val="en-US" w:eastAsia="zh-CN"/>
        </w:rPr>
        <w:t>terutama</w:t>
      </w:r>
      <w:proofErr w:type="spellEnd"/>
      <w:r>
        <w:rPr>
          <w:color w:val="000000"/>
          <w:lang w:val="en-US" w:eastAsia="zh-CN"/>
        </w:rPr>
        <w:t xml:space="preserve"> </w:t>
      </w:r>
      <w:proofErr w:type="spellStart"/>
      <w:r>
        <w:rPr>
          <w:color w:val="000000"/>
          <w:lang w:val="en-US" w:eastAsia="zh-CN"/>
        </w:rPr>
        <w:t>bersifat</w:t>
      </w:r>
      <w:proofErr w:type="spellEnd"/>
      <w:r>
        <w:rPr>
          <w:color w:val="000000"/>
          <w:lang w:val="en-US" w:eastAsia="zh-CN"/>
        </w:rPr>
        <w:t xml:space="preserve"> </w:t>
      </w:r>
      <w:proofErr w:type="spellStart"/>
      <w:r>
        <w:rPr>
          <w:color w:val="000000"/>
          <w:lang w:val="en-US" w:eastAsia="zh-CN"/>
        </w:rPr>
        <w:t>nosiseptif</w:t>
      </w:r>
      <w:proofErr w:type="spellEnd"/>
      <w:r>
        <w:rPr>
          <w:color w:val="000000"/>
          <w:lang w:val="en-US" w:eastAsia="zh-CN"/>
        </w:rPr>
        <w:t>.</w:t>
      </w:r>
      <w:r>
        <w:rPr>
          <w:color w:val="000000"/>
          <w:lang w:val="id-ID" w:eastAsia="zh-CN"/>
        </w:rPr>
        <w:t xml:space="preserve"> </w:t>
      </w:r>
      <w:r w:rsidRPr="00374F09">
        <w:rPr>
          <w:color w:val="000000"/>
          <w:lang w:val="id-ID"/>
        </w:rPr>
        <w:t>Oleh karena itu</w:t>
      </w:r>
      <w:r>
        <w:rPr>
          <w:color w:val="000000"/>
          <w:lang w:val="id-ID"/>
        </w:rPr>
        <w:t>,</w:t>
      </w:r>
      <w:r w:rsidRPr="00374F09">
        <w:rPr>
          <w:color w:val="000000"/>
          <w:lang w:val="id-ID"/>
        </w:rPr>
        <w:t xml:space="preserve"> blokade preferensial selektif dari potensial aksi di A</w:t>
      </w:r>
      <w:r>
        <w:rPr>
          <w:rFonts w:eastAsia="GandhariUnicode-Roman"/>
          <w:color w:val="000000"/>
          <w:lang w:val="en-US"/>
        </w:rPr>
        <w:t>δ</w:t>
      </w:r>
      <w:r w:rsidRPr="00374F09">
        <w:rPr>
          <w:rFonts w:eastAsia="GandhariUnicode-Roman"/>
          <w:color w:val="000000"/>
          <w:lang w:val="id-ID"/>
        </w:rPr>
        <w:t xml:space="preserve"> </w:t>
      </w:r>
      <w:r w:rsidRPr="00374F09">
        <w:rPr>
          <w:color w:val="000000"/>
          <w:lang w:val="id-ID"/>
        </w:rPr>
        <w:t xml:space="preserve">dan neuron C oleh L-enansiomer </w:t>
      </w:r>
      <w:r>
        <w:rPr>
          <w:lang w:val="id-ID"/>
        </w:rPr>
        <w:t>levobupivacaine</w:t>
      </w:r>
      <w:r w:rsidRPr="00374F09">
        <w:rPr>
          <w:color w:val="000000"/>
          <w:lang w:val="id-ID"/>
        </w:rPr>
        <w:t xml:space="preserve"> </w:t>
      </w:r>
      <w:r>
        <w:rPr>
          <w:color w:val="000000"/>
          <w:lang w:val="id-ID"/>
        </w:rPr>
        <w:t>berhubungan</w:t>
      </w:r>
      <w:r w:rsidRPr="00374F09">
        <w:rPr>
          <w:color w:val="000000"/>
          <w:lang w:val="id-ID"/>
        </w:rPr>
        <w:t xml:space="preserve"> dengan efek stereo-selektif dari anestesi lokal pada saluran natrium yang diekspresikan dalam serat </w:t>
      </w:r>
      <w:r>
        <w:rPr>
          <w:color w:val="000000"/>
          <w:lang w:val="id-ID"/>
        </w:rPr>
        <w:t>tersebut</w:t>
      </w:r>
      <w:r w:rsidRPr="00374F09">
        <w:rPr>
          <w:color w:val="000000"/>
          <w:lang w:val="id-ID"/>
        </w:rPr>
        <w:t>. Lipofilisitas anestesi lokal telah dilaporkan menjadi faktor penentu lain untuk sifat pemblokiran diferensial dari anestesi lokal.</w:t>
      </w:r>
      <w:r>
        <w:rPr>
          <w:color w:val="000000"/>
          <w:lang w:val="id-ID"/>
        </w:rPr>
        <w:t xml:space="preserve"> </w:t>
      </w:r>
      <w:r w:rsidRPr="00374F09">
        <w:rPr>
          <w:color w:val="000000"/>
          <w:lang w:val="id-ID"/>
        </w:rPr>
        <w:t xml:space="preserve">Namun, faktor </w:t>
      </w:r>
      <w:r>
        <w:rPr>
          <w:color w:val="000000"/>
          <w:lang w:val="id-ID"/>
        </w:rPr>
        <w:t>tersebut</w:t>
      </w:r>
      <w:r w:rsidRPr="00374F09">
        <w:rPr>
          <w:color w:val="000000"/>
          <w:lang w:val="id-ID"/>
        </w:rPr>
        <w:t xml:space="preserve"> terutama mempengaruhi farmakokinetik molekul obat daripada jenis saluran natrium yang akan diblokir. Dengan demikian, potensi pemblokiran anestesi lokal pada saluran natrium yang resisten tetrodotoksin di neuron ganglion akar dorsal dilaporkan tidak bergantung pada lipofilisitasnya.</w:t>
      </w:r>
      <w:r w:rsidRPr="00374F09">
        <w:rPr>
          <w:lang w:val="id-ID"/>
        </w:rPr>
        <w:t xml:space="preserve"> </w:t>
      </w:r>
      <w:r>
        <w:rPr>
          <w:lang w:val="id-ID"/>
        </w:rPr>
        <w:t>Levobupivacaine</w:t>
      </w:r>
      <w:r w:rsidRPr="00374F09">
        <w:rPr>
          <w:lang w:val="id-ID"/>
        </w:rPr>
        <w:t xml:space="preserve"> memblokir potensial aksi pada A</w:t>
      </w:r>
      <w:r>
        <w:rPr>
          <w:rFonts w:eastAsia="GandhariUnicode-Roman"/>
          <w:lang w:val="en-US"/>
        </w:rPr>
        <w:t>δ</w:t>
      </w:r>
      <w:r>
        <w:rPr>
          <w:lang w:val="id-ID"/>
        </w:rPr>
        <w:t xml:space="preserve"> </w:t>
      </w:r>
      <w:r w:rsidRPr="00374F09">
        <w:rPr>
          <w:lang w:val="id-ID"/>
        </w:rPr>
        <w:t>dan neuron C, yang terutama bersifat nosiseptif (</w:t>
      </w:r>
      <w:r>
        <w:rPr>
          <w:lang w:val="id-ID"/>
        </w:rPr>
        <w:t>Gambar 7</w:t>
      </w:r>
      <w:r w:rsidRPr="00374F09">
        <w:rPr>
          <w:lang w:val="id-ID"/>
        </w:rPr>
        <w:t xml:space="preserve">). Efek spesifik serat nosiseptif dari </w:t>
      </w:r>
      <w:r>
        <w:rPr>
          <w:lang w:val="id-ID"/>
        </w:rPr>
        <w:t>levobupivacaine</w:t>
      </w:r>
      <w:r w:rsidRPr="00374F09">
        <w:rPr>
          <w:lang w:val="id-ID"/>
        </w:rPr>
        <w:t xml:space="preserve">, selain kardiotoksisitas dan neurotoksisitasnya yang rendah, menjadikannya senyawa yang diinginkan untuk anestesi regional. </w:t>
      </w:r>
      <w:r>
        <w:rPr>
          <w:lang w:val="id-ID"/>
        </w:rPr>
        <w:t>Hal ini</w:t>
      </w:r>
      <w:r w:rsidRPr="00374F09">
        <w:rPr>
          <w:lang w:val="id-ID"/>
        </w:rPr>
        <w:t xml:space="preserve"> mendukung penggunaan L-bupivakain intraoperatif untuk manajemen nyeri pascabedah karena efek selektifnya pada A nosiseptif</w:t>
      </w:r>
      <w:r>
        <w:rPr>
          <w:lang w:val="id-ID"/>
        </w:rPr>
        <w:t xml:space="preserve"> </w:t>
      </w:r>
      <w:r>
        <w:rPr>
          <w:rFonts w:eastAsia="GandhariUnicode-Roman"/>
          <w:lang w:val="en-US"/>
        </w:rPr>
        <w:t>δ</w:t>
      </w:r>
      <w:r w:rsidRPr="00374F09">
        <w:rPr>
          <w:rFonts w:eastAsia="GandhariUnicode-Roman"/>
          <w:lang w:val="id-ID"/>
        </w:rPr>
        <w:t xml:space="preserve"> </w:t>
      </w:r>
      <w:r w:rsidRPr="00374F09">
        <w:rPr>
          <w:lang w:val="id-ID"/>
        </w:rPr>
        <w:t>dan neuron C.</w:t>
      </w:r>
      <w:r>
        <w:rPr>
          <w:lang w:val="en-US"/>
        </w:rPr>
        <w:fldChar w:fldCharType="begin" w:fldLock="1"/>
      </w:r>
      <w:r w:rsidRPr="00374F09">
        <w:rPr>
          <w:lang w:val="id-ID"/>
        </w:rPr>
        <w:instrText>ADDIN CSL_CITATION {"citationItems":[{"id":"ITEM-1","itemData":{"DOI":"10.1097/ALN.0000000000003596","ISBN":"0000000000","ISSN":"15281175","PMID":"33166389","abstract":"Background: Although the widely used single L-enantiomers of local anesthetics have less toxic effects on the cardiovascular and central nervous systems, the mechanisms mediating their antinociceptive actions are not well understood. The authors hypothesized that significant differences in the ion channel blocking abilities of the enantiomers of bupivacaine would be identified. Methods: The authors performed electrophysiologic analysis on rat dorsal root ganglion neurons in vitro and on spinal transmissions in vivo. Results: In the dorsal root ganglion, these anesthetics decreased the amplitudes of action potentials. The half-maximum inhibitory concentrations of D-enantiomer D-bupivacaine were almost equal for A</w:instrText>
      </w:r>
      <w:r>
        <w:rPr>
          <w:lang w:val="en-US"/>
        </w:rPr>
        <w:instrText>β</w:instrText>
      </w:r>
      <w:r w:rsidRPr="00374F09">
        <w:rPr>
          <w:lang w:val="id-ID"/>
        </w:rPr>
        <w:instrText xml:space="preserve"> (29.5 </w:instrText>
      </w:r>
      <w:r>
        <w:rPr>
          <w:lang w:val="en-US"/>
        </w:rPr>
        <w:instrText>μ</w:instrText>
      </w:r>
      <w:r w:rsidRPr="00374F09">
        <w:rPr>
          <w:lang w:val="id-ID"/>
        </w:rPr>
        <w:instrText>M), A</w:instrText>
      </w:r>
      <w:r>
        <w:rPr>
          <w:lang w:val="en-US"/>
        </w:rPr>
        <w:instrText>δ</w:instrText>
      </w:r>
      <w:r w:rsidRPr="00374F09">
        <w:rPr>
          <w:lang w:val="id-ID"/>
        </w:rPr>
        <w:instrText xml:space="preserve"> (29.7</w:instrText>
      </w:r>
      <w:r>
        <w:rPr>
          <w:lang w:val="en-US"/>
        </w:rPr>
        <w:instrText>μ</w:instrText>
      </w:r>
      <w:r w:rsidRPr="00374F09">
        <w:rPr>
          <w:lang w:val="id-ID"/>
        </w:rPr>
        <w:instrText xml:space="preserve">M), and C (29.8 </w:instrText>
      </w:r>
      <w:r>
        <w:rPr>
          <w:lang w:val="en-US"/>
        </w:rPr>
        <w:instrText>μ</w:instrText>
      </w:r>
      <w:r w:rsidRPr="00374F09">
        <w:rPr>
          <w:lang w:val="id-ID"/>
        </w:rPr>
        <w:instrText>M) neurons. However, the half-maximum inhibitory concentrations of L-bupivacaine was lower for A</w:instrText>
      </w:r>
      <w:r>
        <w:rPr>
          <w:lang w:val="en-US"/>
        </w:rPr>
        <w:instrText>δ</w:instrText>
      </w:r>
      <w:r w:rsidRPr="00374F09">
        <w:rPr>
          <w:lang w:val="id-ID"/>
        </w:rPr>
        <w:instrText xml:space="preserve"> (19.35 </w:instrText>
      </w:r>
      <w:r>
        <w:rPr>
          <w:lang w:val="en-US"/>
        </w:rPr>
        <w:instrText>μ</w:instrText>
      </w:r>
      <w:r w:rsidRPr="00374F09">
        <w:rPr>
          <w:lang w:val="id-ID"/>
        </w:rPr>
        <w:instrText xml:space="preserve">M) and C (19.5 </w:instrText>
      </w:r>
      <w:r>
        <w:rPr>
          <w:lang w:val="en-US"/>
        </w:rPr>
        <w:instrText>μ</w:instrText>
      </w:r>
      <w:r w:rsidRPr="00374F09">
        <w:rPr>
          <w:lang w:val="id-ID"/>
        </w:rPr>
        <w:instrText xml:space="preserve">M) neurons than for A </w:instrText>
      </w:r>
      <w:r>
        <w:rPr>
          <w:lang w:val="en-US"/>
        </w:rPr>
        <w:instrText>β</w:instrText>
      </w:r>
      <w:r w:rsidRPr="00374F09">
        <w:rPr>
          <w:lang w:val="id-ID"/>
        </w:rPr>
        <w:instrText xml:space="preserve"> (79.4 </w:instrText>
      </w:r>
      <w:r>
        <w:rPr>
          <w:lang w:val="en-US"/>
        </w:rPr>
        <w:instrText>μ</w:instrText>
      </w:r>
      <w:r w:rsidRPr="00374F09">
        <w:rPr>
          <w:lang w:val="id-ID"/>
        </w:rPr>
        <w:instrText>M) neurons. Moreover, D-bupivacaine almost equally inhibited tetrodotoxin-resistant (mean ± SD: 15.8 ± 10.9% of the control, n = 14, P &lt; 0.001) and tetrodotoxin-sensitive (15.4 ± 15.6% of the control, n = 11, P = 0.004) sodium currents. In contrast, L-bupivacaine suppressed tetrodotoxin-resistant sodium currents (26.1 ± 19.5% of the control, n = 18, P &lt; 0.001) but not tetrodotoxin-sensitive sodium currents (74.5 ± 18.2% of the control, n = 11, P = 0.477). In the spinal dorsal horn, L-bupivacaine decreased the area of pi</w:instrText>
      </w:r>
      <w:r>
        <w:rPr>
          <w:lang w:val="en-US"/>
        </w:rPr>
        <w:instrText>nch-evoked excitatory postsynaptic currents (39.4 ± 11.3% of the control, n = 7, P &lt; 0.001) but not touch-evoked responses (84.2 ± 14.5% of the control, n = 6, P = 0.826). In contrast, D-bupivacaine equally decreased pinch- and touch-evoked responses (38.8 ± 9.5% of the control, n = 6, P = 0.001, 42.9 ± 11.8% of the control, n = 6, P = 0.013, respectively). Conclusions: These results suggest that the L-enantiomer of bupivacaine (L-bupivacaine) effectively inhibits noxious transmission to the spinal dorsal horn by blocking action potential conduction through C and Aδ afferent fibers.","author":[{"dropping-particle":"","family":"Uta","given":"Daisuke","non-dropping-particle":"","parse-names":false,"suffix":""},{"dropping-particle":"","family":"Koga","given":"Kohei","non-dropping-particle":"","parse-names":false,"suffix":""},{"dropping-particle":"","family":"Furue","given":"Hidemasa","non-dropping-particle":"","parse-names":false,"suffix":""},{"dropping-particle":"","family":"Imoto","given":"Keiji","non-dropping-particle":"","parse-names":false,"suffix":""},{"dropping-particle":"","family":"Yoshimura","given":"Megumu","non-dropping-particle":"","parse-names":false,"suffix":""}],"container-title":"Anesthesiology","id":"ITEM-1","issue":"1","issued":{"date-parts":[["2021"]]},"page":"88-102","title":"L-bupivacaine Inhibition of Nociceptive Transmission in Rat Peripheral and Dorsal Horn Neurons","type":"article-journal","volume":"134"},"uris":["http://www.mendeley.com/documents/?uuid=111d6fda-20e2-40ca-a42e-ce52bc8be588"]}],"mendeley":{"formattedCitation":"&lt;sup&gt;57&lt;/sup&gt;","plainTextFormattedCitation":"57","previouslyFormattedCitation":"&lt;sup&gt;57&lt;/sup&gt;"},"properties":{"noteIndex":0},"schema":"https://github.com/citation-style-language/schema/raw/master/csl-citation.json"}</w:instrText>
      </w:r>
      <w:r>
        <w:rPr>
          <w:lang w:val="en-US"/>
        </w:rPr>
        <w:fldChar w:fldCharType="separate"/>
      </w:r>
      <w:r>
        <w:rPr>
          <w:noProof/>
          <w:vertAlign w:val="superscript"/>
          <w:lang w:val="en-US"/>
        </w:rPr>
        <w:t>57</w:t>
      </w:r>
      <w:r>
        <w:rPr>
          <w:lang w:val="en-US"/>
        </w:rPr>
        <w:fldChar w:fldCharType="end"/>
      </w:r>
    </w:p>
    <w:p w14:paraId="558EDEAB" w14:textId="77777777" w:rsidR="003B79BC" w:rsidRDefault="00000000">
      <w:pPr>
        <w:spacing w:line="360" w:lineRule="auto"/>
        <w:ind w:firstLine="709"/>
        <w:jc w:val="both"/>
        <w:rPr>
          <w:lang w:val="en-US"/>
        </w:rPr>
      </w:pPr>
      <w:r>
        <w:rPr>
          <w:lang w:val="id-ID" w:eastAsia="zh-CN"/>
        </w:rPr>
        <w:t>Pada Gambar</w:t>
      </w:r>
      <w:r>
        <w:rPr>
          <w:lang w:val="en-US" w:eastAsia="zh-CN"/>
        </w:rPr>
        <w:t xml:space="preserve"> </w:t>
      </w:r>
      <w:r>
        <w:rPr>
          <w:lang w:val="id-ID" w:eastAsia="zh-CN"/>
        </w:rPr>
        <w:t xml:space="preserve">7, </w:t>
      </w:r>
      <w:proofErr w:type="spellStart"/>
      <w:r>
        <w:rPr>
          <w:lang w:val="en-US" w:eastAsia="zh-CN"/>
        </w:rPr>
        <w:t>penghambatan</w:t>
      </w:r>
      <w:proofErr w:type="spellEnd"/>
      <w:r>
        <w:rPr>
          <w:lang w:val="en-US" w:eastAsia="zh-CN"/>
        </w:rPr>
        <w:t xml:space="preserve"> </w:t>
      </w:r>
      <w:proofErr w:type="spellStart"/>
      <w:r>
        <w:rPr>
          <w:lang w:val="en-US" w:eastAsia="zh-CN"/>
        </w:rPr>
        <w:t>setengah</w:t>
      </w:r>
      <w:proofErr w:type="spellEnd"/>
      <w:r>
        <w:rPr>
          <w:lang w:val="en-US" w:eastAsia="zh-CN"/>
        </w:rPr>
        <w:t xml:space="preserve"> </w:t>
      </w:r>
      <w:proofErr w:type="spellStart"/>
      <w:r>
        <w:rPr>
          <w:lang w:val="en-US" w:eastAsia="zh-CN"/>
        </w:rPr>
        <w:t>maksimum</w:t>
      </w:r>
      <w:proofErr w:type="spellEnd"/>
      <w:r>
        <w:rPr>
          <w:lang w:val="id-ID" w:eastAsia="zh-CN"/>
        </w:rPr>
        <w:t xml:space="preserve"> </w:t>
      </w:r>
      <w:proofErr w:type="spellStart"/>
      <w:r>
        <w:rPr>
          <w:lang w:val="en-US" w:eastAsia="zh-CN"/>
        </w:rPr>
        <w:t>konsentrasi</w:t>
      </w:r>
      <w:proofErr w:type="spellEnd"/>
      <w:r>
        <w:rPr>
          <w:lang w:val="en-US" w:eastAsia="zh-CN"/>
        </w:rPr>
        <w:t xml:space="preserve"> </w:t>
      </w:r>
      <w:r>
        <w:rPr>
          <w:lang w:val="id-ID" w:eastAsia="zh-CN"/>
        </w:rPr>
        <w:t>levo</w:t>
      </w:r>
      <w:r>
        <w:rPr>
          <w:lang w:val="en-US" w:eastAsia="zh-CN"/>
        </w:rPr>
        <w:t xml:space="preserve">bupivacaine </w:t>
      </w:r>
      <w:proofErr w:type="spellStart"/>
      <w:r>
        <w:rPr>
          <w:lang w:val="en-US" w:eastAsia="zh-CN"/>
        </w:rPr>
        <w:t>lebih</w:t>
      </w:r>
      <w:proofErr w:type="spellEnd"/>
      <w:r>
        <w:rPr>
          <w:lang w:val="en-US" w:eastAsia="zh-CN"/>
        </w:rPr>
        <w:t xml:space="preserve"> </w:t>
      </w:r>
      <w:proofErr w:type="spellStart"/>
      <w:r>
        <w:rPr>
          <w:lang w:val="en-US" w:eastAsia="zh-CN"/>
        </w:rPr>
        <w:t>rendah</w:t>
      </w:r>
      <w:proofErr w:type="spellEnd"/>
      <w:r>
        <w:rPr>
          <w:lang w:val="en-US" w:eastAsia="zh-CN"/>
        </w:rPr>
        <w:t xml:space="preserve"> untuk </w:t>
      </w:r>
      <w:proofErr w:type="spellStart"/>
      <w:r>
        <w:rPr>
          <w:lang w:val="en-US" w:eastAsia="zh-CN"/>
        </w:rPr>
        <w:t>A</w:t>
      </w:r>
      <w:r>
        <w:rPr>
          <w:rFonts w:eastAsia="GandhariUnicode-Roman"/>
          <w:lang w:val="en-US"/>
        </w:rPr>
        <w:t>δ</w:t>
      </w:r>
      <w:proofErr w:type="spellEnd"/>
      <w:r>
        <w:rPr>
          <w:rFonts w:eastAsia="GandhariUnicode-Roman"/>
          <w:lang w:val="en-US" w:eastAsia="zh-CN"/>
        </w:rPr>
        <w:t xml:space="preserve"> </w:t>
      </w:r>
      <w:r>
        <w:rPr>
          <w:lang w:val="en-US" w:eastAsia="zh-CN"/>
        </w:rPr>
        <w:t xml:space="preserve">dan C neuron ganglion </w:t>
      </w:r>
      <w:proofErr w:type="spellStart"/>
      <w:r>
        <w:rPr>
          <w:lang w:val="en-US" w:eastAsia="zh-CN"/>
        </w:rPr>
        <w:t>akar</w:t>
      </w:r>
      <w:proofErr w:type="spellEnd"/>
      <w:r>
        <w:rPr>
          <w:lang w:val="en-US" w:eastAsia="zh-CN"/>
        </w:rPr>
        <w:t xml:space="preserve"> dorsal </w:t>
      </w:r>
      <w:proofErr w:type="spellStart"/>
      <w:r>
        <w:rPr>
          <w:lang w:val="en-US" w:eastAsia="zh-CN"/>
        </w:rPr>
        <w:t>daripada</w:t>
      </w:r>
      <w:proofErr w:type="spellEnd"/>
      <w:r>
        <w:rPr>
          <w:lang w:val="en-US" w:eastAsia="zh-CN"/>
        </w:rPr>
        <w:t xml:space="preserve"> A</w:t>
      </w:r>
      <w:r>
        <w:rPr>
          <w:rFonts w:eastAsia="GandhariUnicode-Roman"/>
          <w:lang w:val="en-US"/>
        </w:rPr>
        <w:t>β</w:t>
      </w:r>
      <w:r>
        <w:rPr>
          <w:rFonts w:eastAsia="GandhariUnicode-Roman"/>
          <w:lang w:val="en-US" w:eastAsia="zh-CN"/>
        </w:rPr>
        <w:t xml:space="preserve"> </w:t>
      </w:r>
      <w:r>
        <w:rPr>
          <w:lang w:val="en-US" w:eastAsia="zh-CN"/>
        </w:rPr>
        <w:t xml:space="preserve">neuron. </w:t>
      </w:r>
      <w:r>
        <w:rPr>
          <w:lang w:val="en-US"/>
        </w:rPr>
        <w:t xml:space="preserve">Oleh </w:t>
      </w:r>
      <w:proofErr w:type="spellStart"/>
      <w:r>
        <w:rPr>
          <w:lang w:val="en-US"/>
        </w:rPr>
        <w:t>karena</w:t>
      </w:r>
      <w:proofErr w:type="spellEnd"/>
      <w:r>
        <w:rPr>
          <w:lang w:val="en-US"/>
        </w:rPr>
        <w:t xml:space="preserve"> itu, </w:t>
      </w:r>
      <w:r>
        <w:rPr>
          <w:lang w:val="id-ID"/>
        </w:rPr>
        <w:t>levo</w:t>
      </w:r>
      <w:proofErr w:type="spellStart"/>
      <w:r>
        <w:rPr>
          <w:lang w:val="en-US"/>
        </w:rPr>
        <w:t>bupivakain</w:t>
      </w:r>
      <w:proofErr w:type="spellEnd"/>
      <w:r>
        <w:rPr>
          <w:lang w:val="en-US"/>
        </w:rPr>
        <w:t xml:space="preserve"> </w:t>
      </w:r>
      <w:proofErr w:type="spellStart"/>
      <w:r>
        <w:rPr>
          <w:lang w:val="en-US"/>
        </w:rPr>
        <w:t>adalah</w:t>
      </w:r>
      <w:proofErr w:type="spellEnd"/>
      <w:r>
        <w:rPr>
          <w:lang w:val="id-ID"/>
        </w:rPr>
        <w:t xml:space="preserve"> </w:t>
      </w:r>
      <w:proofErr w:type="spellStart"/>
      <w:r>
        <w:rPr>
          <w:lang w:val="en-US"/>
        </w:rPr>
        <w:t>mampu</w:t>
      </w:r>
      <w:proofErr w:type="spellEnd"/>
      <w:r>
        <w:rPr>
          <w:lang w:val="en-US"/>
        </w:rPr>
        <w:t xml:space="preserve"> </w:t>
      </w:r>
      <w:proofErr w:type="spellStart"/>
      <w:r>
        <w:rPr>
          <w:lang w:val="en-US"/>
        </w:rPr>
        <w:t>secara</w:t>
      </w:r>
      <w:proofErr w:type="spellEnd"/>
      <w:r>
        <w:rPr>
          <w:lang w:val="en-US"/>
        </w:rPr>
        <w:t xml:space="preserve"> </w:t>
      </w:r>
      <w:proofErr w:type="spellStart"/>
      <w:r>
        <w:rPr>
          <w:lang w:val="en-US"/>
        </w:rPr>
        <w:t>selektif</w:t>
      </w:r>
      <w:proofErr w:type="spellEnd"/>
      <w:r>
        <w:rPr>
          <w:lang w:val="en-US"/>
        </w:rPr>
        <w:t xml:space="preserve"> </w:t>
      </w:r>
      <w:proofErr w:type="spellStart"/>
      <w:r>
        <w:rPr>
          <w:lang w:val="en-US"/>
        </w:rPr>
        <w:t>menghambat</w:t>
      </w:r>
      <w:proofErr w:type="spellEnd"/>
      <w:r>
        <w:rPr>
          <w:lang w:val="en-US"/>
        </w:rPr>
        <w:t xml:space="preserve"> </w:t>
      </w:r>
      <w:proofErr w:type="spellStart"/>
      <w:r>
        <w:rPr>
          <w:lang w:val="en-US"/>
        </w:rPr>
        <w:t>respons</w:t>
      </w:r>
      <w:proofErr w:type="spellEnd"/>
      <w:r>
        <w:rPr>
          <w:lang w:val="en-US"/>
        </w:rPr>
        <w:t xml:space="preserve"> </w:t>
      </w:r>
      <w:proofErr w:type="spellStart"/>
      <w:r>
        <w:rPr>
          <w:lang w:val="en-US"/>
        </w:rPr>
        <w:t>berbahaya</w:t>
      </w:r>
      <w:proofErr w:type="spellEnd"/>
      <w:r>
        <w:rPr>
          <w:lang w:val="en-US"/>
        </w:rPr>
        <w:t xml:space="preserve"> di </w:t>
      </w:r>
      <w:proofErr w:type="spellStart"/>
      <w:r>
        <w:rPr>
          <w:lang w:val="en-US"/>
        </w:rPr>
        <w:t>tanduk</w:t>
      </w:r>
      <w:proofErr w:type="spellEnd"/>
      <w:r>
        <w:rPr>
          <w:lang w:val="en-US"/>
        </w:rPr>
        <w:t xml:space="preserve"> dorsal </w:t>
      </w:r>
      <w:proofErr w:type="spellStart"/>
      <w:r>
        <w:rPr>
          <w:lang w:val="en-US"/>
        </w:rPr>
        <w:t>tulang</w:t>
      </w:r>
      <w:proofErr w:type="spellEnd"/>
      <w:r>
        <w:rPr>
          <w:lang w:val="en-US"/>
        </w:rPr>
        <w:t xml:space="preserve"> </w:t>
      </w:r>
      <w:proofErr w:type="spellStart"/>
      <w:r>
        <w:rPr>
          <w:lang w:val="en-US"/>
        </w:rPr>
        <w:t>belakang</w:t>
      </w:r>
      <w:proofErr w:type="spellEnd"/>
      <w:r>
        <w:rPr>
          <w:lang w:val="en-US"/>
        </w:rPr>
        <w:t xml:space="preserve"> yang </w:t>
      </w:r>
      <w:proofErr w:type="spellStart"/>
      <w:r>
        <w:rPr>
          <w:lang w:val="en-US"/>
        </w:rPr>
        <w:t>dimediasi</w:t>
      </w:r>
      <w:proofErr w:type="spellEnd"/>
      <w:r>
        <w:rPr>
          <w:lang w:val="en-US"/>
        </w:rPr>
        <w:t xml:space="preserve"> oleh </w:t>
      </w:r>
      <w:proofErr w:type="spellStart"/>
      <w:r>
        <w:rPr>
          <w:lang w:val="en-US"/>
        </w:rPr>
        <w:t>A</w:t>
      </w:r>
      <w:r>
        <w:rPr>
          <w:rFonts w:eastAsia="GandhariUnicode-Roman"/>
          <w:lang w:val="en-US"/>
        </w:rPr>
        <w:t>δ</w:t>
      </w:r>
      <w:proofErr w:type="spellEnd"/>
      <w:r>
        <w:rPr>
          <w:rFonts w:eastAsia="GandhariUnicode-Roman"/>
          <w:lang w:val="en-US"/>
        </w:rPr>
        <w:t xml:space="preserve"> </w:t>
      </w:r>
      <w:r>
        <w:rPr>
          <w:lang w:val="en-US"/>
        </w:rPr>
        <w:t xml:space="preserve">dan C </w:t>
      </w:r>
      <w:proofErr w:type="spellStart"/>
      <w:r>
        <w:rPr>
          <w:lang w:val="en-US"/>
        </w:rPr>
        <w:t>serabut</w:t>
      </w:r>
      <w:proofErr w:type="spellEnd"/>
      <w:r>
        <w:rPr>
          <w:lang w:val="en-US"/>
        </w:rPr>
        <w:t xml:space="preserve"> aferen.</w:t>
      </w:r>
      <w:r>
        <w:rPr>
          <w:lang w:val="en-US"/>
        </w:rPr>
        <w:fldChar w:fldCharType="begin" w:fldLock="1"/>
      </w:r>
      <w:r>
        <w:rPr>
          <w:lang w:val="en-US"/>
        </w:rPr>
        <w:instrText>ADDIN CSL_CITATION {"citationItems":[{"id":"ITEM-1","itemData":{"DOI":"10.1097/ALN.0000000000003596","ISBN":"0000000000","ISSN":"15281175","PMID":"33166389","abstract":"Background: Although the widely used single L-enantiomers of local anesthetics have less toxic effects on the cardiovascular and central nervous systems, the mechanisms mediating their antinociceptive actions are not well understood. The authors hypothesized that significant differences in the ion channel blocking abilities of the enantiomers of bupivacaine would be identified. Methods: The authors performed electrophysiologic analysis on rat dorsal root ganglion neurons in vitro and on spinal transmissions in vivo. Results: In the dorsal root ganglion, these anesthetics decreased the amplitudes of action potentials. The half-maximum inhibitory concentrations of D-enantiomer D-bupivacaine were almost equal for Aβ (29.5 μM), Aδ (29.7μM), and C (29.8 μM) neurons. However, the half-maximum inhibitory concentrations of L-bupivacaine was lower for Aδ (19.35 μM) and C (19.5 μM) neurons than for A β (79.4 μM) neurons. Moreover, D-bupivacaine almost equally inhibited tetrodotoxin-resistant (mean ± SD: 15.8 ± 10.9% of the control, n = 14, P &lt; 0.001) and tetrodotoxin-sensitive (15.4 ± 15.6% of the control, n = 11, P = 0.004) sodium currents. In contrast, L-bupivacaine suppressed tetrodotoxin-resistant sodium currents (26.1 ± 19.5% of the control, n = 18, P &lt; 0.001) but not tetrodotoxin-sensitive sodium currents (74.5 ± 18.2% of the control, n = 11, P = 0.477). In the spinal dorsal horn, L-bupivacaine decreased the area of pinch-evoked excitatory postsynaptic currents (39.4 ± 11.3% of the control, n = 7, P &lt; 0.001) but not touch-evoked responses (84.2 ± 14.5% of the control, n = 6, P = 0.826). In contrast, D-bupivacaine equally decreased pinch- and touch-evoked responses (38.8 ± 9.5% of the control, n = 6, P = 0.001, 42.9 ± 11.8% of the control, n = 6, P = 0.013, respectively). Conclusions: These results suggest that the L-enantiomer of bupivacaine (L-bupivacaine) effectively inhibits noxious transmission to the spinal dorsal horn by blocking action potential conduction through C and Aδ afferent fibers.","author":[{"dropping-particle":"","family":"Uta","given":"Daisuke","non-dropping-particle":"","parse-names":false,"suffix":""},{"dropping-particle":"","family":"Koga","given":"Kohei","non-dropping-particle":"","parse-names":false,"suffix":""},{"dropping-particle":"","family":"Furue","given":"Hidemasa","non-dropping-particle":"","parse-names":false,"suffix":""},{"dropping-particle":"","family":"Imoto","given":"Keiji","non-dropping-particle":"","parse-names":false,"suffix":""},{"dropping-particle":"","family":"Yoshimura","given":"Megumu","non-dropping-particle":"","parse-names":false,"suffix":""}],"container-title":"Anesthesiology","id":"ITEM-1","issue":"1","issued":{"date-parts":[["2021"]]},"page":"88-102","title":"L-bupivacaine Inhibition of Nociceptive Transmission in Rat Peripheral and Dorsal Horn Neurons","type":"article-journal","volume":"134"},"uris":["http://www.mendeley.com/documents/?uuid=111d6fda-20e2-40ca-a42e-ce52bc8be588"]}],"mendeley":{"formattedCitation":"&lt;sup&gt;57&lt;/sup&gt;","plainTextFormattedCitation":"57","previouslyFormattedCitation":"&lt;sup&gt;57&lt;/sup&gt;"},"properties":{"noteIndex":0},"schema":"https://github.com/citation-style-language/schema/raw/master/csl-citation.json"}</w:instrText>
      </w:r>
      <w:r>
        <w:rPr>
          <w:lang w:val="en-US"/>
        </w:rPr>
        <w:fldChar w:fldCharType="separate"/>
      </w:r>
      <w:r>
        <w:rPr>
          <w:noProof/>
          <w:vertAlign w:val="superscript"/>
          <w:lang w:val="en-US"/>
        </w:rPr>
        <w:t>57</w:t>
      </w:r>
      <w:r>
        <w:rPr>
          <w:lang w:val="en-US"/>
        </w:rPr>
        <w:fldChar w:fldCharType="end"/>
      </w:r>
    </w:p>
    <w:p w14:paraId="65013769" w14:textId="77777777" w:rsidR="003B79BC" w:rsidRDefault="003B79BC">
      <w:pPr>
        <w:spacing w:line="360" w:lineRule="auto"/>
        <w:ind w:firstLine="709"/>
        <w:jc w:val="both"/>
        <w:rPr>
          <w:rStyle w:val="markedcontent"/>
          <w:lang w:val="en-US"/>
        </w:rPr>
      </w:pPr>
    </w:p>
    <w:p w14:paraId="7AB7A98F" w14:textId="77777777" w:rsidR="003B79BC" w:rsidRDefault="00000000">
      <w:pPr>
        <w:pStyle w:val="Heading3"/>
        <w:numPr>
          <w:ilvl w:val="0"/>
          <w:numId w:val="10"/>
        </w:numPr>
        <w:ind w:left="426" w:hanging="426"/>
        <w:rPr>
          <w:lang w:eastAsia="zh-CN"/>
        </w:rPr>
      </w:pPr>
      <w:bookmarkStart w:id="46" w:name="_Toc158290256"/>
      <w:bookmarkEnd w:id="45"/>
      <w:r>
        <w:rPr>
          <w:rFonts w:eastAsiaTheme="minorEastAsia"/>
          <w:lang w:val="id-ID" w:eastAsia="zh-CN"/>
        </w:rPr>
        <w:t xml:space="preserve">Farmakologi </w:t>
      </w:r>
      <w:r>
        <w:rPr>
          <w:lang w:val="id-ID"/>
        </w:rPr>
        <w:t>Levob</w:t>
      </w:r>
      <w:r>
        <w:t>upivacaine</w:t>
      </w:r>
      <w:bookmarkEnd w:id="46"/>
    </w:p>
    <w:p w14:paraId="72F0BACC" w14:textId="77777777" w:rsidR="003B79BC" w:rsidRDefault="00000000">
      <w:pPr>
        <w:spacing w:line="360" w:lineRule="auto"/>
        <w:ind w:firstLine="709"/>
        <w:jc w:val="both"/>
        <w:rPr>
          <w:rFonts w:eastAsiaTheme="minorEastAsia"/>
          <w:lang w:eastAsia="zh-CN"/>
        </w:rPr>
      </w:pPr>
      <w:r>
        <w:rPr>
          <w:rFonts w:eastAsiaTheme="minorEastAsia"/>
          <w:lang w:eastAsia="zh-CN"/>
        </w:rPr>
        <w:t xml:space="preserve">Dosis serta rute pemberian levobupivacaine menentukan konsentrasi plasma setelah pemberian terapeutik karena penyerapan tergantung pada vaskularisasi jaringan. Setelah pemberian levobupivakain epidural, absorpsi bersifat bifasik, dengan absorpsi cepat sejumlah kecil obat ke dalam sirkulasi dan absorpsi sisa obat lebih lambat. Telah diamati bahwa tingkat puncak levobupivacaine dalam darah mencapai sekitar 30 menit setelah pemberian epidural dan dosis hingga 150 mg </w:t>
      </w:r>
      <w:r>
        <w:rPr>
          <w:rFonts w:eastAsiaTheme="minorEastAsia"/>
          <w:lang w:eastAsia="zh-CN"/>
        </w:rPr>
        <w:lastRenderedPageBreak/>
        <w:t>menghasilkan tingkat Cmax rata-rata hingga 1,2 μg/mL. Penyerapan epidural dipengaruhi oleh usia karena fraksi yang diserap menurun dan fase penyerapan cepat lebih pendek pada pasien yang lebih tua (usia&gt; 70 tahun) dibandingkan dengan pasien yang lebih muda (usia 18-44 tahun). Pasien yang lebih tua juga memiliki penyebaran analgesia yang lebih tinggi sebanyak 3 dermatom. Oleh karena itu, pada pasien lanjut usia dianjurkan dosis levobupivacaine yang lebih rendah, sesuai dengan status fisik. Volume distribusi diperkirakan 66,91 ± 18,23 L (setelah pemberian intravena 40 mg pada sukarelawan sehat).</w:t>
      </w:r>
      <w:r>
        <w:rPr>
          <w:rFonts w:eastAsiaTheme="minorEastAsia"/>
          <w:lang w:eastAsia="zh-CN"/>
        </w:rPr>
        <w:fldChar w:fldCharType="begin" w:fldLock="1"/>
      </w:r>
      <w:r>
        <w:rPr>
          <w:rFonts w:eastAsiaTheme="minorEastAsia"/>
          <w:lang w:eastAsia="zh-CN"/>
        </w:rPr>
        <w:instrText>ADDIN CSL_CITATION {"citationItems":[{"id":"ITEM-1","itemData":{"DOI":"10.4103/0970-9185.119172","ISSN":"09709185","abstract":"The quest for searching newer and safer anesthetic agents has always been one of the primary needs in anesthesiology practice. Levobupivacaine, the pure S (-)-enantiomer of bupivacaine, has strongly emerged as a safer alternative for regional anesthesia than its racemic sibling, bupivacaine. Levobupivacaine has been found to be equally efficacious as bupivacaine, but with a superior pharmacokinetic profile. Clinically, levobupivacaine has been observed to be well-tolerated in regional anesthesia techniques both after bolus administration and continuous post-operative infusion. The incidence of adverse drug reactions (ADRs) is rare when it is administered correctly. Most ADRs are related to faulty administration technique (resulting in systemic exposure) or pharmacological effects of anesthesia; however, allergic reactions can also occur rarely. The available literary evidence in anesthesia practice indicates that levobupivacaine and bupivacaine produce comparable surgical sensory block, similar adverse side effects and provision of similar labor analgesia with good comparable maternal and fetal outcome. The present review aims to discuss the pharmacokinetic and pharmacological essentials of the safer profile of levobupivacaine as well as to discuss the scope and indications of levobupivacaine based on current clinical evidence.","author":[{"dropping-particle":"","family":"Bajwa","given":"Sukhminder Jit Singh","non-dropping-particle":"","parse-names":false,"suffix":""},{"dropping-particle":"","family":"Kaur","given":"Jasleen","non-dropping-particle":"","parse-names":false,"suffix":""}],"container-title":"Journal of Anaesthesiology Clinical Pharmacology","id":"ITEM-1","issue":"4","issued":{"date-parts":[["2013"]]},"page":"530-539","title":"Clinical profile of levobupivacaine in regional anesthesia: A systematic review","type":"article-journal","volume":"29"},"uris":["http://www.mendeley.com/documents/?uuid=d22b30e9-7b62-407c-af05-7f6af898d2ce"]}],"mendeley":{"formattedCitation":"&lt;sup&gt;54&lt;/sup&gt;","plainTextFormattedCitation":"54","previouslyFormattedCitation":"&lt;sup&gt;54&lt;/sup&gt;"},"properties":{"noteIndex":0},"schema":"https://github.com/citation-style-language/schema/raw/master/csl-citation.json"}</w:instrText>
      </w:r>
      <w:r>
        <w:rPr>
          <w:rFonts w:eastAsiaTheme="minorEastAsia"/>
          <w:lang w:eastAsia="zh-CN"/>
        </w:rPr>
        <w:fldChar w:fldCharType="separate"/>
      </w:r>
      <w:r>
        <w:rPr>
          <w:rFonts w:eastAsiaTheme="minorEastAsia"/>
          <w:noProof/>
          <w:vertAlign w:val="superscript"/>
          <w:lang w:eastAsia="zh-CN"/>
        </w:rPr>
        <w:t>54</w:t>
      </w:r>
      <w:r>
        <w:rPr>
          <w:rFonts w:eastAsiaTheme="minorEastAsia"/>
          <w:lang w:eastAsia="zh-CN"/>
        </w:rPr>
        <w:fldChar w:fldCharType="end"/>
      </w:r>
      <w:r>
        <w:rPr>
          <w:rFonts w:eastAsiaTheme="minorEastAsia"/>
          <w:lang w:eastAsia="zh-CN"/>
        </w:rPr>
        <w:t xml:space="preserve"> </w:t>
      </w:r>
    </w:p>
    <w:p w14:paraId="183B1B06" w14:textId="77777777" w:rsidR="003B79BC" w:rsidRDefault="00000000">
      <w:pPr>
        <w:spacing w:line="360" w:lineRule="auto"/>
        <w:ind w:firstLine="709"/>
        <w:jc w:val="both"/>
        <w:rPr>
          <w:rFonts w:eastAsiaTheme="minorEastAsia"/>
          <w:lang w:eastAsia="zh-CN"/>
        </w:rPr>
      </w:pPr>
      <w:r>
        <w:rPr>
          <w:rFonts w:eastAsiaTheme="minorEastAsia"/>
          <w:lang w:eastAsia="zh-CN"/>
        </w:rPr>
        <w:t>Levobupivacaine adalah anestesi lokal yang larut dalam lemak, sangat terikat protein dengan konstanta disosiasi (pKa) yang mirip dengan bupivacaine dan ropivacaine, tetapi lebih tinggi dari lidokain. Karakteristik farmakologis ini menentukan onset yang relatif lambat, potensi tinggi, dan durasi kerja yang lama. Mirip dengan anestesi lokal lainnya, penghambatan transmisi impuls di berbagai jaringan mengarah pada perkembangan reaksi yang merugikan.</w:t>
      </w:r>
      <w:r>
        <w:rPr>
          <w:rFonts w:eastAsiaTheme="minorEastAsia"/>
          <w:lang w:eastAsia="zh-CN"/>
        </w:rPr>
        <w:fldChar w:fldCharType="begin" w:fldLock="1"/>
      </w:r>
      <w:r>
        <w:rPr>
          <w:rFonts w:eastAsiaTheme="minorEastAsia"/>
          <w:lang w:eastAsia="zh-CN"/>
        </w:rPr>
        <w:instrText>ADDIN CSL_CITATION {"citationItems":[{"id":"ITEM-1","itemData":{"DOI":"10.4103/2455-3069.184114","ISSN":"2455-3069","abstract":"In the quest for safer and effective anesthesia and analgesia, local anesthetics such as levobupivacaine or ropivacaine have been introduced into the clinical practice. Several studies have been done to assess their efficacy and relative superiority to bupivacaine. The aim of this review is to provide the recent and comprehensive updates regarding the clinical and pharmacological utility of levobupivacaine. Using Google search for indexing databases, a search for articles published was performed using various combinations of the following search terms: (a) Pharmacology; (b) clinical; (c) profile; (d) levobupivacaine; (e) local anesthetic; (f) recent. Additional sources were also identified by exploring the primary reference list.","author":[{"dropping-particle":"","family":"Athar","given":"Manazir","non-dropping-particle":"","parse-names":false,"suffix":""},{"dropping-particle":"","family":"Ahmed","given":"SyedMoied","non-dropping-particle":"","parse-names":false,"suffix":""},{"dropping-particle":"","family":"Ali","given":"Shahna","non-dropping-particle":"","parse-names":false,"suffix":""},{"dropping-particle":"","family":"Siddiqi","given":"ObaidAhmad","non-dropping-particle":"","parse-names":false,"suffix":""}],"container-title":"Journal of Current Research in Scientific Medicine","id":"ITEM-1","issue":"1","issued":{"date-parts":[["2016"]]},"page":"3","title":"Levobupivacaine: A safer alternative","type":"article-journal","volume":"2"},"uris":["http://www.mendeley.com/documents/?uuid=86807b32-26d4-4c29-977d-056ed8e1d238"]}],"mendeley":{"formattedCitation":"&lt;sup&gt;55&lt;/sup&gt;","plainTextFormattedCitation":"55","previouslyFormattedCitation":"&lt;sup&gt;55&lt;/sup&gt;"},"properties":{"noteIndex":0},"schema":"https://github.com/citation-style-language/schema/raw/master/csl-citation.json"}</w:instrText>
      </w:r>
      <w:r>
        <w:rPr>
          <w:rFonts w:eastAsiaTheme="minorEastAsia"/>
          <w:lang w:eastAsia="zh-CN"/>
        </w:rPr>
        <w:fldChar w:fldCharType="separate"/>
      </w:r>
      <w:r>
        <w:rPr>
          <w:rFonts w:eastAsiaTheme="minorEastAsia"/>
          <w:noProof/>
          <w:vertAlign w:val="superscript"/>
          <w:lang w:eastAsia="zh-CN"/>
        </w:rPr>
        <w:t>55</w:t>
      </w:r>
      <w:r>
        <w:rPr>
          <w:rFonts w:eastAsiaTheme="minorEastAsia"/>
          <w:lang w:eastAsia="zh-CN"/>
        </w:rPr>
        <w:fldChar w:fldCharType="end"/>
      </w:r>
      <w:r>
        <w:rPr>
          <w:rFonts w:eastAsiaTheme="minorEastAsia"/>
          <w:lang w:val="id-ID" w:eastAsia="zh-CN"/>
        </w:rPr>
        <w:t xml:space="preserve"> </w:t>
      </w:r>
      <w:r>
        <w:rPr>
          <w:rFonts w:eastAsiaTheme="minorEastAsia"/>
          <w:lang w:eastAsia="zh-CN"/>
        </w:rPr>
        <w:t>Levobupivacaine memiliki konstanta disosiasi (pKa) 8,1, mirip dengan bupivacaine (8,1) dan ropivacaine (8,2), tetapi lebih tinggi dari lidokain (7,7). Untuk obat dengan pKa tinggi (pH di mana larutan berada dalam kesetimbangan setengah basa netral dan setengah keadaan terionisasi aktif), kondisi fisiologis mendukung keadaan terionisasi, yang lebih lambat diserap ke dalam aksoplasma daripada basa netral, menyebabkan lambatnya permulaan tindakan. Obat dengan kelarutan lemak tinggi lebih poten daripada obat dengan kelarutan lemak rendah, karena lebih mudah diserap melalui membran saraf, sedangkan obat dengan ikatan protein tinggi memiliki durasi efek yang lebih lama, karena tetap terikat pada membran saraf lebih lama daripada protein rendah. obat-obatan terikat. Levobupivacaine adalah obat bius lokal dengan potensi tinggi dan bekerja lama dengan onset kerja yang relatif lambat. Seperti anestesi lokal lainnya, levobupiva</w:t>
      </w:r>
      <w:r>
        <w:rPr>
          <w:rFonts w:eastAsiaTheme="minorEastAsia"/>
          <w:lang w:val="id-ID" w:eastAsia="zh-CN"/>
        </w:rPr>
        <w:t>c</w:t>
      </w:r>
      <w:r>
        <w:rPr>
          <w:rFonts w:eastAsiaTheme="minorEastAsia"/>
          <w:lang w:eastAsia="zh-CN"/>
        </w:rPr>
        <w:t>ain</w:t>
      </w:r>
      <w:r>
        <w:rPr>
          <w:rFonts w:eastAsiaTheme="minorEastAsia"/>
          <w:lang w:val="id-ID" w:eastAsia="zh-CN"/>
        </w:rPr>
        <w:t>e</w:t>
      </w:r>
      <w:r>
        <w:rPr>
          <w:rFonts w:eastAsiaTheme="minorEastAsia"/>
          <w:lang w:eastAsia="zh-CN"/>
        </w:rPr>
        <w:t xml:space="preserve"> menghambat transmisi impuls dan konduksi pada kardiovaskular dan jaringan lain, [1] efek yang penting untuk perkembangan reaksi merugikan.</w:t>
      </w:r>
      <w:r>
        <w:rPr>
          <w:rFonts w:eastAsiaTheme="minorEastAsia"/>
          <w:lang w:eastAsia="zh-CN"/>
        </w:rPr>
        <w:fldChar w:fldCharType="begin" w:fldLock="1"/>
      </w:r>
      <w:r>
        <w:rPr>
          <w:rFonts w:eastAsiaTheme="minorEastAsia"/>
          <w:lang w:eastAsia="zh-CN"/>
        </w:rPr>
        <w:instrText>ADDIN CSL_CITATION {"citationItems":[{"id":"ITEM-1","itemData":{"DOI":"10.2165/11203250-000000000-00000","ISSN":"00126667","PMID":"20394458","abstract":"Levobupivacaine (Chirocaine®) is a long-acting amide local anaesthetic that is effective when administered as an epidural, spinal, peripheral nerve or ocular block, or by topical application or local infiltration. In comparative trials, its clinical effects were not generally significantly different from those of bupivacaine or ropivacaine, although there was some variability in efficacy findings in different clinical populations. Levobupivacaine was generally well tolerated. Levobupivacaine provides effective anaesthesia and analgesia for a wide range of clinical populations and is a useful alternative to bupivacaine. © 2010 Adis Data Information BV.","author":[{"dropping-particle":"","family":"Sanford","given":"Mark","non-dropping-particle":"","parse-names":false,"suffix":""},{"dropping-particle":"","family":"Keating","given":"Gillian M.","non-dropping-particle":"","parse-names":false,"suffix":""}],"container-title":"Drugs","id":"ITEM-1","issue":"6","issued":{"date-parts":[["2010"]]},"page":"761-791","title":"Levobupivacaine: A review of its use in regional anaesthesia and pain management","type":"article-journal","volume":"70"},"uris":["http://www.mendeley.com/documents/?uuid=92ac7065-e06b-4427-a0bb-492624ac6202"]}],"mendeley":{"formattedCitation":"&lt;sup&gt;58&lt;/sup&gt;","plainTextFormattedCitation":"58","previouslyFormattedCitation":"&lt;sup&gt;58&lt;/sup&gt;"},"properties":{"noteIndex":0},"schema":"https://github.com/citation-style-language/schema/raw/master/csl-citation.json"}</w:instrText>
      </w:r>
      <w:r>
        <w:rPr>
          <w:rFonts w:eastAsiaTheme="minorEastAsia"/>
          <w:lang w:eastAsia="zh-CN"/>
        </w:rPr>
        <w:fldChar w:fldCharType="separate"/>
      </w:r>
      <w:r>
        <w:rPr>
          <w:rFonts w:eastAsiaTheme="minorEastAsia"/>
          <w:noProof/>
          <w:vertAlign w:val="superscript"/>
          <w:lang w:eastAsia="zh-CN"/>
        </w:rPr>
        <w:t>58</w:t>
      </w:r>
      <w:r>
        <w:rPr>
          <w:rFonts w:eastAsiaTheme="minorEastAsia"/>
          <w:lang w:eastAsia="zh-CN"/>
        </w:rPr>
        <w:fldChar w:fldCharType="end"/>
      </w:r>
    </w:p>
    <w:p w14:paraId="2E8872D9" w14:textId="77777777" w:rsidR="003B79BC" w:rsidRDefault="00000000">
      <w:pPr>
        <w:spacing w:line="360" w:lineRule="auto"/>
        <w:ind w:firstLine="709"/>
        <w:jc w:val="both"/>
        <w:rPr>
          <w:rFonts w:eastAsiaTheme="minorEastAsia"/>
          <w:lang w:eastAsia="zh-CN"/>
        </w:rPr>
      </w:pPr>
      <w:r>
        <w:rPr>
          <w:rFonts w:eastAsiaTheme="minorEastAsia"/>
          <w:lang w:eastAsia="zh-CN"/>
        </w:rPr>
        <w:t xml:space="preserve">Waktu paruh </w:t>
      </w:r>
      <w:r>
        <w:rPr>
          <w:rFonts w:eastAsiaTheme="minorEastAsia"/>
          <w:lang w:val="id-ID" w:eastAsia="zh-CN"/>
        </w:rPr>
        <w:t xml:space="preserve">levobupivacaine </w:t>
      </w:r>
      <w:r>
        <w:rPr>
          <w:rFonts w:eastAsiaTheme="minorEastAsia"/>
          <w:lang w:eastAsia="zh-CN"/>
        </w:rPr>
        <w:t>3,3 jam. Tingkat pembersihan 39,06 ± 13,29 L/jam.</w:t>
      </w:r>
      <w:r>
        <w:rPr>
          <w:rFonts w:eastAsiaTheme="minorEastAsia"/>
          <w:lang w:val="id-ID" w:eastAsia="zh-CN"/>
        </w:rPr>
        <w:t xml:space="preserve"> </w:t>
      </w:r>
      <w:r>
        <w:rPr>
          <w:rFonts w:eastAsiaTheme="minorEastAsia"/>
          <w:lang w:eastAsia="zh-CN"/>
        </w:rPr>
        <w:t xml:space="preserve">Alpha1-glikoprotein adalah tempat pengikatan utama untuk levobupivacaine. Pengikatan protein levobupivacaine lebih banyak (97%) </w:t>
      </w:r>
      <w:r>
        <w:rPr>
          <w:rFonts w:eastAsiaTheme="minorEastAsia"/>
          <w:lang w:eastAsia="zh-CN"/>
        </w:rPr>
        <w:lastRenderedPageBreak/>
        <w:t>dibandingkan bupivacaine rasemat (95%). Kurang dari 3% obat beredar bebas dalam plasma. Proporsi bebas dari obat dapat mempengaruhi jaringan lain, menyebabkan efek samping yang tidak diinginkan dan manifestasi toksik. Setelah pemberian intravena, pemulihan dosis levobupivacaine berlabel radio pada dasarnya bersifat kuantitatif dengan rata-rata total sekitar 95% ditemukan dalam urin dan feses dalam 48 jam. Dari 95% ini, sekitar 71% ada di urin sementara 24% ada di feses.</w:t>
      </w:r>
      <w:r>
        <w:rPr>
          <w:rFonts w:eastAsiaTheme="minorEastAsia"/>
          <w:lang w:eastAsia="zh-CN"/>
        </w:rPr>
        <w:fldChar w:fldCharType="begin" w:fldLock="1"/>
      </w:r>
      <w:r>
        <w:rPr>
          <w:rFonts w:eastAsiaTheme="minorEastAsia"/>
          <w:lang w:eastAsia="zh-CN"/>
        </w:rPr>
        <w:instrText>ADDIN CSL_CITATION {"citationItems":[{"id":"ITEM-1","itemData":{"DOI":"10.4103/0970-9185.119172","ISSN":"09709185","abstract":"The quest for searching newer and safer anesthetic agents has always been one of the primary needs in anesthesiology practice. Levobupivacaine, the pure S (-)-enantiomer of bupivacaine, has strongly emerged as a safer alternative for regional anesthesia than its racemic sibling, bupivacaine. Levobupivacaine has been found to be equally efficacious as bupivacaine, but with a superior pharmacokinetic profile. Clinically, levobupivacaine has been observed to be well-tolerated in regional anesthesia techniques both after bolus administration and continuous post-operative infusion. The incidence of adverse drug reactions (ADRs) is rare when it is administered correctly. Most ADRs are related to faulty administration technique (resulting in systemic exposure) or pharmacological effects of anesthesia; however, allergic reactions can also occur rarely. The available literary evidence in anesthesia practice indicates that levobupivacaine and bupivacaine produce comparable surgical sensory block, similar adverse side effects and provision of similar labor analgesia with good comparable maternal and fetal outcome. The present review aims to discuss the pharmacokinetic and pharmacological essentials of the safer profile of levobupivacaine as well as to discuss the scope and indications of levobupivacaine based on current clinical evidence.","author":[{"dropping-particle":"","family":"Bajwa","given":"Sukhminder Jit Singh","non-dropping-particle":"","parse-names":false,"suffix":""},{"dropping-particle":"","family":"Kaur","given":"Jasleen","non-dropping-particle":"","parse-names":false,"suffix":""}],"container-title":"Journal of Anaesthesiology Clinical Pharmacology","id":"ITEM-1","issue":"4","issued":{"date-parts":[["2013"]]},"page":"530-539","title":"Clinical profile of levobupivacaine in regional anesthesia: A systematic review","type":"article-journal","volume":"29"},"uris":["http://www.mendeley.com/documents/?uuid=d22b30e9-7b62-407c-af05-7f6af898d2ce"]}],"mendeley":{"formattedCitation":"&lt;sup&gt;54&lt;/sup&gt;","plainTextFormattedCitation":"54","previouslyFormattedCitation":"&lt;sup&gt;54&lt;/sup&gt;"},"properties":{"noteIndex":0},"schema":"https://github.com/citation-style-language/schema/raw/master/csl-citation.json"}</w:instrText>
      </w:r>
      <w:r>
        <w:rPr>
          <w:rFonts w:eastAsiaTheme="minorEastAsia"/>
          <w:lang w:eastAsia="zh-CN"/>
        </w:rPr>
        <w:fldChar w:fldCharType="separate"/>
      </w:r>
      <w:r>
        <w:rPr>
          <w:rFonts w:eastAsiaTheme="minorEastAsia"/>
          <w:noProof/>
          <w:vertAlign w:val="superscript"/>
          <w:lang w:eastAsia="zh-CN"/>
        </w:rPr>
        <w:t>54</w:t>
      </w:r>
      <w:r>
        <w:rPr>
          <w:rFonts w:eastAsiaTheme="minorEastAsia"/>
          <w:lang w:eastAsia="zh-CN"/>
        </w:rPr>
        <w:fldChar w:fldCharType="end"/>
      </w:r>
      <w:r>
        <w:rPr>
          <w:rFonts w:eastAsiaTheme="minorEastAsia" w:hint="eastAsia"/>
          <w:lang w:eastAsia="zh-CN"/>
        </w:rPr>
        <w:t xml:space="preserve"> </w:t>
      </w:r>
    </w:p>
    <w:p w14:paraId="43AAB51D" w14:textId="77777777" w:rsidR="003B79BC" w:rsidRDefault="003B79BC">
      <w:pPr>
        <w:spacing w:line="360" w:lineRule="auto"/>
        <w:ind w:firstLine="709"/>
        <w:jc w:val="both"/>
        <w:rPr>
          <w:rFonts w:eastAsiaTheme="minorEastAsia"/>
          <w:lang w:eastAsia="zh-CN"/>
        </w:rPr>
      </w:pPr>
    </w:p>
    <w:p w14:paraId="06F301EA" w14:textId="77777777" w:rsidR="003B79BC" w:rsidRDefault="00000000">
      <w:pPr>
        <w:pStyle w:val="Heading3"/>
        <w:numPr>
          <w:ilvl w:val="0"/>
          <w:numId w:val="10"/>
        </w:numPr>
        <w:ind w:left="426" w:hanging="426"/>
        <w:rPr>
          <w:lang w:eastAsia="zh-CN"/>
        </w:rPr>
      </w:pPr>
      <w:bookmarkStart w:id="47" w:name="_Toc158290257"/>
      <w:r>
        <w:rPr>
          <w:rFonts w:eastAsiaTheme="minorEastAsia"/>
          <w:lang w:val="id-ID" w:eastAsia="zh-CN"/>
        </w:rPr>
        <w:t xml:space="preserve">Efek Samping </w:t>
      </w:r>
      <w:r>
        <w:rPr>
          <w:lang w:val="id-ID" w:eastAsia="zh-CN"/>
        </w:rPr>
        <w:t>Levob</w:t>
      </w:r>
      <w:r>
        <w:rPr>
          <w:lang w:eastAsia="zh-CN"/>
        </w:rPr>
        <w:t>upivacaine</w:t>
      </w:r>
      <w:bookmarkEnd w:id="47"/>
    </w:p>
    <w:p w14:paraId="339D2275" w14:textId="77777777" w:rsidR="003B79BC" w:rsidRDefault="00000000">
      <w:pPr>
        <w:spacing w:line="360" w:lineRule="auto"/>
        <w:ind w:firstLine="709"/>
        <w:jc w:val="both"/>
        <w:rPr>
          <w:rFonts w:eastAsiaTheme="minorEastAsia"/>
          <w:lang w:eastAsia="zh-CN"/>
        </w:rPr>
      </w:pPr>
      <w:r>
        <w:rPr>
          <w:rFonts w:eastAsiaTheme="minorEastAsia"/>
          <w:lang w:val="id-ID" w:eastAsia="zh-CN"/>
        </w:rPr>
        <w:t>Efek samping levobupivacaine meliputi</w:t>
      </w:r>
      <w:r>
        <w:rPr>
          <w:rFonts w:eastAsiaTheme="minorEastAsia"/>
          <w:lang w:eastAsia="zh-CN"/>
        </w:rPr>
        <w:t xml:space="preserve"> hipotensi</w:t>
      </w:r>
      <w:r>
        <w:rPr>
          <w:rFonts w:eastAsiaTheme="minorEastAsia"/>
          <w:lang w:val="id-ID" w:eastAsia="zh-CN"/>
        </w:rPr>
        <w:t xml:space="preserve">, </w:t>
      </w:r>
      <w:r>
        <w:rPr>
          <w:rFonts w:eastAsiaTheme="minorEastAsia"/>
          <w:lang w:eastAsia="zh-CN"/>
        </w:rPr>
        <w:t xml:space="preserve">mual, muntah, sakit kepala, nyeri prosedural dan pusing. Toksisitas jantung, cedera neurologis setelah blok saraf perifer dan efek </w:t>
      </w:r>
      <w:r>
        <w:rPr>
          <w:rFonts w:eastAsiaTheme="minorEastAsia"/>
          <w:lang w:val="id-ID" w:eastAsia="zh-CN"/>
        </w:rPr>
        <w:t>sistem syaraf pusat</w:t>
      </w:r>
      <w:r>
        <w:rPr>
          <w:rFonts w:eastAsiaTheme="minorEastAsia"/>
          <w:lang w:eastAsia="zh-CN"/>
        </w:rPr>
        <w:t xml:space="preserve"> yang tidak diinginkan, mungkin lebih rendah daripada bupivakain. Reaksi tipe alergi jarang terjadi dan tingkat keparahannya berkisar dari urtikaria hingga reaksi seperti anafilaktoid. Selama pemberian anestesi epidural, dianjurkan bahwa dosis uji diberikan pada awalnya dan efeknya dipantau sebelum dosis penuh diberikan. Dosis uji anestesi amida kerja singkat, seperti tiga mililiter (3 mL) lignokain, direkomendasikan untuk mendeteksi pemberian intratekal yang tidak disengaja. Injeksi intratekal yang tidak disengaja selama blokade epidural dapat menghasilkan anestesi spinal yang tinggi dengan hipotensi berat dan kehilangan kesadaran.</w:t>
      </w:r>
      <w:r>
        <w:rPr>
          <w:rFonts w:eastAsiaTheme="minorEastAsia"/>
          <w:lang w:eastAsia="zh-CN"/>
        </w:rPr>
        <w:fldChar w:fldCharType="begin" w:fldLock="1"/>
      </w:r>
      <w:r>
        <w:rPr>
          <w:rFonts w:eastAsiaTheme="minorEastAsia"/>
          <w:lang w:eastAsia="zh-CN"/>
        </w:rPr>
        <w:instrText>ADDIN CSL_CITATION {"citationItems":[{"id":"ITEM-1","itemData":{"DOI":"10.4103/0970-9185.119172","ISSN":"09709185","abstract":"The quest for searching newer and safer anesthetic agents has always been one of the primary needs in anesthesiology practice. Levobupivacaine, the pure S (-)-enantiomer of bupivacaine, has strongly emerged as a safer alternative for regional anesthesia than its racemic sibling, bupivacaine. Levobupivacaine has been found to be equally efficacious as bupivacaine, but with a superior pharmacokinetic profile. Clinically, levobupivacaine has been observed to be well-tolerated in regional anesthesia techniques both after bolus administration and continuous post-operative infusion. The incidence of adverse drug reactions (ADRs) is rare when it is administered correctly. Most ADRs are related to faulty administration technique (resulting in systemic exposure) or pharmacological effects of anesthesia; however, allergic reactions can also occur rarely. The available literary evidence in anesthesia practice indicates that levobupivacaine and bupivacaine produce comparable surgical sensory block, similar adverse side effects and provision of similar labor analgesia with good comparable maternal and fetal outcome. The present review aims to discuss the pharmacokinetic and pharmacological essentials of the safer profile of levobupivacaine as well as to discuss the scope and indications of levobupivacaine based on current clinical evidence.","author":[{"dropping-particle":"","family":"Bajwa","given":"Sukhminder Jit Singh","non-dropping-particle":"","parse-names":false,"suffix":""},{"dropping-particle":"","family":"Kaur","given":"Jasleen","non-dropping-particle":"","parse-names":false,"suffix":""}],"container-title":"Journal of Anaesthesiology Clinical Pharmacology","id":"ITEM-1","issue":"4","issued":{"date-parts":[["2013"]]},"page":"530-539","title":"Clinical profile of levobupivacaine in regional anesthesia: A systematic review","type":"article-journal","volume":"29"},"uris":["http://www.mendeley.com/documents/?uuid=d22b30e9-7b62-407c-af05-7f6af898d2ce"]}],"mendeley":{"formattedCitation":"&lt;sup&gt;54&lt;/sup&gt;","plainTextFormattedCitation":"54","previouslyFormattedCitation":"&lt;sup&gt;54&lt;/sup&gt;"},"properties":{"noteIndex":0},"schema":"https://github.com/citation-style-language/schema/raw/master/csl-citation.json"}</w:instrText>
      </w:r>
      <w:r>
        <w:rPr>
          <w:rFonts w:eastAsiaTheme="minorEastAsia"/>
          <w:lang w:eastAsia="zh-CN"/>
        </w:rPr>
        <w:fldChar w:fldCharType="separate"/>
      </w:r>
      <w:r>
        <w:rPr>
          <w:rFonts w:eastAsiaTheme="minorEastAsia"/>
          <w:noProof/>
          <w:vertAlign w:val="superscript"/>
          <w:lang w:eastAsia="zh-CN"/>
        </w:rPr>
        <w:t>54</w:t>
      </w:r>
      <w:r>
        <w:rPr>
          <w:rFonts w:eastAsiaTheme="minorEastAsia"/>
          <w:lang w:eastAsia="zh-CN"/>
        </w:rPr>
        <w:fldChar w:fldCharType="end"/>
      </w:r>
      <w:r>
        <w:rPr>
          <w:rFonts w:eastAsiaTheme="minorEastAsia"/>
          <w:lang w:val="id-ID" w:eastAsia="zh-CN"/>
        </w:rPr>
        <w:t xml:space="preserve"> </w:t>
      </w:r>
      <w:r>
        <w:rPr>
          <w:rFonts w:eastAsiaTheme="minorEastAsia"/>
          <w:lang w:eastAsia="zh-CN"/>
        </w:rPr>
        <w:t>Kerusakan neurologis jarang terjadi tetapi merupakan konsekuensi blok neuraksial</w:t>
      </w:r>
      <w:r>
        <w:rPr>
          <w:rFonts w:eastAsiaTheme="minorEastAsia"/>
          <w:lang w:val="id-ID" w:eastAsia="zh-CN"/>
        </w:rPr>
        <w:t>.</w:t>
      </w:r>
      <w:r>
        <w:rPr>
          <w:rFonts w:eastAsiaTheme="minorEastAsia"/>
          <w:lang w:val="id-ID" w:eastAsia="zh-CN"/>
        </w:rPr>
        <w:fldChar w:fldCharType="begin" w:fldLock="1"/>
      </w:r>
      <w:r>
        <w:rPr>
          <w:rFonts w:eastAsiaTheme="minorEastAsia"/>
          <w:lang w:val="id-ID" w:eastAsia="zh-CN"/>
        </w:rPr>
        <w:instrText>ADDIN CSL_CITATION {"citationItems":[{"id":"ITEM-1","itemData":{"DOI":"10.4103/2455-3069.184114","ISSN":"2455-3069","abstract":"In the quest for safer and effective anesthesia and analgesia, local anesthetics such as levobupivacaine or ropivacaine have been introduced into the clinical practice. Several studies have been done to assess their efficacy and relative superiority to bupivacaine. The aim of this review is to provide the recent and comprehensive updates regarding the clinical and pharmacological utility of levobupivacaine. Using Google search for indexing databases, a search for articles published was performed using various combinations of the following search terms: (a) Pharmacology; (b) clinical; (c) profile; (d) levobupivacaine; (e) local anesthetic; (f) recent. Additional sources were also identified by exploring the primary reference list.","author":[{"dropping-particle":"","family":"Athar","given":"Manazir","non-dropping-particle":"","parse-names":false,"suffix":""},{"dropping-particle":"","family":"Ahmed","given":"SyedMoied","non-dropping-particle":"","parse-names":false,"suffix":""},{"dropping-particle":"","family":"Ali","given":"Shahna","non-dropping-particle":"","parse-names":false,"suffix":""},{"dropping-particle":"","family":"Siddiqi","given":"ObaidAhmad","non-dropping-particle":"","parse-names":false,"suffix":""}],"container-title":"Journal of Current Research in Scientific Medicine","id":"ITEM-1","issue":"1","issued":{"date-parts":[["2016"]]},"page":"3","title":"Levobupivacaine: A safer alternative","type":"article-journal","volume":"2"},"uris":["http://www.mendeley.com/documents/?uuid=86807b32-26d4-4c29-977d-056ed8e1d238"]}],"mendeley":{"formattedCitation":"&lt;sup&gt;55&lt;/sup&gt;","plainTextFormattedCitation":"55","previouslyFormattedCitation":"&lt;sup&gt;55&lt;/sup&gt;"},"properties":{"noteIndex":0},"schema":"https://github.com/citation-style-language/schema/raw/master/csl-citation.json"}</w:instrText>
      </w:r>
      <w:r>
        <w:rPr>
          <w:rFonts w:eastAsiaTheme="minorEastAsia"/>
          <w:lang w:val="id-ID" w:eastAsia="zh-CN"/>
        </w:rPr>
        <w:fldChar w:fldCharType="separate"/>
      </w:r>
      <w:r>
        <w:rPr>
          <w:rFonts w:eastAsiaTheme="minorEastAsia"/>
          <w:noProof/>
          <w:vertAlign w:val="superscript"/>
          <w:lang w:val="id-ID" w:eastAsia="zh-CN"/>
        </w:rPr>
        <w:t>55</w:t>
      </w:r>
      <w:r>
        <w:rPr>
          <w:rFonts w:eastAsiaTheme="minorEastAsia"/>
          <w:lang w:val="id-ID" w:eastAsia="zh-CN"/>
        </w:rPr>
        <w:fldChar w:fldCharType="end"/>
      </w:r>
      <w:r>
        <w:rPr>
          <w:rFonts w:eastAsiaTheme="minorEastAsia"/>
          <w:lang w:val="id-ID" w:eastAsia="zh-CN"/>
        </w:rPr>
        <w:t xml:space="preserve"> </w:t>
      </w:r>
      <w:r>
        <w:t>Reaksi imunologi terhadap anestesi lokal jarang terjadi.</w:t>
      </w:r>
      <w:r>
        <w:fldChar w:fldCharType="begin" w:fldLock="1"/>
      </w:r>
      <w:r>
        <w:instrText>ADDIN CSL_CITATION {"citationItems":[{"id":"ITEM-1","itemData":{"author":[{"dropping-particle":"","family":"Shafiei","given":"Fourutan T.","non-dropping-particle":"","parse-names":false,"suffix":""},{"dropping-particle":"","family":"McAllister","given":"Russell K.","non-dropping-particle":"","parse-names":false,"suffix":""},{"dropping-particle":"","family":"Lopez.","given":"Javier","non-dropping-particle":"","parse-names":false,"suffix":""}],"container-title":"StatPearls Publishing LLC","id":"ITEM-1","issued":{"date-parts":[["2022"]]},"title":"Bupivacaine","type":"article-journal"},"uris":["http://www.mendeley.com/documents/?uuid=14f55fc8-a629-43ed-8087-2a32f3be4d77"]}],"mendeley":{"formattedCitation":"&lt;sup&gt;56&lt;/sup&gt;","plainTextFormattedCitation":"56","previouslyFormattedCitation":"&lt;sup&gt;56&lt;/sup&gt;"},"properties":{"noteIndex":0},"schema":"https://github.com/citation-style-language/schema/raw/master/csl-citation.json"}</w:instrText>
      </w:r>
      <w:r>
        <w:fldChar w:fldCharType="separate"/>
      </w:r>
      <w:r>
        <w:rPr>
          <w:noProof/>
          <w:vertAlign w:val="superscript"/>
        </w:rPr>
        <w:t>56</w:t>
      </w:r>
      <w:r>
        <w:fldChar w:fldCharType="end"/>
      </w:r>
      <w:r>
        <w:rPr>
          <w:rFonts w:eastAsiaTheme="minorEastAsia" w:hint="eastAsia"/>
          <w:lang w:eastAsia="zh-CN"/>
        </w:rPr>
        <w:t xml:space="preserve"> </w:t>
      </w:r>
    </w:p>
    <w:p w14:paraId="2E3FC20A" w14:textId="77777777" w:rsidR="003B79BC" w:rsidRDefault="003B79BC">
      <w:pPr>
        <w:spacing w:line="360" w:lineRule="auto"/>
        <w:ind w:firstLine="709"/>
        <w:jc w:val="both"/>
        <w:rPr>
          <w:rFonts w:eastAsiaTheme="minorEastAsia"/>
          <w:lang w:eastAsia="zh-CN"/>
        </w:rPr>
      </w:pPr>
    </w:p>
    <w:p w14:paraId="5F03C3CF" w14:textId="77777777" w:rsidR="003B79BC" w:rsidRDefault="00000000">
      <w:pPr>
        <w:pStyle w:val="Heading3"/>
        <w:numPr>
          <w:ilvl w:val="0"/>
          <w:numId w:val="10"/>
        </w:numPr>
        <w:ind w:left="709" w:hanging="709"/>
        <w:rPr>
          <w:rFonts w:eastAsiaTheme="minorEastAsia"/>
          <w:lang w:eastAsia="zh-CN"/>
        </w:rPr>
      </w:pPr>
      <w:bookmarkStart w:id="48" w:name="_Toc158290258"/>
      <w:r>
        <w:rPr>
          <w:lang w:val="id-ID"/>
        </w:rPr>
        <w:t>P</w:t>
      </w:r>
      <w:r>
        <w:t xml:space="preserve">enggunaan </w:t>
      </w:r>
      <w:r>
        <w:rPr>
          <w:lang w:val="id-ID"/>
        </w:rPr>
        <w:t>Levo</w:t>
      </w:r>
      <w:r>
        <w:t xml:space="preserve">bupicavaine Infiltrasi </w:t>
      </w:r>
      <w:r>
        <w:rPr>
          <w:lang w:val="en-US"/>
        </w:rPr>
        <w:t>p</w:t>
      </w:r>
      <w:r>
        <w:rPr>
          <w:lang w:val="id-ID"/>
        </w:rPr>
        <w:t>ada Tonsilektomi</w:t>
      </w:r>
      <w:bookmarkEnd w:id="48"/>
    </w:p>
    <w:p w14:paraId="2E7BD5A9" w14:textId="77777777" w:rsidR="003B79BC" w:rsidRDefault="00000000">
      <w:pPr>
        <w:spacing w:line="360" w:lineRule="auto"/>
        <w:ind w:firstLine="709"/>
        <w:jc w:val="both"/>
        <w:rPr>
          <w:color w:val="000000"/>
          <w:lang w:val="id-ID"/>
        </w:rPr>
      </w:pPr>
      <w:r>
        <w:rPr>
          <w:color w:val="000000"/>
          <w:lang w:val="id-ID" w:eastAsia="zh-CN"/>
        </w:rPr>
        <w:t>Penelitian membandingkan penggunaan deksametason natrium fosfat 1 mg/kg, levobupivakain 0,25% dengan epinefrin dan saline diperoleh hasil bahwa infiltrasi deksametason peritonsil lebih efektif daripada levobupivacaine dan saline dalam mengurangi nyeri pasca tonsilektomi.</w:t>
      </w:r>
      <w:r>
        <w:rPr>
          <w:color w:val="000000"/>
          <w:lang w:val="id-ID"/>
        </w:rPr>
        <w:fldChar w:fldCharType="begin" w:fldLock="1"/>
      </w:r>
      <w:r>
        <w:rPr>
          <w:color w:val="000000"/>
          <w:lang w:val="id-ID" w:eastAsia="zh-CN"/>
        </w:rPr>
        <w:instrText>ADDIN CSL_CITATION {"citationItems":[{"id":"ITEM-1","itemData":{"DOI":"10.1016/j.ijporl.2014.06.010","ISSN":"18728464","PMID":"24984928","abstract":"Objectives: To investigate the effects of the pre-emptive local infiltration of dexamethasone vs. levobupivacaine on postoperative pain and morbidity in pediatric adenotonsillectomy patients. Methods: A total of 60 patients (32 males and 28 females), aged 3-14 years, were included in this double-blind prospective randomized controlled clinical study from September of 2011 until May of 2012. Patients admitted for adenotonsillectomies after informed consent was obtained from the parents, and randomized into three groups receiving either dexamethasone sodium phosphate (Group 1, mean age 5.9. ±. 1.6), levobupivacaine with epinephrine (Group 2, mean age 6.1. ±. 2.6), or saline (Group 3, mean age 6.0. ±. 3.4). Pain scores at the 1st, 4th, 8th, 12th, 16th, and 20th hours, and first, second, third and seventh days post-operatively were recorded by the parents using McGrath's face scale. The operation type, operation time and anesthesia time, the time of the first request for postoperative analgesia, and the total number of analgesic interventions were recorded. Results: Pain scores were revealed in this order: Group 1 (steroid). &lt;. Group 2 (levobupivacaine). &lt;. Group 3 (saline) at all times (p= 0.000). The anesthesia times for Group 1 and Group 2 were different (steroid vs. levobupivacaine), and the time to first analgesic was longer in Groups 1 (steroid) and 2 (levobupivacaine) than in Group 3 (saline) (p&lt;. 0.000). The total number of analgesic interventions was lower in Group 1 (steroid) than in Group 2 (levobupivacaine) and Group 3 (saline) (steroid vs. saline, p= 0.000, and steroid vs. levobupivacaine, p&lt;. 0.05). Conclusion: Peritonsillar dexamethasone infiltration was more effective than both levobupivacaine and saline in reducing post-tonsillectomy pain. It was proven to be a safe and effective method. © 2014 Elsevier Ireland Ltd.","author":[{"dropping-particle":"","family":"Aysenur","given":"Dostbil","non-dropping-particle":"","parse-names":false,"suffix":""},{"dropping-particle":"","family":"Mine","given":"Celik","non-dropping-particle":"","parse-names":false,"suffix":""},{"dropping-particle":"","family":"Ozgur","given":"Yoruk","non-dropping-particle":"","parse-names":false,"suffix":""},{"dropping-particle":"","family":"Ahmet","given":"Alici Haci","non-dropping-particle":"","parse-names":false,"suffix":""},{"dropping-particle":"","family":"Fuat","given":"Erdem Ali","non-dropping-particle":"","parse-names":false,"suffix":""},{"dropping-particle":"","family":"Ilker","given":"Ince","non-dropping-particle":"","parse-names":false,"suffix"</w:instrText>
      </w:r>
      <w:r>
        <w:rPr>
          <w:color w:val="000000"/>
          <w:lang w:val="id-ID"/>
        </w:rPr>
        <w:instrText>:""},{"dropping-particle":"","family":"Ali","given":"Ahiskalioglu","non-dropping-particle":"","parse-names":false,"suffix":""}],"container-title":"International Journal of Pediatric Otorhinolaryngology","id":"ITEM-1","issue":"9","issued":{"date-parts":[["2014"]]},"page":"1467-1471","title":"Pre-emptive peritonsillar dexamethasone vs. levobupivacaine infiltration for relief of post-adenotonsillectomy pain in children: A controlled clinical study","type":"article-journal","volume":"78"},"uris":["http://www.mendeley.com/documents/?uuid=1ef4a2dc-42a2-4a0c-8109-066250ec068e"]}],"mendeley":{"formattedCitation":"&lt;sup&gt;59&lt;/sup&gt;","plainTextFormattedCitation":"59","previouslyFormattedCitation":"&lt;sup&gt;59&lt;/sup&gt;"},"properties":{"noteIndex":0},"schema":"https://github.com/citation-style-language/schema/raw/master/csl-citation.json"}</w:instrText>
      </w:r>
      <w:r>
        <w:rPr>
          <w:color w:val="000000"/>
          <w:lang w:val="id-ID"/>
        </w:rPr>
        <w:fldChar w:fldCharType="separate"/>
      </w:r>
      <w:r>
        <w:rPr>
          <w:noProof/>
          <w:color w:val="000000"/>
          <w:vertAlign w:val="superscript"/>
          <w:lang w:val="id-ID"/>
        </w:rPr>
        <w:t>59</w:t>
      </w:r>
      <w:r>
        <w:rPr>
          <w:color w:val="000000"/>
          <w:lang w:val="id-ID"/>
        </w:rPr>
        <w:fldChar w:fldCharType="end"/>
      </w:r>
      <w:r>
        <w:rPr>
          <w:color w:val="000000"/>
          <w:lang w:val="id-ID"/>
        </w:rPr>
        <w:t xml:space="preserve"> </w:t>
      </w:r>
      <w:bookmarkStart w:id="49" w:name="_Hlk158212406"/>
      <w:r>
        <w:rPr>
          <w:color w:val="000000"/>
          <w:lang w:val="id-ID"/>
        </w:rPr>
        <w:t xml:space="preserve">Penelitian lain membandingkan efek levobupivacaine hydrochloride, bupivacaine hydrochloride, dan injeksi saline dalam mengurangi nyeri post tonsilektomi dengan hasil bahwa skor nyeri pada kelompok bupivacaine 0,5% dan levobupivacaine 0,25% secara signifikan lebih </w:t>
      </w:r>
      <w:r>
        <w:rPr>
          <w:color w:val="000000"/>
          <w:lang w:val="id-ID"/>
        </w:rPr>
        <w:lastRenderedPageBreak/>
        <w:t>rendah dibandingkan pada kelompok saline dari 17 hingga 21 jam hingga hari ke 6. Tidak ada perbedaan antara kelompok levobupivacaine dan bupivacaine (p &gt; 0,017). Infiltrasi lokal levobupivakain merupakan metode yang relatif aman dan efektif dan setara dengan penggunaan bupivakain untuk nyeri post tonsilektomi.</w:t>
      </w:r>
      <w:r>
        <w:rPr>
          <w:color w:val="000000"/>
          <w:lang w:val="id-ID"/>
        </w:rPr>
        <w:fldChar w:fldCharType="begin" w:fldLock="1"/>
      </w:r>
      <w:r>
        <w:rPr>
          <w:color w:val="000000"/>
          <w:lang w:val="id-ID"/>
        </w:rPr>
        <w:instrText>ADDIN CSL_CITATION {"citationItems":[{"id":"ITEM-1","itemData":{"abstract":"OBJECTIVE To compare the effects of bupivacaine, lidocaine and saline injections in alleviating post tonsillectomy pain. METHOD We recruited 60 patients into the study. All subjects were randomly allocated into 3 groups. Group 1 received 0.9% sodium chloride (saline group), group 2 received 0.25% bupivacaine (bupivacaine group) and group 3 received 2% lidocaine (lidocaine group), infiltrated around each tonsil. Pain was evaluated with McGrath's face scale. RESULT The postoperative pain scores at 2 and 6 hours were similar among the groups (P&gt;0.05). The pain scores in the bupivacaine group were lower than those in the saline group at 12 h (P&lt;0.05). The pain scores in the bupivacaine and lidocaine groups were significantly lower than those in the saline group from 18 to 24 hours until day 7 (P&lt;0.05). There was no difference between the bupivacaine and lidocaine groups (P&gt; 0.05). CONCLUSION Local infiltration of bupivacaine is a relatively and safe effective method and is equivalent to use of lidocaine for post tonsillectomy pain.","author":[{"dropping-particle":"","family":"Süay Özmen","given":"MD","non-dropping-particle":"","parse-names":false,"suffix":""},{"dropping-particle":"","family":"Özmen","given":"Ömer Afşin","non-dropping-particle":"","parse-names":false,"suffix":""},{"dropping-particle":"","family":"Kasapoǧlu","given":"Fikret","non-dropping-particle":"","parse-names":false,"suffix":""}],"container-title":"Annals of Otology, Rhinology &amp; Laryngology","id":"ITEM-1","issue":"7","issued":{"date-parts":[["2011"]]},"page":"489-93","title":"Effects of bupivacaine versus bupivacaine infiltration on postoperative analgesia in pediatric tonsillectomy patients.","type":"article-journal","volume":"120"},"uris":["http://www.mendeley.com/documents/?uuid=4c2960d8-1c43-4cd8-84b7-d969c00ae996"]}],"mendeley":{"formattedCitation":"&lt;sup&gt;60&lt;/sup&gt;","plainTextFormattedCitation":"60","previouslyFormattedCitation":"&lt;sup&gt;60&lt;/sup&gt;"},"properties":{"noteIndex":0},"schema":"https://github.com/citation-style-language/schema/raw/master/csl-citation.json"}</w:instrText>
      </w:r>
      <w:r>
        <w:rPr>
          <w:color w:val="000000"/>
          <w:lang w:val="id-ID"/>
        </w:rPr>
        <w:fldChar w:fldCharType="separate"/>
      </w:r>
      <w:r>
        <w:rPr>
          <w:noProof/>
          <w:color w:val="000000"/>
          <w:vertAlign w:val="superscript"/>
          <w:lang w:val="id-ID"/>
        </w:rPr>
        <w:t>60</w:t>
      </w:r>
      <w:r>
        <w:rPr>
          <w:color w:val="000000"/>
          <w:lang w:val="id-ID"/>
        </w:rPr>
        <w:fldChar w:fldCharType="end"/>
      </w:r>
    </w:p>
    <w:p w14:paraId="5FC078BA" w14:textId="77777777" w:rsidR="003B79BC" w:rsidRDefault="00000000">
      <w:pPr>
        <w:spacing w:line="360" w:lineRule="auto"/>
        <w:ind w:firstLine="709"/>
        <w:jc w:val="both"/>
        <w:rPr>
          <w:color w:val="000000"/>
          <w:lang w:val="id-ID"/>
        </w:rPr>
      </w:pPr>
      <w:r w:rsidRPr="00F426C1">
        <w:rPr>
          <w:color w:val="131413"/>
          <w:lang w:val="id-ID"/>
        </w:rPr>
        <w:t xml:space="preserve">Kortikosteroid praoperasi mengurangi morbiditas pasca tonsilektomi. Penelitian ini dilakukan untuk membandingkan efek infiltrasi deksametason peritonsil dengan injeksi intravena bersama dengan infiltrasi levobupivakain peritonsil sebelum tonsilektomi pada nyeri pasca operasi pada anak-anak. Penambahan deksametason ke levobupivacaine </w:t>
      </w:r>
      <w:r>
        <w:rPr>
          <w:color w:val="131413"/>
          <w:lang w:val="id-ID"/>
        </w:rPr>
        <w:t xml:space="preserve">0,25% </w:t>
      </w:r>
      <w:r w:rsidRPr="00F426C1">
        <w:rPr>
          <w:color w:val="131413"/>
          <w:lang w:val="id-ID"/>
        </w:rPr>
        <w:t xml:space="preserve">untuk infiltrasi peritonsiler pra operasi memiliki efek analgesik pasca operasi yang lebih baik daripada deksametason </w:t>
      </w:r>
      <w:r>
        <w:rPr>
          <w:color w:val="131413"/>
          <w:lang w:val="id-ID"/>
        </w:rPr>
        <w:t xml:space="preserve">intravena </w:t>
      </w:r>
      <w:r w:rsidRPr="00F426C1">
        <w:rPr>
          <w:color w:val="131413"/>
          <w:lang w:val="id-ID"/>
        </w:rPr>
        <w:t>dikombinasikan dengan infiltrasi peritonsiler levobupivacaine pada anak-anak.</w:t>
      </w:r>
      <w:r>
        <w:rPr>
          <w:color w:val="131413"/>
          <w:lang w:val="en-US"/>
        </w:rPr>
        <w:fldChar w:fldCharType="begin" w:fldLock="1"/>
      </w:r>
      <w:r w:rsidRPr="00F426C1">
        <w:rPr>
          <w:color w:val="131413"/>
          <w:lang w:val="id-ID"/>
        </w:rPr>
        <w:instrText xml:space="preserve">ADDIN CSL_CITATION {"citationItems":[{"id":"ITEM-1","itemData":{"DOI":"10.1007/s00540-013-1638-0","ISSN":"09138668","PMID":"23708881","abstract":"Background: Preoperative corticosteroids reduce post-tonsillectomy morbidities. The present study was performed to compare the effect of peritonsillar dexamethasone infiltration to intravenous injection together with peritonsillar levobupivacaine infiltration before tonsillectomy on postoperative pain in children. Methods: One hundred twenty children, ASA I-II, aged 6-12 years, scheduled for adenotonsillectomy were enrolled in the study. They were randomized equally into two equal groups; 60 children each. Group A received peritonsillar infiltration with dexamethasone and levobupivacaine, and group B received i.v. dexamethasone and peritonsillar levobupivacaine infiltration. Rest and swallowing pain in the first postoperative day using a visual analogue scale, time to first rescue analgesia, </w:instrText>
      </w:r>
      <w:r w:rsidRPr="00374F09">
        <w:rPr>
          <w:color w:val="131413"/>
          <w:lang w:val="id-ID"/>
        </w:rPr>
        <w:instrText>cumulative paracetamol dose, vomiting, and adverse effects related to both interventions during the first postoperative day were recorded. Children care givers were asked to score pain using a verbal rating scale and to disclose complications as halitosis, headache, fever and otalgia during the first postoperative week. Results: Time to first rescue analgesia was significantly longer in group A. Rest and swallowing pain in the first postoperative day, cumulative paracetamol dose, pain in the second and third postoperative days, and otalgia were significantly lower in group A. None of children developed postoperative bleeding, or complications related to dexamethasone or levobupivacaine infiltration. There was no significant difference in postoperative emesis, fever and halitosis between the groups. Conclusion: Addition of dexamethasone to levobupivacaine for preoperative peritonsillar infiltration has better postoperative analgesic effects than i.v. dexamethasone combined with peritonsillar levobupivacaine infiltration in children. © 2013 Japanese Society of Anesthesiologists.","author":[{"dropping-particle":"","family":"Basuni","given":"Ahmed Sobhy","non-dropping-particle":"","parse-names":false,"suffix":""},{"dropping-particle":"","family":"Ezz","given":"Hoda Alsaid Ahmed","non-dropping-particle":"","parse-names":false,"suffix":""},{"dropping-particle":"","family":"Albirmawy","given":"Osama Amin","non-dropping-particle":"","parse-names":false,"suffix":""}],"container-title":"Jo</w:instrText>
      </w:r>
      <w:r>
        <w:rPr>
          <w:color w:val="131413"/>
          <w:lang w:val="en-US"/>
        </w:rPr>
        <w:instrText>urnal of Anesthesia","id":"ITEM-1","issue":"6","issued":{"date-parts":[["2013"]]},"page":"844-849","title":"Preoperative peritonsillar infiltration of dexamethasone and levobupivacaine reduces pediatric post-tonsillectomy pain: A double-blind prospective randomized clinical trial","type":"article-journal","volume":"27"},"uris":["http://www.mendeley.com/documents/?uuid=f444f213-67d2-4471-8214-3a9625f8686a"]}],"mendeley":{"formattedCitation":"&lt;sup&gt;61&lt;/sup&gt;","plainTextFormattedCitation":"61","previouslyFormattedCitation":"&lt;sup&gt;61&lt;/sup&gt;"},"properties":{"noteIndex":0},"schema":"https://github.com/citation-style-language/schema/raw/master/csl-citation.json"}</w:instrText>
      </w:r>
      <w:r>
        <w:rPr>
          <w:color w:val="131413"/>
          <w:lang w:val="en-US"/>
        </w:rPr>
        <w:fldChar w:fldCharType="separate"/>
      </w:r>
      <w:r>
        <w:rPr>
          <w:noProof/>
          <w:color w:val="131413"/>
          <w:vertAlign w:val="superscript"/>
          <w:lang w:val="en-US"/>
        </w:rPr>
        <w:t>61</w:t>
      </w:r>
      <w:r>
        <w:rPr>
          <w:color w:val="131413"/>
          <w:lang w:val="en-US"/>
        </w:rPr>
        <w:fldChar w:fldCharType="end"/>
      </w:r>
      <w:r>
        <w:rPr>
          <w:color w:val="000000"/>
          <w:lang w:val="id-ID"/>
        </w:rPr>
        <w:t xml:space="preserve"> Dalam penelitian review melaporkan bahwa levobupivacaine aman dan efektif untuk mengurangi nyeri pasca operasi.</w:t>
      </w:r>
      <w:r>
        <w:rPr>
          <w:color w:val="000000"/>
          <w:lang w:val="id-ID"/>
        </w:rPr>
        <w:fldChar w:fldCharType="begin" w:fldLock="1"/>
      </w:r>
      <w:r>
        <w:rPr>
          <w:color w:val="000000"/>
          <w:lang w:val="id-ID"/>
        </w:rPr>
        <w:instrText>ADDIN CSL_CITATION {"citationItems":[{"id":"ITEM-1","itemData":{"DOI":"10.1016/j.sjbs.2022.01.010","ISSN":"1319562X","abstract":"Levobupivacaine is a long-acting local anesthetic that is both safe and non-toxic. However, few researchers have examined the efficacy and safety of peritonsillar injections of levobupivacaine for postoperative pain relief. The goal of this study was to assess current randomized controlled trials that employed this strategy. A literature review was conducted using databases such as DELPHIS, PUBMED, COCHRANE, and SCOPUS. A total of fifteen randomized controlled trials were found and thoroughly reviewed. There were no fatalities reported. One study reported a case of nausea and vomiting. In most of the studies, levobupivacaine with magnesium, epinephrine, dexamethasone hydrochloride, tramadol, or levobupivacaine alone were compared to a placebo. Four trials employed different combinations of levobupivacaine and other medicines to recruit adults. Most of the studies had a modest sample size. As a result, larger research with more representative populations should be conducted. Despite certain flaws in the trial design, our findings suggest that levobupivacaine is safe and effective at reducing postoperative pain.","author":[{"dropping-particle":"","family":"Alotaibi","given":"Abdulmueen A.","non-dropping-particle":"","parse-names":false,"suffix":""},{"dropping-particle":"","family":"Carpenter","given":"Diane","non-dropping-particle":"","parse-names":false,"suffix":""},{"dropping-particle":"","family":"Asdaq","given":"Syed Mohammed Basheeruddin","non-dropping-particle":"","parse-names":false,"suffix":""}],"container-title":"Saudi Journal of Biological Sciences","id":"ITEM-1","issue":"4","issued":{"date-parts":[["2022"]]},"page":"2056-2062","publisher":"King Saud University","title":"Critical review on the efficacy and safety of levobupivacaine peritonsillar infiltration","type":"article-journal","volume":"29"},"uris":["http://www.mendeley.com/documents/?uuid=c9380148-b8da-4dc1-8255-5b63a1ed6ed4"]}],"mendeley":{"formattedCitation":"&lt;sup&gt;62&lt;/sup&gt;","plainTextFormattedCitation":"62","previouslyFormattedCitation":"&lt;sup&gt;62&lt;/sup&gt;"},"properties":{"noteIndex":0},"schema":"https://github.com/citation-style-language/schema/raw/master/csl-citation.json"}</w:instrText>
      </w:r>
      <w:r>
        <w:rPr>
          <w:color w:val="000000"/>
          <w:lang w:val="id-ID"/>
        </w:rPr>
        <w:fldChar w:fldCharType="separate"/>
      </w:r>
      <w:r>
        <w:rPr>
          <w:noProof/>
          <w:color w:val="000000"/>
          <w:vertAlign w:val="superscript"/>
          <w:lang w:val="id-ID"/>
        </w:rPr>
        <w:t>62</w:t>
      </w:r>
      <w:r>
        <w:rPr>
          <w:color w:val="000000"/>
          <w:lang w:val="id-ID"/>
        </w:rPr>
        <w:fldChar w:fldCharType="end"/>
      </w:r>
    </w:p>
    <w:bookmarkEnd w:id="49"/>
    <w:p w14:paraId="75E46A95" w14:textId="77777777" w:rsidR="003B79BC" w:rsidRDefault="003B79BC">
      <w:pPr>
        <w:spacing w:line="360" w:lineRule="auto"/>
        <w:jc w:val="both"/>
        <w:rPr>
          <w:rFonts w:eastAsiaTheme="minorEastAsia"/>
          <w:lang w:eastAsia="zh-CN"/>
        </w:rPr>
      </w:pPr>
    </w:p>
    <w:p w14:paraId="56D9CF5D" w14:textId="77777777" w:rsidR="003B79BC" w:rsidRDefault="00000000">
      <w:pPr>
        <w:pStyle w:val="Heading2"/>
        <w:numPr>
          <w:ilvl w:val="0"/>
          <w:numId w:val="6"/>
        </w:numPr>
        <w:spacing w:after="0"/>
        <w:ind w:left="709" w:hanging="709"/>
        <w:jc w:val="both"/>
        <w:rPr>
          <w:b w:val="0"/>
          <w:bCs/>
        </w:rPr>
      </w:pPr>
      <w:bookmarkStart w:id="50" w:name="_Toc158290259"/>
      <w:r>
        <w:rPr>
          <w:bCs/>
        </w:rPr>
        <w:t>Penggunaan Dexme</w:t>
      </w:r>
      <w:r w:rsidRPr="00F426C1">
        <w:rPr>
          <w:bCs/>
          <w:lang w:val="id-ID"/>
        </w:rPr>
        <w:t>de</w:t>
      </w:r>
      <w:r>
        <w:rPr>
          <w:bCs/>
        </w:rPr>
        <w:t xml:space="preserve">tomidine Intravena </w:t>
      </w:r>
      <w:r w:rsidRPr="00F426C1">
        <w:rPr>
          <w:bCs/>
          <w:lang w:val="id-ID"/>
        </w:rPr>
        <w:t>d</w:t>
      </w:r>
      <w:r>
        <w:rPr>
          <w:bCs/>
        </w:rPr>
        <w:t xml:space="preserve">an </w:t>
      </w:r>
      <w:r>
        <w:rPr>
          <w:lang w:val="id-ID"/>
        </w:rPr>
        <w:t>Levo</w:t>
      </w:r>
      <w:r>
        <w:rPr>
          <w:bCs/>
        </w:rPr>
        <w:t>bupicavaine Infiltrasi</w:t>
      </w:r>
      <w:bookmarkEnd w:id="50"/>
      <w:r>
        <w:rPr>
          <w:bCs/>
        </w:rPr>
        <w:t xml:space="preserve"> </w:t>
      </w:r>
    </w:p>
    <w:p w14:paraId="7CF4F8B9" w14:textId="77777777" w:rsidR="003B79BC" w:rsidRDefault="00000000">
      <w:pPr>
        <w:spacing w:line="360" w:lineRule="auto"/>
        <w:ind w:firstLine="709"/>
        <w:jc w:val="both"/>
        <w:rPr>
          <w:color w:val="131413"/>
          <w:lang w:val="id-ID"/>
        </w:rPr>
      </w:pPr>
      <w:r>
        <w:rPr>
          <w:color w:val="131413"/>
          <w:lang w:val="id-ID" w:eastAsia="zh-CN"/>
        </w:rPr>
        <w:t>Penelitian</w:t>
      </w:r>
      <w:r w:rsidRPr="00F426C1">
        <w:rPr>
          <w:color w:val="131413"/>
          <w:lang w:val="id-ID" w:eastAsia="zh-CN"/>
        </w:rPr>
        <w:t xml:space="preserve"> mengevaluasi efek analgesik dari infiltrasi levobupivacaine 0,25% pada tonsil bed, dan kombinasi levobupivacaine 0,25% dan dexmedetomidine</w:t>
      </w:r>
      <w:r>
        <w:rPr>
          <w:color w:val="131413"/>
          <w:lang w:val="id-ID" w:eastAsia="zh-CN"/>
        </w:rPr>
        <w:t xml:space="preserve"> </w:t>
      </w:r>
      <w:r w:rsidRPr="00F426C1">
        <w:rPr>
          <w:color w:val="131413"/>
          <w:lang w:val="id-ID" w:eastAsia="zh-CN"/>
        </w:rPr>
        <w:t xml:space="preserve">1 </w:t>
      </w:r>
      <w:r>
        <w:rPr>
          <w:color w:val="131413"/>
          <w:lang w:val="en-US"/>
        </w:rPr>
        <w:t>μ</w:t>
      </w:r>
      <w:r w:rsidRPr="00F426C1">
        <w:rPr>
          <w:color w:val="131413"/>
          <w:lang w:val="id-ID" w:eastAsia="zh-CN"/>
        </w:rPr>
        <w:t xml:space="preserve">g/kg pada pasien yang menjalani tonsilektomi. </w:t>
      </w:r>
      <w:r>
        <w:rPr>
          <w:color w:val="131413"/>
          <w:lang w:val="id-ID"/>
        </w:rPr>
        <w:t>L</w:t>
      </w:r>
      <w:r w:rsidRPr="00F426C1">
        <w:rPr>
          <w:color w:val="131413"/>
          <w:lang w:val="id-ID"/>
        </w:rPr>
        <w:t>evobupivacaine dan dexmedetomidine</w:t>
      </w:r>
      <w:r>
        <w:rPr>
          <w:color w:val="131413"/>
          <w:lang w:val="id-ID"/>
        </w:rPr>
        <w:t xml:space="preserve"> diberikan </w:t>
      </w:r>
      <w:r w:rsidRPr="00F426C1">
        <w:rPr>
          <w:color w:val="131413"/>
          <w:lang w:val="id-ID"/>
        </w:rPr>
        <w:t>setelah intubasi 3–5 menit sebelum operasi. Infiltrasi peritonsil anak-anak dari levobupivacaine dan dexmedetomidine memperbaiki nyeri pasca operasi setelah adenotonsilektomi.</w:t>
      </w:r>
      <w:r>
        <w:rPr>
          <w:color w:val="131413"/>
          <w:lang w:val="en-US"/>
        </w:rPr>
        <w:fldChar w:fldCharType="begin" w:fldLock="1"/>
      </w:r>
      <w:r w:rsidRPr="00F426C1">
        <w:rPr>
          <w:color w:val="131413"/>
          <w:lang w:val="id-ID"/>
        </w:rPr>
        <w:instrText xml:space="preserve">ADDIN CSL_CITATION {"citationItems":[{"id":"ITEM-1","itemData":{"DOI":"10.1155/2022/9958668","ISSN":"12036765","PMID":"36247104","abstract":"Background. The study evaluated the analgesic effects of levobupivacaine infiltration in the tonsil bed, and a combination of levobupivacaine and dexmedetomidine in patients undergoing tonsillectomy. Methods. Ninety children (ages 3 to 7 years) who were scheduled for a tonsillectomy were allocated randomly into two groups. (L Group): peritonsillar infiltration with 0.25% levobupivacaine (2 ml + 0.5 ml saline 0.9% per tonsil). (LD Group): levobupivacaine 0.25% (2 ml) plus dexmedetomidine 1 </w:instrText>
      </w:r>
      <w:r>
        <w:rPr>
          <w:color w:val="131413"/>
          <w:lang w:val="en-US"/>
        </w:rPr>
        <w:instrText>μ</w:instrText>
      </w:r>
      <w:r w:rsidRPr="00F426C1">
        <w:rPr>
          <w:color w:val="131413"/>
          <w:lang w:val="id-ID"/>
        </w:rPr>
        <w:instrText>g/kg diluted in 1 ml saline 0.9% (0.5 ml in each tonsil), and administered by peritonsillar infiltration (2.5 ml per tonsil) following intubation 3-5 minutes before operation. To avoid bias, infiltrate a total volume of 2.5 ml in each tonsil. The first analgesic request time was the primary outcome, with postoperative pain score, total analgesic consumption, total or</w:instrText>
      </w:r>
      <w:r w:rsidRPr="00374F09">
        <w:rPr>
          <w:color w:val="131413"/>
          <w:lang w:val="id-ID"/>
        </w:rPr>
        <w:instrText>al intake, sedation, and side effects as secondary outcomes. Results. The first rescue analgesia time in the LD group was longer (644.31 ± 112.89 min) than in the L group (551.51 ± 146.16 min, P-value &lt;0.001). The number of patients who required &gt;1 analgesic dose in the L group (n = 13) was higher than in the LD group (n = 5). The LD group consumes a lower total dose of IV paracetamol in the first 24 hours postoperatively (321.89 ± 93.25 mg) than the L group (394.89 ± 183.71 mg, P&lt;0.00-value &lt; 0.050). On the first day postoperatively, patients in the LD group had a higher total oral intake (P&lt;0.001). Except for a slight increase in laryngospasm in the L group, there were no side effects. Conclusions. The Children's peritonsillar infiltration of levobupivacaine and dexmedetomidine improved postoperative pain after adenotonsillectomy. The topically applied levobupivacaine and dexmedetomidine were concomitant with no systemic effects, greater total oral intake on the first day postoperative, and higher family satisfaction.","author":[{"dropping-particle":"","family":"Abo Elfadl","given":"Ghada Mohammad","non-dropping-particle":"","parse-names":false,"suffix":""},{"dropping-particle":"","family":"Abdelrady","given":"Marwa Mahmoud","non-dropping-particle":"","parse-names":false,"suffix":""},{"dropping-particle":"","family":"Osman","given":"Hany M.","non-dropping-particle":"","parse-names":false,"suffix":""},{"dropping-particle":"","family":"Gad","given":"Mohamed Omar","non-dropping-particle":"","parse-names":false,"suffix":""},{"dropping-particle":"","family":"Abd El-Rady","given":"Nessren M.","non-dropping-particle":"","parse-names":false,"suffix":""},{"dropping-particle":"","family":"Ali","given":"Wesam Nashat","non-dropping-particle":"","parse-names":false,"suffix":""}],"container-title":"Pain Research and Management","id":"ITEM-1","issued":{"date-parts":[["2022"]]},"title":"Efficacy of Levobupivacaine Versus Levobupivacaine Plus Dexmedetomidine Infiltration for Post-Tonsillectomy Analgesia: A Randomized Controlled Trial","type":"article-journal","volume":"2022"},"uris":["http://www.mendeley.com/documents/?uuid=6bda621b-c8ed-427f-b08d-ac230cc72e5f"]}],"mendeley":{"formattedCitation":"&lt;sup&gt;17&lt;/sup&gt;","plainTextFormattedCitation":"17","previouslyFormattedCitation":"&lt;sup&gt;17&lt;/sup&gt;"},"properties":{"noteIndex":0},"schema":"https://github.com/citation-style-language/schema/raw/master/csl-citation.json"}</w:instrText>
      </w:r>
      <w:r>
        <w:rPr>
          <w:color w:val="131413"/>
          <w:lang w:val="en-US"/>
        </w:rPr>
        <w:fldChar w:fldCharType="separate"/>
      </w:r>
      <w:r w:rsidRPr="00374F09">
        <w:rPr>
          <w:noProof/>
          <w:color w:val="131413"/>
          <w:vertAlign w:val="superscript"/>
          <w:lang w:val="id-ID"/>
        </w:rPr>
        <w:t>17</w:t>
      </w:r>
      <w:r>
        <w:rPr>
          <w:color w:val="131413"/>
          <w:lang w:val="en-US"/>
        </w:rPr>
        <w:fldChar w:fldCharType="end"/>
      </w:r>
      <w:r>
        <w:rPr>
          <w:color w:val="131413"/>
          <w:lang w:val="id-ID"/>
        </w:rPr>
        <w:t xml:space="preserve"> Penelitian lain </w:t>
      </w:r>
      <w:r w:rsidRPr="00374F09">
        <w:rPr>
          <w:color w:val="131413"/>
          <w:lang w:val="id-ID"/>
        </w:rPr>
        <w:t xml:space="preserve">membuktikan </w:t>
      </w:r>
      <w:r>
        <w:rPr>
          <w:color w:val="131413"/>
          <w:lang w:val="id-ID"/>
        </w:rPr>
        <w:t>efek</w:t>
      </w:r>
      <w:r w:rsidRPr="00374F09">
        <w:rPr>
          <w:color w:val="131413"/>
          <w:lang w:val="id-ID"/>
        </w:rPr>
        <w:t xml:space="preserve"> analgesik infiltrasi Lidocaine 2%, Levobupivacaine 5% dan Dexmedetomidine, setelah tonsilektomi</w:t>
      </w:r>
      <w:r>
        <w:rPr>
          <w:color w:val="131413"/>
          <w:lang w:val="id-ID"/>
        </w:rPr>
        <w:t xml:space="preserve"> dengan hasil bahwa </w:t>
      </w:r>
      <w:r w:rsidRPr="00374F09">
        <w:rPr>
          <w:color w:val="131413"/>
          <w:lang w:val="id-ID"/>
        </w:rPr>
        <w:t>penggunaan campuran analgesik lokal yang dicampur dengan alfagonis 2 adrenergik</w:t>
      </w:r>
      <w:r>
        <w:rPr>
          <w:color w:val="131413"/>
          <w:lang w:val="id-ID"/>
        </w:rPr>
        <w:t xml:space="preserve"> disarankan pada pasien tonsilektomi</w:t>
      </w:r>
      <w:r w:rsidRPr="00374F09">
        <w:rPr>
          <w:color w:val="131413"/>
          <w:lang w:val="id-ID"/>
        </w:rPr>
        <w:t>.</w:t>
      </w:r>
      <w:r>
        <w:rPr>
          <w:color w:val="131413"/>
          <w:lang w:val="id-ID"/>
        </w:rPr>
        <w:t xml:space="preserve"> </w:t>
      </w:r>
      <w:r>
        <w:rPr>
          <w:rStyle w:val="rynqvb"/>
          <w:lang w:val="id-ID"/>
        </w:rPr>
        <w:t>Penggunaan anestesi lokal memfasilitasi pemulihan memberikan analgesia intra dan pasca operasi yang berkontribusi pada pengurangan konsumsi analgesik dan pengembalian lebih awal ke keadaan fungsional.</w:t>
      </w:r>
      <w:r>
        <w:rPr>
          <w:rStyle w:val="hwtze"/>
          <w:lang w:val="id-ID"/>
        </w:rPr>
        <w:t xml:space="preserve"> </w:t>
      </w:r>
      <w:r w:rsidRPr="00F426C1">
        <w:rPr>
          <w:color w:val="131413"/>
          <w:lang w:val="id-ID"/>
        </w:rPr>
        <w:t>Infiltrasi anestesi lokal menghalangi transmisi impuls nyeri</w:t>
      </w:r>
      <w:r>
        <w:rPr>
          <w:rStyle w:val="rynqvb"/>
          <w:lang w:val="id-ID"/>
        </w:rPr>
        <w:t xml:space="preserve">. Adregenik alfa menghasilkan analgesia karena efeknya pada penerima tanduk dorsal di sumsum tulang belakang. Gabungan keduanya memberikan kepuasan yang tinggi </w:t>
      </w:r>
      <w:r w:rsidRPr="00F426C1">
        <w:rPr>
          <w:rStyle w:val="rynqvb"/>
          <w:lang w:val="id-ID"/>
        </w:rPr>
        <w:t>pada</w:t>
      </w:r>
      <w:r>
        <w:rPr>
          <w:rStyle w:val="rynqvb"/>
          <w:lang w:val="id-ID"/>
        </w:rPr>
        <w:t xml:space="preserve"> pasien tonsilektomi</w:t>
      </w:r>
      <w:r>
        <w:rPr>
          <w:color w:val="131413"/>
          <w:lang w:val="id-ID"/>
        </w:rPr>
        <w:t>.</w:t>
      </w:r>
      <w:r>
        <w:rPr>
          <w:color w:val="131413"/>
          <w:lang w:val="en-US"/>
        </w:rPr>
        <w:fldChar w:fldCharType="begin" w:fldLock="1"/>
      </w:r>
      <w:r w:rsidRPr="00F426C1">
        <w:rPr>
          <w:color w:val="131413"/>
          <w:lang w:val="id-ID"/>
        </w:rPr>
        <w:instrText>ADDIN CSL_CITATION {"citationItems":[{"id":"ITEM-1","itemData":{"DOI":"10.15406/jaccoa.2015.03.00081","author":[{"dropping-particle":"","family":"Ferrer","given":"Sabina E R","non-dropping-particle":"","parse-names":false,"suffix":""},{"dropping-particle":"","family":"Campillo","given":"M","non-dropping-particle":"","parse-names":false,"suffix":""},{"dropping-particle":"","family":"García","given":"N","non-dropping-particle":"","parse-names":false,"suffix":""}],"container-title":"Journal of Anesthesia &amp; Critical Care: Open Access","id":"ITEM-1","issue":"1","issued":{"date-parts":[["2015"]]},"page":"5-6","title":"Infiltration with Lidocaine 2%, Dexmedetomidine + Levobupivacaine 5% for Post Tonsillectomy Analgesia","type":"article-journal","volume":"3"},"uris":["http://www.mendeley.com/documents/?uuid=119185ae-2006-46f3-aaa6-f16e206dc5ab"]}],"mendeley":{"formattedCitation":"&lt;sup&gt;63&lt;/sup&gt;","plainTextFormattedCitation":"63","previouslyFormattedCitation":"&lt;sup&gt;63&lt;/sup&gt;"},"properties":{"noteIndex":0},"schema":"https://github.com/citation-style-language/schema/raw/master/csl-citation.json"}</w:instrText>
      </w:r>
      <w:r>
        <w:rPr>
          <w:color w:val="131413"/>
          <w:lang w:val="en-US"/>
        </w:rPr>
        <w:fldChar w:fldCharType="separate"/>
      </w:r>
      <w:r w:rsidRPr="00F426C1">
        <w:rPr>
          <w:noProof/>
          <w:color w:val="131413"/>
          <w:vertAlign w:val="superscript"/>
          <w:lang w:val="id-ID"/>
        </w:rPr>
        <w:t>63</w:t>
      </w:r>
      <w:r>
        <w:rPr>
          <w:color w:val="131413"/>
          <w:lang w:val="en-US"/>
        </w:rPr>
        <w:fldChar w:fldCharType="end"/>
      </w:r>
    </w:p>
    <w:p w14:paraId="5CF6DE85" w14:textId="77777777" w:rsidR="003B79BC" w:rsidRDefault="00000000">
      <w:pPr>
        <w:spacing w:line="360" w:lineRule="auto"/>
        <w:ind w:firstLine="709"/>
        <w:jc w:val="both"/>
        <w:rPr>
          <w:color w:val="131413"/>
          <w:lang w:val="id-ID"/>
        </w:rPr>
      </w:pPr>
      <w:r>
        <w:rPr>
          <w:color w:val="131413"/>
          <w:lang w:val="id-ID"/>
        </w:rPr>
        <w:lastRenderedPageBreak/>
        <w:t>Penelitian lain mengevaluasi k</w:t>
      </w:r>
      <w:r w:rsidRPr="00F426C1">
        <w:rPr>
          <w:color w:val="131413"/>
          <w:lang w:val="id-ID"/>
        </w:rPr>
        <w:t>ualitas analgesia yang dihasilkan oleh infiltrasi peritonsiler levobupivacaine dengan deksametason atau dexmedetomidine pada anak yang menjalani operasi tonsilektomi</w:t>
      </w:r>
      <w:r>
        <w:rPr>
          <w:color w:val="131413"/>
          <w:lang w:val="id-ID"/>
        </w:rPr>
        <w:t xml:space="preserve"> dengan hasil bahwa</w:t>
      </w:r>
      <w:r w:rsidRPr="00F426C1">
        <w:rPr>
          <w:color w:val="131413"/>
          <w:lang w:val="id-ID"/>
        </w:rPr>
        <w:t xml:space="preserve"> infiltrasi peritonsil dari levobupivacaine ketika dicampur dengan deksametason atau dexmedetomidine untuk pasien yang menjalani tonsilektomi menghasilkan analgesia yang berkepanjangan.</w:t>
      </w:r>
      <w:r>
        <w:rPr>
          <w:color w:val="131413"/>
          <w:lang w:val="en-US"/>
        </w:rPr>
        <w:fldChar w:fldCharType="begin" w:fldLock="1"/>
      </w:r>
      <w:r w:rsidRPr="00F426C1">
        <w:rPr>
          <w:color w:val="131413"/>
          <w:lang w:val="id-ID"/>
        </w:rPr>
        <w:instrText>ADDIN CSL_CITATION {"citationItems":[{"id":"ITEM-1","itemData":{"DOI":"10.4103/roaic.roaic","author":[{"dropping-particle":"","family":"Hayes","given":"Salwa M S","non-dropping-particle":"","parse-names":false,"suffix":""},{"dropping-particle":"","family":"Atef","given":"Hisham","non-dropping-particle":"","parse-names":false,"suffix":""},{"dropping-particle":"","family":"El","given":"Hanaa M","non-dropping-particle":"","parse-names":false,"suffix":""}],"id":"ITEM-1","issued":{"date-parts":[["2022"]]},"page":"310-320","title":"Efficacy of peritonsillar infiltration of levobupivacaine- dexamethasone versus levobupivacaine-dexmedetomidine in children undergoing tonsillectomy surgery : a prospective , randomized double-blind study","type":"article-journal"},"uris":["http://www.mendeley.com/documents/?uuid=352f3d77-d45a-43ad-abb1-669e338cb17c"]}],"mendeley":{"formattedCitation":"&lt;sup&gt;64&lt;/sup&gt;","plainTextFormattedCitation":"64","previouslyFormattedCitation":"&lt;sup&gt;64&lt;/sup&gt;"},"properties":{"noteIndex":0},"schema":"https://github.com/citation-style-language/schema/raw/master/csl-citation.json"}</w:instrText>
      </w:r>
      <w:r>
        <w:rPr>
          <w:color w:val="131413"/>
          <w:lang w:val="en-US"/>
        </w:rPr>
        <w:fldChar w:fldCharType="separate"/>
      </w:r>
      <w:r>
        <w:rPr>
          <w:noProof/>
          <w:color w:val="131413"/>
          <w:vertAlign w:val="superscript"/>
          <w:lang w:val="en-US"/>
        </w:rPr>
        <w:t>64</w:t>
      </w:r>
      <w:r>
        <w:rPr>
          <w:color w:val="131413"/>
          <w:lang w:val="en-US"/>
        </w:rPr>
        <w:fldChar w:fldCharType="end"/>
      </w:r>
    </w:p>
    <w:p w14:paraId="05C38457" w14:textId="77777777" w:rsidR="003B79BC" w:rsidRDefault="003B79BC">
      <w:pPr>
        <w:spacing w:after="200" w:line="276" w:lineRule="auto"/>
        <w:rPr>
          <w:rFonts w:asciiTheme="majorBidi" w:eastAsiaTheme="minorEastAsia" w:hAnsiTheme="majorBidi" w:cstheme="majorBidi"/>
          <w:b/>
          <w:bCs/>
          <w:color w:val="000000" w:themeColor="text1"/>
          <w:lang w:eastAsia="zh-CN"/>
        </w:rPr>
      </w:pPr>
    </w:p>
    <w:p w14:paraId="38B89FEC" w14:textId="77777777" w:rsidR="003B79BC" w:rsidRDefault="00000000">
      <w:pPr>
        <w:pStyle w:val="Heading2"/>
        <w:rPr>
          <w:rFonts w:cs="Times New Roman"/>
          <w:b w:val="0"/>
          <w:bCs/>
          <w:szCs w:val="24"/>
          <w:lang w:eastAsia="zh-CN"/>
        </w:rPr>
      </w:pPr>
      <w:bookmarkStart w:id="51" w:name="_Toc136720479"/>
      <w:bookmarkStart w:id="52" w:name="_Toc158290260"/>
      <w:r>
        <w:rPr>
          <w:rFonts w:cs="Times New Roman"/>
          <w:bCs/>
          <w:szCs w:val="24"/>
          <w:lang w:eastAsia="zh-CN"/>
        </w:rPr>
        <w:t>2.5. Interleukin 6 (IL-6)</w:t>
      </w:r>
      <w:bookmarkEnd w:id="51"/>
      <w:bookmarkEnd w:id="52"/>
    </w:p>
    <w:p w14:paraId="1DDC01EB" w14:textId="77777777" w:rsidR="003B79BC" w:rsidRDefault="00000000">
      <w:pPr>
        <w:spacing w:line="360" w:lineRule="auto"/>
        <w:ind w:firstLine="709"/>
        <w:jc w:val="both"/>
        <w:rPr>
          <w:rFonts w:eastAsiaTheme="minorEastAsia"/>
          <w:color w:val="000000" w:themeColor="text1"/>
          <w:lang w:eastAsia="zh-CN"/>
        </w:rPr>
      </w:pPr>
      <w:proofErr w:type="spellStart"/>
      <w:r>
        <w:rPr>
          <w:color w:val="000000" w:themeColor="text1"/>
          <w:lang w:val="en-US" w:eastAsia="zh-CN"/>
        </w:rPr>
        <w:t>Sitokin</w:t>
      </w:r>
      <w:proofErr w:type="spellEnd"/>
      <w:r>
        <w:rPr>
          <w:color w:val="000000" w:themeColor="text1"/>
          <w:lang w:eastAsia="zh-CN"/>
        </w:rPr>
        <w:t xml:space="preserve"> proinflamasi interleukin-6 (IL-6) </w:t>
      </w:r>
      <w:proofErr w:type="spellStart"/>
      <w:r>
        <w:rPr>
          <w:color w:val="000000" w:themeColor="text1"/>
          <w:lang w:val="en-US" w:eastAsia="zh-CN"/>
        </w:rPr>
        <w:t>memiliki</w:t>
      </w:r>
      <w:proofErr w:type="spellEnd"/>
      <w:r>
        <w:rPr>
          <w:color w:val="000000" w:themeColor="text1"/>
          <w:lang w:val="en-US" w:eastAsia="zh-CN"/>
        </w:rPr>
        <w:t xml:space="preserve"> </w:t>
      </w:r>
      <w:proofErr w:type="spellStart"/>
      <w:r>
        <w:rPr>
          <w:color w:val="000000" w:themeColor="text1"/>
          <w:lang w:val="en-US" w:eastAsia="zh-CN"/>
        </w:rPr>
        <w:t>peran</w:t>
      </w:r>
      <w:proofErr w:type="spellEnd"/>
      <w:r>
        <w:rPr>
          <w:color w:val="000000" w:themeColor="text1"/>
          <w:lang w:eastAsia="zh-CN"/>
        </w:rPr>
        <w:t xml:space="preserve"> penting </w:t>
      </w:r>
      <w:r>
        <w:rPr>
          <w:color w:val="000000" w:themeColor="text1"/>
          <w:lang w:val="id" w:eastAsia="zh-CN"/>
        </w:rPr>
        <w:t>dalam</w:t>
      </w:r>
      <w:r>
        <w:rPr>
          <w:color w:val="000000" w:themeColor="text1"/>
          <w:lang w:eastAsia="zh-CN"/>
        </w:rPr>
        <w:t xml:space="preserve"> pengembangan, diferensiasi, regenerasi dan degenerasi </w:t>
      </w:r>
      <w:proofErr w:type="spellStart"/>
      <w:r>
        <w:rPr>
          <w:color w:val="000000" w:themeColor="text1"/>
          <w:lang w:val="en-US" w:eastAsia="zh-CN"/>
        </w:rPr>
        <w:t>sel</w:t>
      </w:r>
      <w:proofErr w:type="spellEnd"/>
      <w:r>
        <w:rPr>
          <w:color w:val="000000" w:themeColor="text1"/>
          <w:lang w:val="en-US" w:eastAsia="zh-CN"/>
        </w:rPr>
        <w:t xml:space="preserve"> </w:t>
      </w:r>
      <w:r>
        <w:rPr>
          <w:color w:val="000000" w:themeColor="text1"/>
          <w:lang w:eastAsia="zh-CN"/>
        </w:rPr>
        <w:t xml:space="preserve">neuron tetapi bertindak sebagai molekul dengan potensi menguntungkan dan merusak. IL-6 </w:t>
      </w:r>
      <w:proofErr w:type="spellStart"/>
      <w:r>
        <w:rPr>
          <w:color w:val="000000" w:themeColor="text1"/>
          <w:lang w:val="en-US" w:eastAsia="zh-CN"/>
        </w:rPr>
        <w:t>bekerja</w:t>
      </w:r>
      <w:proofErr w:type="spellEnd"/>
      <w:r>
        <w:rPr>
          <w:color w:val="000000" w:themeColor="text1"/>
          <w:lang w:eastAsia="zh-CN"/>
        </w:rPr>
        <w:t xml:space="preserve"> </w:t>
      </w:r>
      <w:proofErr w:type="spellStart"/>
      <w:r>
        <w:rPr>
          <w:color w:val="000000" w:themeColor="text1"/>
          <w:lang w:val="en-US" w:eastAsia="zh-CN"/>
        </w:rPr>
        <w:t>antagonis</w:t>
      </w:r>
      <w:proofErr w:type="spellEnd"/>
      <w:r>
        <w:rPr>
          <w:color w:val="000000" w:themeColor="text1"/>
          <w:lang w:eastAsia="zh-CN"/>
        </w:rPr>
        <w:t xml:space="preserve"> </w:t>
      </w:r>
      <w:r>
        <w:rPr>
          <w:color w:val="000000" w:themeColor="text1"/>
          <w:lang w:val="en-US" w:eastAsia="zh-CN"/>
        </w:rPr>
        <w:t xml:space="preserve">dengan </w:t>
      </w:r>
      <w:r>
        <w:rPr>
          <w:color w:val="000000" w:themeColor="text1"/>
          <w:lang w:eastAsia="zh-CN"/>
        </w:rPr>
        <w:t>kelangsungan hidup</w:t>
      </w:r>
      <w:r>
        <w:rPr>
          <w:color w:val="000000" w:themeColor="text1"/>
          <w:lang w:val="en-US" w:eastAsia="zh-CN"/>
        </w:rPr>
        <w:t xml:space="preserve"> </w:t>
      </w:r>
      <w:proofErr w:type="spellStart"/>
      <w:r>
        <w:rPr>
          <w:color w:val="000000" w:themeColor="text1"/>
          <w:lang w:val="en-US" w:eastAsia="zh-CN"/>
        </w:rPr>
        <w:t>sel</w:t>
      </w:r>
      <w:proofErr w:type="spellEnd"/>
      <w:r>
        <w:rPr>
          <w:color w:val="000000" w:themeColor="text1"/>
          <w:lang w:eastAsia="zh-CN"/>
        </w:rPr>
        <w:t xml:space="preserve"> saraf setelah cedera atau menyebabkan degenerasi saraf dan kematian </w:t>
      </w:r>
      <w:proofErr w:type="spellStart"/>
      <w:r>
        <w:rPr>
          <w:color w:val="000000" w:themeColor="text1"/>
          <w:lang w:val="en-US" w:eastAsia="zh-CN"/>
        </w:rPr>
        <w:t>sel</w:t>
      </w:r>
      <w:proofErr w:type="spellEnd"/>
      <w:r>
        <w:rPr>
          <w:color w:val="000000" w:themeColor="text1"/>
          <w:lang w:eastAsia="zh-CN"/>
        </w:rPr>
        <w:t>. IL-6</w:t>
      </w:r>
      <w:r>
        <w:rPr>
          <w:color w:val="000000" w:themeColor="text1"/>
          <w:lang w:val="en-US" w:eastAsia="zh-CN"/>
        </w:rPr>
        <w:t xml:space="preserve"> </w:t>
      </w:r>
      <w:proofErr w:type="spellStart"/>
      <w:r>
        <w:rPr>
          <w:color w:val="000000" w:themeColor="text1"/>
          <w:lang w:val="en-US" w:eastAsia="zh-CN"/>
        </w:rPr>
        <w:t>diproduksi</w:t>
      </w:r>
      <w:proofErr w:type="spellEnd"/>
      <w:r>
        <w:rPr>
          <w:color w:val="000000" w:themeColor="text1"/>
          <w:lang w:val="en-US" w:eastAsia="zh-CN"/>
        </w:rPr>
        <w:t xml:space="preserve"> dalam</w:t>
      </w:r>
      <w:r>
        <w:rPr>
          <w:color w:val="000000" w:themeColor="text1"/>
          <w:lang w:eastAsia="zh-CN"/>
        </w:rPr>
        <w:t xml:space="preserve"> sel imun termasuk makrofag, sel glial dan neuron. IL-6 bekerja melalui transduser sinyal IL-6 umum gp130/IL6ST, IL-6 dengan subunit pengikat (IL-6R) merupakan kompleks reseptor homomerik gp130/ IL6ST untuk mengatur inflamasi. </w:t>
      </w:r>
      <w:r>
        <w:rPr>
          <w:color w:val="000000" w:themeColor="text1"/>
        </w:rPr>
        <w:t>Sinyal IL-6 yang berkumpul pada jalur pensinyalan di neuron sangat penting untuk tindakan proregeneratif neurotropin, seperti faktor pertumbuhan saraf (NGF).</w:t>
      </w:r>
      <w:r>
        <w:rPr>
          <w:color w:val="000000" w:themeColor="text1"/>
        </w:rPr>
        <w:fldChar w:fldCharType="begin" w:fldLock="1"/>
      </w:r>
      <w:r>
        <w:rPr>
          <w:color w:val="000000" w:themeColor="text1"/>
        </w:rPr>
        <w:instrText>ADDIN CSL_CITATION {"citationItems":[{"id":"ITEM-1","itemData":{"DOI":"10.2147/OARRR.S291388","ISSN":"1179156X","abstract":"Pain is a major and common symptom reported as a top priority in patients with rheumatoid arthritis (RA). Intuitively, RA-related pain is often considered to be a natural conse-quence of peripheral inflammation, so treatment of RA is expected to manage pain concurrently as part of inflammation control. However, pain in patients with RA can be poorly correlated with objective measures of inflammation, for example, in patients who are otherwise in remission. Joint damage appears to account for only a fraction of this residual pain. Emerging evidence suggests that alteration of peripheral and central pain processing contributes to RA-related pain; this is parallel to, but somewhat independent of, joint inflammation. Interleukin (IL)-6 is a proinflammatory cytokine that contributes to the pathogenesis of RA. It exerts systemic effects via signaling through soluble forms of the IL-6 receptor (“trans-signaling”). Evidence from preclinical studies demonstrates that intra-articular IL-6 can produce long-lasting peripheral sensitization to mechanical stimulation and suggests an important role for IL-6 in central pain sensitization. This may be partly explained by its ability to activate neurons through trans-signaling, affecting nociceptive plasticity and ner</w:instrText>
      </w:r>
      <w:r>
        <w:rPr>
          <w:color w:val="000000" w:themeColor="text1"/>
          <w:lang w:eastAsia="zh-CN"/>
        </w:rPr>
        <w:instrText>ve fiber regrowth. Local activity at neuron endings may culminate in altered pain processing in the central nervous system because of persistent signaling from sensitized peripheral neurons. Peripheral and central sensitization can promote the development of chronic pain, which can have a significant impact on patients’ health and quality of life. A proportion of pain in RA may be more appropriately managed as an entity separate from inflammation. Both the peripheral and central nervous systems should be recognized as important potential systems targeted by RA. The substantial burden of RA-related chronic pain suggests that pain should be a key focus in RA management and should be assessed and addressed early and separately from the inflammatory component.","author":[{"dropping-particle":"","family":"Sebba","given":"Anthony","non-dropping-particle":"","parse-names":false,"suffix":""}],"container-title":"Open Access Rheumatology: Research and Reviews","id":"ITEM-1","issued":{"date-parts":[["2021"]]},"page":"31-43","title":"Pain: A review of interleukin-6 and its roles in the pain of rheumatoid arthritis","type":"article-journal","volume":"13"},"uris":["http://www.mendeley.com/documents/?uuid=38ac5037-7aca-4c86-b4b8-3e71ec72c645"]}],"mendeley":{"formattedCitation":"&lt;sup&gt;18&lt;/sup&gt;","plainTextFormattedCitation":"18","previouslyFormattedCitation":"&lt;sup&gt;18&lt;/sup&gt;"},"properties":{"noteIndex":0},"schema":"https://github.com/citation-style-language/schema/raw/master/csl-citation.json"}</w:instrText>
      </w:r>
      <w:r>
        <w:rPr>
          <w:color w:val="000000" w:themeColor="text1"/>
        </w:rPr>
        <w:fldChar w:fldCharType="separate"/>
      </w:r>
      <w:r>
        <w:rPr>
          <w:noProof/>
          <w:color w:val="000000" w:themeColor="text1"/>
          <w:vertAlign w:val="superscript"/>
          <w:lang w:eastAsia="zh-CN"/>
        </w:rPr>
        <w:t>18</w:t>
      </w:r>
      <w:r>
        <w:rPr>
          <w:color w:val="000000" w:themeColor="text1"/>
        </w:rPr>
        <w:fldChar w:fldCharType="end"/>
      </w:r>
    </w:p>
    <w:p w14:paraId="1C425E67" w14:textId="77777777" w:rsidR="003B79BC" w:rsidRDefault="003B79BC">
      <w:pPr>
        <w:spacing w:line="360" w:lineRule="auto"/>
        <w:ind w:firstLine="709"/>
        <w:jc w:val="both"/>
        <w:rPr>
          <w:rFonts w:eastAsiaTheme="minorEastAsia"/>
          <w:color w:val="000000" w:themeColor="text1"/>
          <w:vertAlign w:val="superscript"/>
          <w:lang w:val="en-US" w:eastAsia="zh-CN"/>
        </w:rPr>
      </w:pPr>
    </w:p>
    <w:p w14:paraId="392C5A94" w14:textId="77777777" w:rsidR="003B79BC" w:rsidRDefault="00000000">
      <w:pPr>
        <w:pStyle w:val="Heading3"/>
        <w:ind w:left="450" w:hanging="360"/>
        <w:rPr>
          <w:color w:val="000000" w:themeColor="text1"/>
          <w:lang w:eastAsia="zh-CN"/>
        </w:rPr>
      </w:pPr>
      <w:bookmarkStart w:id="53" w:name="_Toc136720481"/>
      <w:bookmarkStart w:id="54" w:name="_Toc158290261"/>
      <w:r>
        <w:rPr>
          <w:color w:val="000000" w:themeColor="text1"/>
          <w:lang w:eastAsia="zh-CN"/>
        </w:rPr>
        <w:t>2.5.</w:t>
      </w:r>
      <w:r w:rsidRPr="00374F09">
        <w:rPr>
          <w:color w:val="000000" w:themeColor="text1"/>
          <w:lang w:val="pt-BR" w:eastAsia="zh-CN"/>
        </w:rPr>
        <w:t>1</w:t>
      </w:r>
      <w:r>
        <w:rPr>
          <w:color w:val="000000" w:themeColor="text1"/>
          <w:lang w:eastAsia="zh-CN"/>
        </w:rPr>
        <w:t xml:space="preserve">. Peran IL-6 </w:t>
      </w:r>
      <w:r w:rsidRPr="00374F09">
        <w:rPr>
          <w:color w:val="000000" w:themeColor="text1"/>
          <w:lang w:val="pt-BR" w:eastAsia="zh-CN"/>
        </w:rPr>
        <w:t>p</w:t>
      </w:r>
      <w:r>
        <w:rPr>
          <w:color w:val="000000" w:themeColor="text1"/>
          <w:lang w:eastAsia="zh-CN"/>
        </w:rPr>
        <w:t>ada Inflamasi</w:t>
      </w:r>
      <w:bookmarkEnd w:id="53"/>
      <w:bookmarkEnd w:id="54"/>
    </w:p>
    <w:p w14:paraId="759BAC57" w14:textId="77777777" w:rsidR="003B79BC" w:rsidRDefault="00000000">
      <w:pPr>
        <w:spacing w:line="360" w:lineRule="auto"/>
        <w:jc w:val="both"/>
        <w:rPr>
          <w:rStyle w:val="markedcontent"/>
          <w:color w:val="000000" w:themeColor="text1"/>
          <w:lang w:val="id"/>
        </w:rPr>
      </w:pPr>
      <w:r w:rsidRPr="00374F09">
        <w:rPr>
          <w:color w:val="000000" w:themeColor="text1"/>
          <w:lang w:val="pt-BR" w:eastAsia="zh-CN"/>
        </w:rPr>
        <w:tab/>
        <w:t>P</w:t>
      </w:r>
      <w:r>
        <w:rPr>
          <w:rStyle w:val="markedcontent"/>
          <w:color w:val="000000" w:themeColor="text1"/>
          <w:lang w:eastAsia="zh-CN"/>
        </w:rPr>
        <w:t xml:space="preserve">eran </w:t>
      </w:r>
      <w:r>
        <w:rPr>
          <w:rStyle w:val="markedcontent"/>
          <w:color w:val="000000" w:themeColor="text1"/>
          <w:lang w:val="id" w:eastAsia="zh-CN"/>
        </w:rPr>
        <w:t xml:space="preserve">IL-6 </w:t>
      </w:r>
      <w:r w:rsidRPr="00374F09">
        <w:rPr>
          <w:rStyle w:val="markedcontent"/>
          <w:color w:val="000000" w:themeColor="text1"/>
          <w:lang w:val="pt-BR" w:eastAsia="zh-CN"/>
        </w:rPr>
        <w:t>p</w:t>
      </w:r>
      <w:r>
        <w:rPr>
          <w:rStyle w:val="markedcontent"/>
          <w:color w:val="000000" w:themeColor="text1"/>
          <w:lang w:val="id" w:eastAsia="zh-CN"/>
        </w:rPr>
        <w:t xml:space="preserve">roinflamasi dalam </w:t>
      </w:r>
      <w:r>
        <w:rPr>
          <w:color w:val="000000" w:themeColor="text1"/>
          <w:lang w:eastAsia="zh-CN"/>
        </w:rPr>
        <w:t>respons</w:t>
      </w:r>
      <w:r>
        <w:rPr>
          <w:rStyle w:val="markedcontent"/>
          <w:color w:val="000000" w:themeColor="text1"/>
          <w:lang w:val="id" w:eastAsia="zh-CN"/>
        </w:rPr>
        <w:t xml:space="preserve"> inflamas</w:t>
      </w:r>
      <w:r w:rsidRPr="00374F09">
        <w:rPr>
          <w:rStyle w:val="markedcontent"/>
          <w:color w:val="000000" w:themeColor="text1"/>
          <w:lang w:val="pt-BR" w:eastAsia="zh-CN"/>
        </w:rPr>
        <w:t xml:space="preserve">i yaitu dengan </w:t>
      </w:r>
      <w:r>
        <w:rPr>
          <w:rStyle w:val="markedcontent"/>
          <w:color w:val="000000" w:themeColor="text1"/>
          <w:lang w:val="id" w:eastAsia="zh-CN"/>
        </w:rPr>
        <w:t xml:space="preserve">menginduksi hipersensitivitas </w:t>
      </w:r>
      <w:r>
        <w:rPr>
          <w:rStyle w:val="markedcontent"/>
          <w:color w:val="000000" w:themeColor="text1"/>
          <w:lang w:eastAsia="zh-CN"/>
        </w:rPr>
        <w:t>mekanik</w:t>
      </w:r>
      <w:r>
        <w:rPr>
          <w:rStyle w:val="markedcontent"/>
          <w:color w:val="000000" w:themeColor="text1"/>
          <w:lang w:val="id" w:eastAsia="zh-CN"/>
        </w:rPr>
        <w:t xml:space="preserve"> dan termal</w:t>
      </w:r>
      <w:r>
        <w:rPr>
          <w:rStyle w:val="markedcontent"/>
          <w:color w:val="000000" w:themeColor="text1"/>
          <w:lang w:eastAsia="zh-CN"/>
        </w:rPr>
        <w:t xml:space="preserve">. Hal ini </w:t>
      </w:r>
      <w:proofErr w:type="spellStart"/>
      <w:r>
        <w:rPr>
          <w:rStyle w:val="markedcontent"/>
          <w:color w:val="000000" w:themeColor="text1"/>
          <w:lang w:val="en-US" w:eastAsia="zh-CN"/>
        </w:rPr>
        <w:t>disebabkan</w:t>
      </w:r>
      <w:proofErr w:type="spellEnd"/>
      <w:r>
        <w:rPr>
          <w:rStyle w:val="markedcontent"/>
          <w:color w:val="000000" w:themeColor="text1"/>
          <w:lang w:val="en-US" w:eastAsia="zh-CN"/>
        </w:rPr>
        <w:t xml:space="preserve"> oleh </w:t>
      </w:r>
      <w:r>
        <w:rPr>
          <w:rStyle w:val="markedcontent"/>
          <w:color w:val="000000" w:themeColor="text1"/>
          <w:lang w:eastAsia="zh-CN"/>
        </w:rPr>
        <w:t xml:space="preserve"> </w:t>
      </w:r>
      <w:r>
        <w:rPr>
          <w:rStyle w:val="markedcontent"/>
          <w:color w:val="000000" w:themeColor="text1"/>
          <w:lang w:val="id" w:eastAsia="zh-CN"/>
        </w:rPr>
        <w:t>kepekaan no</w:t>
      </w:r>
      <w:r>
        <w:rPr>
          <w:rStyle w:val="markedcontent"/>
          <w:color w:val="000000" w:themeColor="text1"/>
          <w:lang w:eastAsia="zh-CN"/>
        </w:rPr>
        <w:t>s</w:t>
      </w:r>
      <w:r>
        <w:rPr>
          <w:rStyle w:val="markedcontent"/>
          <w:color w:val="000000" w:themeColor="text1"/>
          <w:lang w:val="id" w:eastAsia="zh-CN"/>
        </w:rPr>
        <w:t>i</w:t>
      </w:r>
      <w:r>
        <w:rPr>
          <w:rStyle w:val="markedcontent"/>
          <w:color w:val="000000" w:themeColor="text1"/>
          <w:lang w:eastAsia="zh-CN"/>
        </w:rPr>
        <w:t>s</w:t>
      </w:r>
      <w:r>
        <w:rPr>
          <w:rStyle w:val="markedcontent"/>
          <w:color w:val="000000" w:themeColor="text1"/>
          <w:lang w:val="id" w:eastAsia="zh-CN"/>
        </w:rPr>
        <w:t xml:space="preserve">eptor terhadap rangsangan </w:t>
      </w:r>
      <w:r>
        <w:rPr>
          <w:rStyle w:val="markedcontent"/>
          <w:color w:val="000000" w:themeColor="text1"/>
          <w:lang w:eastAsia="zh-CN"/>
        </w:rPr>
        <w:t xml:space="preserve">mekanik </w:t>
      </w:r>
      <w:r>
        <w:rPr>
          <w:rStyle w:val="markedcontent"/>
          <w:color w:val="000000" w:themeColor="text1"/>
          <w:lang w:val="id" w:eastAsia="zh-CN"/>
        </w:rPr>
        <w:t>dan termal yang dimediasi oleh aktivasi kinase dan regulasi dari saluran ion atau faktor inisiasi terjemahan eukariotik</w:t>
      </w:r>
      <w:r>
        <w:rPr>
          <w:rStyle w:val="markedcontent"/>
          <w:color w:val="000000" w:themeColor="text1"/>
          <w:lang w:eastAsia="zh-CN"/>
        </w:rPr>
        <w:t xml:space="preserve">. </w:t>
      </w:r>
      <w:r>
        <w:rPr>
          <w:rStyle w:val="markedcontent"/>
          <w:color w:val="000000" w:themeColor="text1"/>
          <w:lang w:val="id" w:eastAsia="zh-CN"/>
        </w:rPr>
        <w:t xml:space="preserve">IL-6 </w:t>
      </w:r>
      <w:r>
        <w:rPr>
          <w:rStyle w:val="markedcontent"/>
          <w:color w:val="000000" w:themeColor="text1"/>
          <w:lang w:eastAsia="zh-CN"/>
        </w:rPr>
        <w:t>menyebabkan</w:t>
      </w:r>
      <w:r>
        <w:rPr>
          <w:rStyle w:val="markedcontent"/>
          <w:color w:val="000000" w:themeColor="text1"/>
          <w:lang w:val="id" w:eastAsia="zh-CN"/>
        </w:rPr>
        <w:t xml:space="preserve"> peradangan dan kepekaan neuron sensorik nosiseptif pada artritis yang diinduksi antigen </w:t>
      </w:r>
      <w:r>
        <w:rPr>
          <w:rStyle w:val="markedcontent"/>
          <w:color w:val="000000" w:themeColor="text1"/>
          <w:lang w:val="en-US" w:eastAsia="zh-CN"/>
        </w:rPr>
        <w:t>dan juga</w:t>
      </w:r>
      <w:r>
        <w:rPr>
          <w:rStyle w:val="markedcontent"/>
          <w:color w:val="000000" w:themeColor="text1"/>
          <w:lang w:val="id" w:eastAsia="zh-CN"/>
        </w:rPr>
        <w:t xml:space="preserve"> bertindak sebagai penguat </w:t>
      </w:r>
      <w:proofErr w:type="spellStart"/>
      <w:r>
        <w:rPr>
          <w:rStyle w:val="markedcontent"/>
          <w:color w:val="000000" w:themeColor="text1"/>
          <w:lang w:val="en-US" w:eastAsia="zh-CN"/>
        </w:rPr>
        <w:t>sensasi</w:t>
      </w:r>
      <w:proofErr w:type="spellEnd"/>
      <w:r>
        <w:rPr>
          <w:rStyle w:val="markedcontent"/>
          <w:color w:val="000000" w:themeColor="text1"/>
          <w:lang w:val="en-US" w:eastAsia="zh-CN"/>
        </w:rPr>
        <w:t xml:space="preserve"> </w:t>
      </w:r>
      <w:r>
        <w:rPr>
          <w:rStyle w:val="markedcontent"/>
          <w:color w:val="000000" w:themeColor="text1"/>
          <w:lang w:val="id" w:eastAsia="zh-CN"/>
        </w:rPr>
        <w:t>nyeri pada tingkat sumsum tulang belakang dan dikaitkan dengan defisit mental pada pasien radang sendi.</w:t>
      </w:r>
      <w:r>
        <w:rPr>
          <w:rStyle w:val="markedcontent"/>
          <w:color w:val="000000" w:themeColor="text1"/>
          <w:lang w:val="id"/>
        </w:rPr>
        <w:fldChar w:fldCharType="begin" w:fldLock="1"/>
      </w:r>
      <w:r>
        <w:rPr>
          <w:rStyle w:val="markedcontent"/>
          <w:color w:val="000000" w:themeColor="text1"/>
          <w:lang w:val="id" w:eastAsia="zh-CN"/>
        </w:rPr>
        <w:instrText>ADDIN CSL_CITATION {"citationItems":[{"id":"ITEM-1","itemData":{"DOI":"10.1016/j.cyto.2021.155582","ISSN":"10960023","PMID":"34058569","abstract":"The pleiotropic cytokine interleukin-6 (IL-6) is emerging as a molecule with both beneficial and destructive potentials. It can exert opposing actions triggering either neuron survival after injury or causing neurodegeneration and cell death in neurodegenerative or neuropathic disorders. Importantly, neurons respond differently to IL-6 and this critically depends on their environment and whether they are located in the peripheral or the central nervous system. In addition to its hub regulator role in inflammation, IL-6 is recently emerging as an important regulator of neuron function in health and disease, offering exciting possibilities for more mechanistic insight into the pathogenesis of mental, neurodegenerative and pain disorders and for developing novel therapies for diseases with neuroimmune and neurogenic pathogenic components.","author":[{"dropping-particle":"","family":"Kummer","given":"Kai K.","non-dropping-particle":"","parse-names":false,"suffix":""},{"dropping-particle":"","family":"Zeidler","given":"Maximilian","non-dropping-particle":"","parse-names":false,"suffix":""},{"dropping-particle":"","family":"Kalpachidou","given":"Theodora","non-dropping-particle":"","parse-names":false,"suffix":""},{"dropping-particle":"","family":"Kress","given":"Michaela","non-dropping-particle":"","parse-names":false,"suffix":""}],"container-title":"Cytokine","id":"ITEM-1","issue":"4","issued":{"date-parts":[["2021"]]},"page":"82-89","publisher":"Elsevier Ltd","title":"Role of IL-6 in the regulation of neuronal development, survival and function","type":"article-journal","volume":"144"},"uris":["http://www.mendeley.com/documents/?uuid=84dd40ab-ac98-47bc-84ad-e0a13e9b250e"]}],"mendeley":{"formattedCitation":"&lt;sup&gt;65&lt;/sup&gt;","plainTextFormattedCitation":"65","previouslyFormattedCitation":"&lt;sup&gt;65&lt;/sup&gt;"},"properties":{"noteIndex":0},"schema":"https://github.com/citation-style-language/schema/raw/master/csl-citation.json"}</w:instrText>
      </w:r>
      <w:r>
        <w:rPr>
          <w:rStyle w:val="markedcontent"/>
          <w:color w:val="000000" w:themeColor="text1"/>
          <w:lang w:val="id"/>
        </w:rPr>
        <w:fldChar w:fldCharType="separate"/>
      </w:r>
      <w:r>
        <w:rPr>
          <w:rStyle w:val="markedcontent"/>
          <w:noProof/>
          <w:color w:val="000000" w:themeColor="text1"/>
          <w:vertAlign w:val="superscript"/>
          <w:lang w:val="id"/>
        </w:rPr>
        <w:t>65</w:t>
      </w:r>
      <w:r>
        <w:rPr>
          <w:rStyle w:val="markedcontent"/>
          <w:color w:val="000000" w:themeColor="text1"/>
          <w:lang w:val="id"/>
        </w:rPr>
        <w:fldChar w:fldCharType="end"/>
      </w:r>
    </w:p>
    <w:p w14:paraId="702F77DE" w14:textId="77777777" w:rsidR="003B79BC" w:rsidRPr="00F426C1" w:rsidRDefault="003B79BC">
      <w:pPr>
        <w:spacing w:line="360" w:lineRule="auto"/>
        <w:ind w:left="720" w:hanging="720"/>
        <w:jc w:val="both"/>
        <w:rPr>
          <w:rStyle w:val="markedcontent"/>
          <w:color w:val="000000" w:themeColor="text1"/>
          <w:vertAlign w:val="superscript"/>
          <w:lang w:val="id"/>
        </w:rPr>
      </w:pPr>
    </w:p>
    <w:p w14:paraId="68168000" w14:textId="77777777" w:rsidR="003B79BC" w:rsidRDefault="00000000">
      <w:pPr>
        <w:pStyle w:val="Heading3"/>
        <w:ind w:left="90"/>
        <w:rPr>
          <w:rStyle w:val="markedcontent"/>
          <w:color w:val="000000" w:themeColor="text1"/>
        </w:rPr>
      </w:pPr>
      <w:bookmarkStart w:id="55" w:name="_Toc136720482"/>
      <w:bookmarkStart w:id="56" w:name="_Toc158290262"/>
      <w:r>
        <w:rPr>
          <w:rStyle w:val="markedcontent"/>
          <w:color w:val="000000" w:themeColor="text1"/>
        </w:rPr>
        <w:lastRenderedPageBreak/>
        <w:t>2.5.</w:t>
      </w:r>
      <w:r w:rsidRPr="00F426C1">
        <w:rPr>
          <w:rStyle w:val="markedcontent"/>
          <w:color w:val="000000" w:themeColor="text1"/>
          <w:lang w:val="id"/>
        </w:rPr>
        <w:t>2</w:t>
      </w:r>
      <w:r>
        <w:rPr>
          <w:rStyle w:val="markedcontent"/>
          <w:color w:val="000000" w:themeColor="text1"/>
        </w:rPr>
        <w:t xml:space="preserve">. Peran IL-6 </w:t>
      </w:r>
      <w:r w:rsidRPr="00F426C1">
        <w:rPr>
          <w:rStyle w:val="markedcontent"/>
          <w:color w:val="000000" w:themeColor="text1"/>
          <w:lang w:val="id"/>
        </w:rPr>
        <w:t>p</w:t>
      </w:r>
      <w:r>
        <w:rPr>
          <w:rStyle w:val="markedcontent"/>
          <w:color w:val="000000" w:themeColor="text1"/>
        </w:rPr>
        <w:t>ada Mekanisme Nyeri</w:t>
      </w:r>
      <w:bookmarkEnd w:id="55"/>
      <w:bookmarkEnd w:id="56"/>
    </w:p>
    <w:p w14:paraId="42395FAF" w14:textId="77777777" w:rsidR="003B79BC" w:rsidRPr="00F426C1" w:rsidRDefault="00000000">
      <w:pPr>
        <w:spacing w:line="360" w:lineRule="auto"/>
        <w:jc w:val="both"/>
        <w:rPr>
          <w:color w:val="000000" w:themeColor="text1"/>
          <w:vertAlign w:val="superscript"/>
          <w:lang w:val="id"/>
        </w:rPr>
      </w:pPr>
      <w:r w:rsidRPr="00F426C1">
        <w:rPr>
          <w:rStyle w:val="markedcontent"/>
          <w:color w:val="000000" w:themeColor="text1"/>
          <w:lang w:val="id"/>
        </w:rPr>
        <w:tab/>
      </w:r>
      <w:bookmarkStart w:id="57" w:name="_Hlk116807499"/>
      <w:bookmarkStart w:id="58" w:name="_Hlk158212494"/>
      <w:r>
        <w:rPr>
          <w:rStyle w:val="markedcontent"/>
          <w:color w:val="000000" w:themeColor="text1"/>
        </w:rPr>
        <w:t>IL-6 secara umum berperan pada mekanisme nyeri dan hipersensitivitas berhubungan dengan peradangan dan neuropati dengan berinteraksi tidak hanya dengan sel imun dan sel glia tetapi juga neuron di sepanjang jalur nyeri.</w:t>
      </w:r>
      <w:r>
        <w:rPr>
          <w:rStyle w:val="markedcontent"/>
          <w:color w:val="000000" w:themeColor="text1"/>
        </w:rPr>
        <w:fldChar w:fldCharType="begin" w:fldLock="1"/>
      </w:r>
      <w:r>
        <w:rPr>
          <w:rStyle w:val="markedcontent"/>
          <w:color w:val="000000" w:themeColor="text1"/>
        </w:rPr>
        <w:instrText>ADDIN CSL_CITATION {"citationItems":[{"id":"ITEM-1","itemData":{"DOI":"10.2147/OARRR.S291388","ISSN":"1179156X","abstract":"Pain is a major and common symptom reported as a top priority in patients with rheumatoid arthritis (RA). Intuitively, RA-related pain is often considered to be a natural conse-quence of peripheral inflammation, so treatment of RA is expected to manage pain concurrently as part of inflammation control. However, pain in patients with RA can be poorly correlated with objective measures of inflammation, for example, in patients who are otherwise in remission. Joint damage appears to account for only a fraction of this residual pain. Emerging evidence suggests that alteration of peripheral and central pain processing contributes to RA-related pain; this is parallel to, but somewhat independent of, joint inflammation. Interleukin (IL)-6 is a proinflammatory cytokine that contributes to the pathogenesis of RA. It exerts systemic effects via signaling through soluble forms of the IL-6 receptor (“trans-signaling”). Evidence from preclinical studies demonstrates that intra-articular IL-6 can produce long-lasting peripheral sensitization to mechanical stimulation and suggests an important role for IL-6 in central pain sensitization. This may be partly explained by its ability to activate neurons through trans-signaling, affecting nociceptive plasticity and ner</w:instrText>
      </w:r>
      <w:r>
        <w:rPr>
          <w:rStyle w:val="markedcontent"/>
          <w:color w:val="000000" w:themeColor="text1"/>
          <w:lang w:eastAsia="zh-CN"/>
        </w:rPr>
        <w:instrText>ve fiber regrowth. Local activity at neuron endings may culminate in altered pain processing in the central nervous system because of persistent signaling from sensitized peripheral neurons. Peripheral and central sensitization can promote the development of chronic pain, which can have a significant impact on patients’ health and quality of life. A proportion of pain in RA may be more appropriately managed as an entity separate from inflammation. Both the peripheral and central nervous systems should be recognized as important potential systems targeted by RA. The substantial burden of RA-related chronic pain suggests that pain should be a key focus in RA management and should be assessed and addressed early and separately from the inflammatory component.","author":[{"dropping-particle":"","family":"Sebba","given":"Anthony","non-dropping-particle":"","parse-names":false,"suffix":""}],"container-title":"Open Access Rheumatology: Research and Reviews","id":"ITEM-1","issued":{"date-parts":[["2021"]]},"page":"31-43","title":"Pain: A review of interleukin-6 and its roles in the pain of rheumatoid arthritis","type":"article-journal","volume":"13"},"uris":["http://www.mendeley.com/documents/?uuid=38ac5037-7aca-4c86-b4b8-3e71ec72c645"]}],"mendeley":{"formattedCitation":"&lt;sup&gt;18&lt;/sup&gt;","plainTextFormattedCitation":"18","previouslyFormattedCitation":"&lt;sup&gt;18&lt;/sup&gt;"},"properties":{"noteIndex":0},"schema":"https://github.com/citation-style-language/schema/raw/master/csl-citation.json"}</w:instrText>
      </w:r>
      <w:r>
        <w:rPr>
          <w:rStyle w:val="markedcontent"/>
          <w:color w:val="000000" w:themeColor="text1"/>
        </w:rPr>
        <w:fldChar w:fldCharType="separate"/>
      </w:r>
      <w:r>
        <w:rPr>
          <w:rStyle w:val="markedcontent"/>
          <w:noProof/>
          <w:color w:val="000000" w:themeColor="text1"/>
          <w:vertAlign w:val="superscript"/>
          <w:lang w:eastAsia="zh-CN"/>
        </w:rPr>
        <w:t>18</w:t>
      </w:r>
      <w:r>
        <w:rPr>
          <w:rStyle w:val="markedcontent"/>
          <w:color w:val="000000" w:themeColor="text1"/>
        </w:rPr>
        <w:fldChar w:fldCharType="end"/>
      </w:r>
      <w:r>
        <w:rPr>
          <w:rStyle w:val="markedcontent"/>
          <w:color w:val="000000" w:themeColor="text1"/>
          <w:lang w:eastAsia="zh-CN"/>
        </w:rPr>
        <w:t xml:space="preserve"> </w:t>
      </w:r>
      <w:bookmarkEnd w:id="57"/>
      <w:r>
        <w:rPr>
          <w:color w:val="000000" w:themeColor="text1"/>
          <w:lang w:val="id" w:eastAsia="zh-CN"/>
        </w:rPr>
        <w:t xml:space="preserve">Berbagai </w:t>
      </w:r>
      <w:r>
        <w:rPr>
          <w:color w:val="000000" w:themeColor="text1"/>
          <w:lang w:eastAsia="zh-CN"/>
        </w:rPr>
        <w:t>pato</w:t>
      </w:r>
      <w:r>
        <w:rPr>
          <w:color w:val="000000" w:themeColor="text1"/>
          <w:lang w:val="en-US" w:eastAsia="zh-CN"/>
        </w:rPr>
        <w:t>genesis</w:t>
      </w:r>
      <w:r>
        <w:rPr>
          <w:color w:val="000000" w:themeColor="text1"/>
          <w:lang w:eastAsia="zh-CN"/>
        </w:rPr>
        <w:t xml:space="preserve"> </w:t>
      </w:r>
      <w:r>
        <w:rPr>
          <w:color w:val="000000" w:themeColor="text1"/>
          <w:lang w:val="id" w:eastAsia="zh-CN"/>
        </w:rPr>
        <w:t xml:space="preserve">nyeri </w:t>
      </w:r>
      <w:r>
        <w:rPr>
          <w:color w:val="000000" w:themeColor="text1"/>
          <w:lang w:eastAsia="zh-CN"/>
        </w:rPr>
        <w:t>berkaitan dengan IL-6</w:t>
      </w:r>
      <w:r>
        <w:rPr>
          <w:color w:val="000000" w:themeColor="text1"/>
          <w:lang w:val="id" w:eastAsia="zh-CN"/>
        </w:rPr>
        <w:t xml:space="preserve"> menunjukkan </w:t>
      </w:r>
      <w:r>
        <w:rPr>
          <w:color w:val="000000" w:themeColor="text1"/>
          <w:lang w:eastAsia="zh-CN"/>
        </w:rPr>
        <w:t xml:space="preserve">bahwa </w:t>
      </w:r>
      <w:r>
        <w:rPr>
          <w:color w:val="000000" w:themeColor="text1"/>
          <w:lang w:val="id" w:eastAsia="zh-CN"/>
        </w:rPr>
        <w:t xml:space="preserve">peningkatan tingkat ekspresi IL-6, IL-6R, dan gp130 di sumsum tulang belakang dan ganglia </w:t>
      </w:r>
      <w:r>
        <w:rPr>
          <w:color w:val="000000" w:themeColor="text1"/>
          <w:lang w:val="en-US" w:eastAsia="zh-CN"/>
        </w:rPr>
        <w:t>dorsalis</w:t>
      </w:r>
      <w:r>
        <w:rPr>
          <w:color w:val="000000" w:themeColor="text1"/>
          <w:lang w:val="id" w:eastAsia="zh-CN"/>
        </w:rPr>
        <w:t>.</w:t>
      </w:r>
      <w:r>
        <w:rPr>
          <w:color w:val="000000" w:themeColor="text1"/>
          <w:lang w:val="en-US" w:eastAsia="zh-CN"/>
        </w:rPr>
        <w:t xml:space="preserve"> </w:t>
      </w:r>
      <w:r>
        <w:rPr>
          <w:color w:val="000000" w:themeColor="text1"/>
          <w:lang w:val="id"/>
        </w:rPr>
        <w:t xml:space="preserve">IL-6 dapat menyebabkan allodinia mekanis atau hiperalgesia termal, dan suntikan intratekal antibodi penetral anti-IL-6 </w:t>
      </w:r>
      <w:r>
        <w:rPr>
          <w:color w:val="000000" w:themeColor="text1"/>
          <w:lang w:val="en-US"/>
        </w:rPr>
        <w:t xml:space="preserve">dapat </w:t>
      </w:r>
      <w:r>
        <w:rPr>
          <w:color w:val="000000" w:themeColor="text1"/>
          <w:lang w:val="id"/>
        </w:rPr>
        <w:t xml:space="preserve">mengurangi </w:t>
      </w:r>
      <w:proofErr w:type="spellStart"/>
      <w:r>
        <w:rPr>
          <w:color w:val="000000" w:themeColor="text1"/>
          <w:lang w:val="en-US"/>
        </w:rPr>
        <w:t>nyeri</w:t>
      </w:r>
      <w:proofErr w:type="spellEnd"/>
      <w:r>
        <w:rPr>
          <w:color w:val="000000" w:themeColor="text1"/>
          <w:lang w:val="id"/>
        </w:rPr>
        <w:t xml:space="preserve">. </w:t>
      </w:r>
      <w:r>
        <w:rPr>
          <w:color w:val="000000" w:themeColor="text1"/>
          <w:lang w:val="en-US"/>
        </w:rPr>
        <w:t>Selain itu,</w:t>
      </w:r>
      <w:r>
        <w:rPr>
          <w:color w:val="000000" w:themeColor="text1"/>
          <w:lang w:val="id"/>
        </w:rPr>
        <w:t xml:space="preserve"> IL-6 </w:t>
      </w:r>
      <w:r>
        <w:rPr>
          <w:color w:val="000000" w:themeColor="text1"/>
          <w:lang w:val="en-US"/>
        </w:rPr>
        <w:t>juga</w:t>
      </w:r>
      <w:r>
        <w:rPr>
          <w:color w:val="000000" w:themeColor="text1"/>
          <w:lang w:val="id"/>
        </w:rPr>
        <w:t xml:space="preserve"> terkait erat dengan plastisitas no</w:t>
      </w:r>
      <w:r>
        <w:rPr>
          <w:color w:val="000000" w:themeColor="text1"/>
        </w:rPr>
        <w:t>s</w:t>
      </w:r>
      <w:r>
        <w:rPr>
          <w:color w:val="000000" w:themeColor="text1"/>
          <w:lang w:val="id"/>
        </w:rPr>
        <w:t>i</w:t>
      </w:r>
      <w:r>
        <w:rPr>
          <w:color w:val="000000" w:themeColor="text1"/>
        </w:rPr>
        <w:t>s</w:t>
      </w:r>
      <w:r>
        <w:rPr>
          <w:color w:val="000000" w:themeColor="text1"/>
          <w:lang w:val="id"/>
        </w:rPr>
        <w:t>epti</w:t>
      </w:r>
      <w:r>
        <w:rPr>
          <w:color w:val="000000" w:themeColor="text1"/>
        </w:rPr>
        <w:t>f</w:t>
      </w:r>
      <w:r>
        <w:rPr>
          <w:color w:val="000000" w:themeColor="text1"/>
          <w:lang w:val="id"/>
        </w:rPr>
        <w:t xml:space="preserve"> dengan meningkatkan terjemahan dalam neuron sensorik. IL-6 juga terbukti berkontribusi pada kepekaan nosiseptor dan kepekaan sentral. </w:t>
      </w:r>
      <w:r>
        <w:rPr>
          <w:color w:val="000000" w:themeColor="text1"/>
        </w:rPr>
        <w:t xml:space="preserve">Artinya peran </w:t>
      </w:r>
      <w:r>
        <w:rPr>
          <w:color w:val="000000" w:themeColor="text1"/>
          <w:lang w:val="id"/>
        </w:rPr>
        <w:t xml:space="preserve">IL-6 </w:t>
      </w:r>
      <w:r w:rsidRPr="00F426C1">
        <w:rPr>
          <w:color w:val="000000" w:themeColor="text1"/>
          <w:lang w:val="id"/>
        </w:rPr>
        <w:t>secara</w:t>
      </w:r>
      <w:r>
        <w:rPr>
          <w:color w:val="000000" w:themeColor="text1"/>
          <w:lang w:val="id"/>
        </w:rPr>
        <w:t xml:space="preserve"> patologis menunjukkan bahwa penargetan IL-6 atau reseptornya dapat </w:t>
      </w:r>
      <w:r w:rsidRPr="00F426C1">
        <w:rPr>
          <w:color w:val="000000" w:themeColor="text1"/>
          <w:lang w:val="id"/>
        </w:rPr>
        <w:t>digunakan sebagai</w:t>
      </w:r>
      <w:r>
        <w:rPr>
          <w:color w:val="000000" w:themeColor="text1"/>
          <w:lang w:val="id"/>
        </w:rPr>
        <w:t xml:space="preserve"> intervensi terapeutik baru untuk pengelolaan nyeri patologis.</w:t>
      </w:r>
      <w:r>
        <w:rPr>
          <w:color w:val="000000" w:themeColor="text1"/>
          <w:lang w:val="id"/>
        </w:rPr>
        <w:fldChar w:fldCharType="begin" w:fldLock="1"/>
      </w:r>
      <w:r>
        <w:rPr>
          <w:color w:val="000000" w:themeColor="text1"/>
          <w:lang w:val="id"/>
        </w:rPr>
        <w:instrText>ADDIN CSL_CITATION {"citationItems":[{"id":"ITEM-1","itemData":{"DOI":"10.1016/j.cyto.2021.155582","ISSN":"10960023","PMID":"34058569","abstract":"The pleiotropic cytokine interleukin-6 (IL-6) is emerging as a molecule with both beneficial and destructive potentials. It can exert opposing actions triggering either neuron survival after injury or causing neurodegeneration and cell death in neurodegenerative or neuropathic disorders. Importantly, neurons respond differently to IL-6 and this critically depends on their environment and whether they are located in the peripheral or the central nervous system. In addition to its hub regulator role in inflammation, IL-6 is recently emerging as an important regulator of neuron function in health and disease, offering exciting possibilities for more mechanistic insight into the pathogenesis of mental, neurodegenerative and pain disorders and for developing novel therapies for diseases with neuroimmune and neurogenic pathogenic components.","author":[{"dropping-particle":"","family":"Kummer","given":"Kai K.","non-dropping-particle":"","parse-names":false,"suffix":""},{"dropping-particle":"","family":"Zeidler","given":"Maximilian","non-dropping-particle":"","parse-names":false,"suffix":""},{"dropping-particle":"","family":"Kalpachidou","given":"Theodora","non-dropping-particle":"","parse-names":false,"suffix":""},{"dropping-particle":"","family":"Kress","given":"Michaela","non-dropping-particle":"","parse-names":false,"suffix":""}],"container-title":"Cytokine","id":"ITEM-1","issue":"4","issued":{"date-parts":[["2021"]]},"page":"82-89","publisher":"Elsevier Ltd","title":"Role of IL-6 in the regulation of neuronal development, survival and function","type":"article-journal","volume":"144"},"uris":["http://www.mendeley.com/documents/?uuid=84dd40ab-ac98-47bc-84ad-e0a13e9b250e"]}],"mendeley":{"formattedCitation":"&lt;sup&gt;65&lt;/sup&gt;","plainTextFormattedCitation":"65","previouslyFormattedCitation":"&lt;sup&gt;65&lt;/sup&gt;"},"properties":{"noteIndex":0},"schema":"https://github.com/citation-style-language/schema/raw/master/csl-citation.json"}</w:instrText>
      </w:r>
      <w:r>
        <w:rPr>
          <w:color w:val="000000" w:themeColor="text1"/>
          <w:lang w:val="id"/>
        </w:rPr>
        <w:fldChar w:fldCharType="separate"/>
      </w:r>
      <w:r>
        <w:rPr>
          <w:noProof/>
          <w:color w:val="000000" w:themeColor="text1"/>
          <w:vertAlign w:val="superscript"/>
          <w:lang w:val="id"/>
        </w:rPr>
        <w:t>65</w:t>
      </w:r>
      <w:r>
        <w:rPr>
          <w:color w:val="000000" w:themeColor="text1"/>
          <w:lang w:val="id"/>
        </w:rPr>
        <w:fldChar w:fldCharType="end"/>
      </w:r>
    </w:p>
    <w:p w14:paraId="2E1894B1" w14:textId="77777777" w:rsidR="003B79BC" w:rsidRDefault="00000000">
      <w:pPr>
        <w:spacing w:line="360" w:lineRule="auto"/>
        <w:jc w:val="both"/>
        <w:rPr>
          <w:color w:val="000000" w:themeColor="text1"/>
          <w:vertAlign w:val="superscript"/>
          <w:lang w:val="en-US"/>
        </w:rPr>
      </w:pPr>
      <w:r w:rsidRPr="00F426C1">
        <w:rPr>
          <w:color w:val="000000" w:themeColor="text1"/>
          <w:lang w:val="id"/>
        </w:rPr>
        <w:tab/>
      </w:r>
      <w:r w:rsidRPr="00F426C1">
        <w:rPr>
          <w:rStyle w:val="markedcontent"/>
          <w:color w:val="000000" w:themeColor="text1"/>
          <w:lang w:val="id"/>
        </w:rPr>
        <w:t>Kekurangan</w:t>
      </w:r>
      <w:r>
        <w:rPr>
          <w:rStyle w:val="markedcontent"/>
          <w:color w:val="000000" w:themeColor="text1"/>
        </w:rPr>
        <w:t xml:space="preserve"> IL-6 </w:t>
      </w:r>
      <w:r w:rsidRPr="00F426C1">
        <w:rPr>
          <w:rStyle w:val="markedcontent"/>
          <w:color w:val="000000" w:themeColor="text1"/>
          <w:lang w:val="id"/>
        </w:rPr>
        <w:t xml:space="preserve">dapat </w:t>
      </w:r>
      <w:r>
        <w:rPr>
          <w:rStyle w:val="markedcontent"/>
          <w:color w:val="000000" w:themeColor="text1"/>
        </w:rPr>
        <w:t xml:space="preserve">menyebabkan gangguan sensorik, dan mempengaruhi fungsi neuron aferen primer. </w:t>
      </w:r>
      <w:r w:rsidRPr="00F426C1">
        <w:rPr>
          <w:rStyle w:val="markedcontent"/>
          <w:color w:val="000000" w:themeColor="text1"/>
          <w:lang w:val="id" w:eastAsia="zh-CN"/>
        </w:rPr>
        <w:t xml:space="preserve">Neuron </w:t>
      </w:r>
      <w:r>
        <w:rPr>
          <w:rStyle w:val="markedcontent"/>
          <w:color w:val="000000" w:themeColor="text1"/>
          <w:lang w:eastAsia="zh-CN"/>
        </w:rPr>
        <w:t xml:space="preserve">sensorik mengekspresikan gp130 di membran badan sel </w:t>
      </w:r>
      <w:r w:rsidRPr="00F426C1">
        <w:rPr>
          <w:rStyle w:val="markedcontent"/>
          <w:color w:val="000000" w:themeColor="text1"/>
          <w:lang w:val="id" w:eastAsia="zh-CN"/>
        </w:rPr>
        <w:t>dan</w:t>
      </w:r>
      <w:r>
        <w:rPr>
          <w:rStyle w:val="markedcontent"/>
          <w:color w:val="000000" w:themeColor="text1"/>
          <w:lang w:eastAsia="zh-CN"/>
        </w:rPr>
        <w:t xml:space="preserve"> di sepanjang akson perifer serta prosesus sentral </w:t>
      </w:r>
      <w:r w:rsidRPr="00F426C1">
        <w:rPr>
          <w:rStyle w:val="markedcontent"/>
          <w:color w:val="000000" w:themeColor="text1"/>
          <w:lang w:val="id" w:eastAsia="zh-CN"/>
        </w:rPr>
        <w:t>sehingga</w:t>
      </w:r>
      <w:r>
        <w:rPr>
          <w:rStyle w:val="markedcontent"/>
          <w:color w:val="000000" w:themeColor="text1"/>
          <w:lang w:eastAsia="zh-CN"/>
        </w:rPr>
        <w:t xml:space="preserve"> dapat bereaksi terhadap pelepasan IL-6 dari sel Schwann dan makrofag. </w:t>
      </w:r>
      <w:r>
        <w:rPr>
          <w:rStyle w:val="markedcontent"/>
          <w:color w:val="000000" w:themeColor="text1"/>
        </w:rPr>
        <w:t xml:space="preserve">IL-6 merupakan stimulan untuk aferen otot mekanosensitif ambang rendah dan menginduksi hiperalgesia mekanik otot pada tikus. IL-6 meningkatkan aksi potensial penembakan dan melalui sumbu pensinyalan MNK1/2-eIF4E mengatur arus kalsium tegangan tipe-T sehingga menginduksi hipereksitabilitas nosiseptor dan menginduksi sensitisasi panas yang cepat dari nosiseptor aferen primer dengan memodulasi fungsi dan ekspresi saluran transduser panas seperti TRPV1. Dengan meningkatkan rangsangan, eksitasi, saluran kalsium, dan menginduksi sensitisasi nosiseptor melalui modulasi akut saluran ion, IL-6 bekerja pada neuron sensorik primer untuk memulai dan mempertahankan efek proalgesik. IL-6 mempengaruhi sirkuit tulang belakang untuk nyeri. Di daerah supraspinal jalur nyeri peran IL-6 menjadi lebih kompleks. </w:t>
      </w:r>
      <w:r>
        <w:rPr>
          <w:rStyle w:val="markedcontent"/>
          <w:color w:val="000000" w:themeColor="text1"/>
          <w:lang w:eastAsia="zh-CN"/>
        </w:rPr>
        <w:t xml:space="preserve">Beberapa area kortikal seperti korteks </w:t>
      </w:r>
      <w:r w:rsidRPr="00F426C1">
        <w:rPr>
          <w:rStyle w:val="markedcontent"/>
          <w:color w:val="000000" w:themeColor="text1"/>
          <w:lang w:val="id" w:eastAsia="zh-CN"/>
        </w:rPr>
        <w:t>cingulata</w:t>
      </w:r>
      <w:r>
        <w:rPr>
          <w:rStyle w:val="markedcontent"/>
          <w:color w:val="000000" w:themeColor="text1"/>
          <w:lang w:eastAsia="zh-CN"/>
        </w:rPr>
        <w:t xml:space="preserve"> menunjukkan peningkatan ekspresi dan sekresi IL-6, sedangkan kadar IL-6 di korteks prefrontal serta amigdala tidak berubah atau menurun setelah lesi saraf dan perubahan diferensial yang menunjukkan peningkatan persepsi nyeri tetapi dapat </w:t>
      </w:r>
      <w:r>
        <w:rPr>
          <w:rStyle w:val="markedcontent"/>
          <w:color w:val="000000" w:themeColor="text1"/>
          <w:lang w:eastAsia="zh-CN"/>
        </w:rPr>
        <w:lastRenderedPageBreak/>
        <w:t>juga berkaitan dengan komorbiditas depresi</w:t>
      </w:r>
      <w:r w:rsidRPr="00F426C1">
        <w:rPr>
          <w:rStyle w:val="markedcontent"/>
          <w:color w:val="000000" w:themeColor="text1"/>
          <w:lang w:val="id" w:eastAsia="zh-CN"/>
        </w:rPr>
        <w:t>.</w:t>
      </w:r>
      <w:r>
        <w:rPr>
          <w:rStyle w:val="markedcontent"/>
          <w:color w:val="000000" w:themeColor="text1"/>
          <w:lang w:val="en-US"/>
        </w:rPr>
        <w:fldChar w:fldCharType="begin" w:fldLock="1"/>
      </w:r>
      <w:r w:rsidRPr="00F426C1">
        <w:rPr>
          <w:rStyle w:val="markedcontent"/>
          <w:color w:val="000000" w:themeColor="text1"/>
          <w:lang w:val="id" w:eastAsia="zh-CN"/>
        </w:rPr>
        <w:instrText>ADDIN CSL_CITATION {"citationItems":[{"id":"ITEM-1","itemData":{"DOI":"</w:instrText>
      </w:r>
      <w:r>
        <w:rPr>
          <w:rStyle w:val="markedcontent"/>
          <w:color w:val="000000" w:themeColor="text1"/>
          <w:lang w:val="en-US" w:eastAsia="zh-CN"/>
        </w:rPr>
        <w:instrText xml:space="preserve">10.1016/j.cyto.2021.155582","ISSN":"10960023","PMID":"34058569","abstract":"The pleiotropic cytokine interleukin-6 (IL-6) is emerging as a molecule with both beneficial and destructive potentials. It can exert opposing actions triggering either neuron survival after injury or causing neurodegeneration and cell death in neurodegenerative or neuropathic disorders. Importantly, neurons respond differently to IL-6 and this critically depends on their environment and whether they are located in the peripheral or the central </w:instrText>
      </w:r>
      <w:r w:rsidRPr="00F426C1">
        <w:rPr>
          <w:rStyle w:val="markedcontent"/>
          <w:color w:val="000000" w:themeColor="text1"/>
          <w:lang w:val="pt-BR" w:eastAsia="zh-CN"/>
        </w:rPr>
        <w:instrText>nervous system. In addition to its hub regulator role in inflammation, IL-6 is recently emerging as an important regulator of neuron function in health and disease, offering exciting possibilities for more mechanistic insight into the pathogenesis of mental, neurodegenerative and pain disorders and for developing novel therapies for diseases with neuroimmune and neurogenic pathogenic components.","author":[{"dropping-particle":"","family":"Kummer","given":"Kai K.","non-dropping-particle":"","parse-names":false,"suffix":""},{"dropping-particle":"","family":"Zeidler","given":"Maximilian","non-dropping-particle":"","parse-names":false,"suffix":""},{"dropping-particle":"","family":"Kalpachidou","given":"Theodora","non-dropping-particle":"","parse-names":false,"suffix":""},{"dropping-particle":"","family":"Kress","given":"Michaela","non-dropping-particle":"","parse-names":false,"suffix":""}],"container-title":"Cytokine","id":"ITEM-1","issue":"4","issued":{"date-parts":[</w:instrText>
      </w:r>
      <w:r w:rsidRPr="00F426C1">
        <w:rPr>
          <w:rStyle w:val="markedcontent"/>
          <w:color w:val="000000" w:themeColor="text1"/>
          <w:lang w:val="pt-BR"/>
        </w:rPr>
        <w:instrText>["2021"]]},"page":"82-89","publisher":"Elsevier Ltd","title":"Role of IL-6 in the regulation of neuronal development, survival and function","type":"article-journal","volume":"144"},"uris":["http://www.mendeley.com/documents/?uuid=84dd40ab-ac98-47bc-84ad-e0a13e9b250e"]}],"mendeley":{"formattedCitation":"&lt;sup&gt;65&lt;/sup&gt;","plainTextFormattedCitation":"65","previouslyFormattedCitation":"&lt;sup&gt;65&lt;/sup&gt;"},"properties":{"noteIndex":0},"schema":"https://github.com/citation-style-language/schema/raw/master/csl-citation.json"}</w:instrText>
      </w:r>
      <w:r>
        <w:rPr>
          <w:rStyle w:val="markedcontent"/>
          <w:color w:val="000000" w:themeColor="text1"/>
          <w:lang w:val="en-US"/>
        </w:rPr>
        <w:fldChar w:fldCharType="separate"/>
      </w:r>
      <w:r w:rsidRPr="00F426C1">
        <w:rPr>
          <w:rStyle w:val="markedcontent"/>
          <w:noProof/>
          <w:color w:val="000000" w:themeColor="text1"/>
          <w:vertAlign w:val="superscript"/>
          <w:lang w:val="pt-BR"/>
        </w:rPr>
        <w:t>65</w:t>
      </w:r>
      <w:r>
        <w:rPr>
          <w:rStyle w:val="markedcontent"/>
          <w:color w:val="000000" w:themeColor="text1"/>
          <w:lang w:val="en-US"/>
        </w:rPr>
        <w:fldChar w:fldCharType="end"/>
      </w:r>
      <w:r>
        <w:rPr>
          <w:rStyle w:val="markedcontent"/>
          <w:color w:val="000000" w:themeColor="text1"/>
          <w:vertAlign w:val="superscript"/>
          <w:lang w:val="id-ID"/>
        </w:rPr>
        <w:t xml:space="preserve"> </w:t>
      </w:r>
      <w:r w:rsidRPr="00F426C1">
        <w:rPr>
          <w:color w:val="000000" w:themeColor="text1"/>
          <w:lang w:val="pt-BR"/>
        </w:rPr>
        <w:t xml:space="preserve">Manjar </w:t>
      </w:r>
      <w:r>
        <w:rPr>
          <w:i/>
          <w:iCs/>
          <w:color w:val="000000" w:themeColor="text1"/>
          <w:lang w:val="id-ID"/>
        </w:rPr>
        <w:t>et al</w:t>
      </w:r>
      <w:r>
        <w:rPr>
          <w:color w:val="000000" w:themeColor="text1"/>
          <w:lang w:val="id-ID"/>
        </w:rPr>
        <w:t>.</w:t>
      </w:r>
      <w:r w:rsidRPr="00F426C1">
        <w:rPr>
          <w:color w:val="000000" w:themeColor="text1"/>
          <w:lang w:val="pt-BR"/>
        </w:rPr>
        <w:t xml:space="preserve"> mengukur kadar IL-6 secara berkala pada pasien yang menjalani operasi artroplasti lutut. Pada penelitian tersebut didapatkan peningkatan tajam kadar IL-6 pada 12 jam pascabedah dan kemudian semakin menurun pada hari ke-4 dan mencapai level dasar pada minggu ke-2 pascabedah.</w:t>
      </w:r>
      <w:r>
        <w:rPr>
          <w:color w:val="000000" w:themeColor="text1"/>
          <w:lang w:val="en-US"/>
        </w:rPr>
        <w:fldChar w:fldCharType="begin" w:fldLock="1"/>
      </w:r>
      <w:r w:rsidRPr="00F426C1">
        <w:rPr>
          <w:color w:val="000000" w:themeColor="text1"/>
          <w:lang w:val="pt-BR"/>
        </w:rPr>
        <w:instrText xml:space="preserve">ADDIN CSL_CITATION {"citationItems":[{"id":"ITEM-1","itemData":{"DOI":"10.1097/CORR.0000000000000332","ISBN":"0000000000000","ISSN":"15281132","PMID":"30794227","abstract":"Background Some patients with early periprosthetic joint infection (PJI) can be treated successfully using open débridement with polyethylene exchange rather than two-stage revision; however, the challenge is to diagnose PJI early. In late infection, C-reactive protein (CRP) and interleukin-6 (IL-6) are elevated, but shortly after surgery, CRP is difficult to interpret because it may be elevated even in the absence of infection, and we know little about the normal trajectory of IL-6 immediately after arthroplasty. If a deviation of biomarkers from their normal trajectory is seen, it may help guide the clinician toward early knee aspiration. Questions/purposes We studied the normal trajectories of IL-6 and CRP in the immediate hours and days after uncomplicated TKA and examined whether one or the other normalizes more quickly. Methods We studied serum IL-6 and CRP levels in 50 patients undergoing primary TKA at five time points: 12 hours preoperatively and postoperatively at 12 hours, 48 hours, 4 days, and 2 weeks. One surgeon operated on all patients using the same approach and postoperative management. The same laboratory </w:instrText>
      </w:r>
      <w:r>
        <w:rPr>
          <w:color w:val="000000" w:themeColor="text1"/>
          <w:lang w:val="en-US"/>
        </w:rPr>
        <w:instrText>methods were used each time. Results are presented as median and range. Repeated-measures analysis was done using Friedman's (nonparametric) test. No patient showed any clinical sign of infection during our study period. All patients were followed up until 1 year with no evidence of infection and good knee scores.ResultsIL-6 showed a sharp rise from its baseline with a preoperative median value of 6 pg/mL (range, 3-17 pg/mL) to a peak of median value of 133 pg/mL (range, 15-359 pg/mL) at 12 hours postoperatively. At 48 hours, IL-6 had declined to a median value of 82 pg/mL (range, 12-309 pg/mL). At 4 days, it had further declined to a median value of 22 pg/mL (range, 5-67 pg/mL). At 2 weeks, IL-6 reached a median value of 7 pg/mL (range, 3-14 pg/mL), which was not different from the baseline median value with the numbers available (p = 0.455). CRP showed a gradual rise from its baseline preoperative median value of 2 mg/L (range, 1-17 mg/L) to a median value of 15 mg/L (range, 2-111 mg/L) at 12 hours postoperatively, which peaked at 48 hours to a median value of 125 mg/L (range, 22-247 mg/L). At 4 days postoperatively, CRP levels had declined to a median value of 69 mg/L (range, 21-234 mg/L). At 2 weeks, CRP had reached a median value of 12 mg/L (range, 1-72 mg/L), which was still higher than the baseline median value with available n…","author":[{"dropping-particle":"","family":"Maniar","given":"Rajesh N.","non-dropping-particle":"","parse-names":false,"suffix":""},{"dropping-particle":"","family":"Navaneedhan","given":"Ganesh","non-dropping-particle":"","parse-names":false,"suffix":""},{"dropping-particle":"","family":"Ranvir","given":"Sachin","non-dropping-particle":"","parse-names":false,"suffix":""},{"dropping-particle":"","family":"Maniar","given":"Adit R.","non-dropping-particle":"","parse-names":false,"suffix":""},{"dropping-particle":"","family":"Dhiman","given":"Ankur","non-dropping-particle":"","parse-names":false,"suffix":""},{"dropping-particle":"","family":"Agrawal","given":"Aniruddh","non-dropping-particle":"","parse-names":false,"suffix":""}],"container-title":"Clinical Orthopaedics and Related Research","id":"ITEM-1","issue":"1","issued":{"date-parts":[["2019"]]},"page":"41-46","title":"What Is the Normal Trajectory of Interleukin-6 and C-reactive Protein in the Hours and Days Immediately after TKA?","type":"article-journal","volume":"477"},"uris":["http://www.mendeley.com/documents/?uuid=4526b885-573b-4528-8fa2-1ab57e7d2deb"]}],"mendeley":{"formattedCitation":"&lt;sup&gt;66&lt;/sup&gt;","plainTextFormattedCitation":"66","previouslyFormattedCitation":"&lt;sup&gt;66&lt;/sup&gt;"},"properties":{"noteIndex":0},"schema":"https://github.com/citation-style-language/schema/raw/master/csl-citation.json"}</w:instrText>
      </w:r>
      <w:r>
        <w:rPr>
          <w:color w:val="000000" w:themeColor="text1"/>
          <w:lang w:val="en-US"/>
        </w:rPr>
        <w:fldChar w:fldCharType="separate"/>
      </w:r>
      <w:r>
        <w:rPr>
          <w:noProof/>
          <w:color w:val="000000" w:themeColor="text1"/>
          <w:vertAlign w:val="superscript"/>
          <w:lang w:val="en-US"/>
        </w:rPr>
        <w:t>66</w:t>
      </w:r>
      <w:r>
        <w:rPr>
          <w:color w:val="000000" w:themeColor="text1"/>
          <w:lang w:val="en-US"/>
        </w:rPr>
        <w:fldChar w:fldCharType="end"/>
      </w:r>
    </w:p>
    <w:bookmarkEnd w:id="58"/>
    <w:p w14:paraId="000D1529" w14:textId="77777777" w:rsidR="003B79BC" w:rsidRDefault="003B79BC">
      <w:pPr>
        <w:spacing w:after="200" w:line="276" w:lineRule="auto"/>
        <w:rPr>
          <w:rFonts w:asciiTheme="majorBidi" w:eastAsiaTheme="minorEastAsia" w:hAnsiTheme="majorBidi" w:cstheme="majorBidi"/>
          <w:b/>
          <w:bCs/>
          <w:lang w:eastAsia="zh-CN"/>
        </w:rPr>
      </w:pPr>
    </w:p>
    <w:p w14:paraId="10F1649E" w14:textId="77777777" w:rsidR="003B79BC" w:rsidRDefault="003B79BC">
      <w:pPr>
        <w:spacing w:after="200" w:line="276" w:lineRule="auto"/>
        <w:rPr>
          <w:rFonts w:asciiTheme="majorBidi" w:eastAsiaTheme="minorEastAsia" w:hAnsiTheme="majorBidi" w:cstheme="majorBidi"/>
          <w:b/>
          <w:bCs/>
          <w:lang w:eastAsia="zh-CN"/>
        </w:rPr>
      </w:pPr>
    </w:p>
    <w:p w14:paraId="17ADC703" w14:textId="77777777" w:rsidR="003B79BC" w:rsidRDefault="003B79BC">
      <w:pPr>
        <w:spacing w:after="200" w:line="276" w:lineRule="auto"/>
        <w:rPr>
          <w:rFonts w:asciiTheme="majorBidi" w:eastAsiaTheme="minorEastAsia" w:hAnsiTheme="majorBidi" w:cstheme="majorBidi"/>
          <w:b/>
          <w:bCs/>
          <w:lang w:eastAsia="zh-CN"/>
        </w:rPr>
      </w:pPr>
    </w:p>
    <w:p w14:paraId="00B87569" w14:textId="77777777" w:rsidR="003B79BC" w:rsidRDefault="003B79BC">
      <w:pPr>
        <w:pStyle w:val="Heading1"/>
        <w:spacing w:after="0"/>
        <w:rPr>
          <w:sz w:val="24"/>
          <w:szCs w:val="24"/>
        </w:rPr>
        <w:sectPr w:rsidR="003B79BC" w:rsidSect="00275E84">
          <w:pgSz w:w="11907" w:h="16840"/>
          <w:pgMar w:top="2268" w:right="1701" w:bottom="1701" w:left="2268" w:header="720" w:footer="720" w:gutter="0"/>
          <w:cols w:space="720"/>
          <w:docGrid w:linePitch="360"/>
        </w:sectPr>
      </w:pPr>
    </w:p>
    <w:p w14:paraId="3F7CEAB8" w14:textId="77777777" w:rsidR="003B79BC" w:rsidRDefault="00000000">
      <w:pPr>
        <w:pStyle w:val="Heading1"/>
        <w:spacing w:after="0"/>
        <w:rPr>
          <w:sz w:val="24"/>
          <w:szCs w:val="24"/>
        </w:rPr>
      </w:pPr>
      <w:bookmarkStart w:id="59" w:name="_Toc158290263"/>
      <w:r>
        <w:rPr>
          <w:sz w:val="24"/>
          <w:szCs w:val="24"/>
        </w:rPr>
        <w:lastRenderedPageBreak/>
        <w:t>BAB III</w:t>
      </w:r>
      <w:bookmarkEnd w:id="59"/>
    </w:p>
    <w:bookmarkStart w:id="60" w:name="_Toc158290264"/>
    <w:p w14:paraId="3645779F" w14:textId="77777777" w:rsidR="003B79BC" w:rsidRDefault="00000000">
      <w:pPr>
        <w:pStyle w:val="Heading1"/>
        <w:spacing w:after="0"/>
        <w:rPr>
          <w:sz w:val="24"/>
          <w:szCs w:val="24"/>
          <w:lang w:eastAsia="zh-CN"/>
        </w:rPr>
      </w:pPr>
      <w:r>
        <w:rPr>
          <w:noProof/>
          <w:sz w:val="24"/>
          <w:szCs w:val="24"/>
          <w:lang w:val="en-US"/>
        </w:rPr>
        <mc:AlternateContent>
          <mc:Choice Requires="wps">
            <w:drawing>
              <wp:anchor distT="0" distB="0" distL="114300" distR="114300" simplePos="0" relativeHeight="251660288" behindDoc="0" locked="0" layoutInCell="1" allowOverlap="1" wp14:anchorId="3138800C" wp14:editId="5F952C91">
                <wp:simplePos x="0" y="0"/>
                <wp:positionH relativeFrom="column">
                  <wp:posOffset>-1619885</wp:posOffset>
                </wp:positionH>
                <wp:positionV relativeFrom="paragraph">
                  <wp:posOffset>502285</wp:posOffset>
                </wp:positionV>
                <wp:extent cx="3810" cy="299720"/>
                <wp:effectExtent l="0" t="0" r="0" b="0"/>
                <wp:wrapNone/>
                <wp:docPr id="104" name="Straight Arrow Connector 26"/>
                <wp:cNvGraphicFramePr/>
                <a:graphic xmlns:a="http://schemas.openxmlformats.org/drawingml/2006/main">
                  <a:graphicData uri="http://schemas.microsoft.com/office/word/2010/wordprocessingShape">
                    <wps:wsp>
                      <wps:cNvCnPr/>
                      <wps:spPr bwMode="auto">
                        <a:xfrm flipH="1">
                          <a:off x="0" y="0"/>
                          <a:ext cx="3695" cy="299428"/>
                        </a:xfrm>
                        <a:prstGeom prst="straightConnector1">
                          <a:avLst/>
                        </a:prstGeom>
                        <a:noFill/>
                        <a:ln w="28575">
                          <a:solidFill>
                            <a:srgbClr val="000000"/>
                          </a:solidFill>
                          <a:round/>
                          <a:tailEnd type="triangle" w="med" len="med"/>
                        </a:ln>
                      </wps:spPr>
                      <wps:bodyPr/>
                    </wps:wsp>
                  </a:graphicData>
                </a:graphic>
              </wp:anchor>
            </w:drawing>
          </mc:Choice>
          <mc:Fallback xmlns:wpsCustomData="http://www.wps.cn/officeDocument/2013/wpsCustomData">
            <w:pict>
              <v:shape id="Straight Arrow Connector 26" o:spid="_x0000_s1026" o:spt="32" type="#_x0000_t32" style="position:absolute;left:0pt;flip:x;margin-left:-127.55pt;margin-top:39.55pt;height:23.6pt;width:0.3pt;z-index:251660288;mso-width-relative:page;mso-height-relative:page;" filled="f" stroked="t" coordsize="21600,21600" o:gfxdata="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4dVWf&#10;2QAAAAwBAAAPAAAAAAAAAAEAIAAAACIAAABkcnMvZG93bnJldi54bWxQSwECFAAUAAAACACHTuJA&#10;0q6D2ecBAADNAwAADgAAAAAAAAABACAAAAAoAQAAZHJzL2Uyb0RvYy54bWxQSwUGAAAAAAYABgBZ&#10;AQAAgQUAAAAA&#10;">
                <v:fill on="f" focussize="0,0"/>
                <v:stroke weight="2.25pt" color="#000000" joinstyle="round" endarrow="block"/>
                <v:imagedata o:title=""/>
                <o:lock v:ext="edit" aspectratio="f"/>
              </v:shape>
            </w:pict>
          </mc:Fallback>
        </mc:AlternateContent>
      </w:r>
      <w:r>
        <w:rPr>
          <w:noProof/>
          <w:sz w:val="24"/>
          <w:szCs w:val="24"/>
          <w:lang w:val="en-US"/>
        </w:rPr>
        <mc:AlternateContent>
          <mc:Choice Requires="wps">
            <w:drawing>
              <wp:anchor distT="0" distB="0" distL="114300" distR="114300" simplePos="0" relativeHeight="251659264" behindDoc="0" locked="0" layoutInCell="1" allowOverlap="1" wp14:anchorId="78DB9934" wp14:editId="1B915AA0">
                <wp:simplePos x="0" y="0"/>
                <wp:positionH relativeFrom="column">
                  <wp:posOffset>-1772285</wp:posOffset>
                </wp:positionH>
                <wp:positionV relativeFrom="paragraph">
                  <wp:posOffset>349885</wp:posOffset>
                </wp:positionV>
                <wp:extent cx="3810" cy="299720"/>
                <wp:effectExtent l="0" t="0" r="0" b="0"/>
                <wp:wrapNone/>
                <wp:docPr id="103" name="Straight Arrow Connector 26"/>
                <wp:cNvGraphicFramePr/>
                <a:graphic xmlns:a="http://schemas.openxmlformats.org/drawingml/2006/main">
                  <a:graphicData uri="http://schemas.microsoft.com/office/word/2010/wordprocessingShape">
                    <wps:wsp>
                      <wps:cNvCnPr/>
                      <wps:spPr bwMode="auto">
                        <a:xfrm flipH="1">
                          <a:off x="0" y="0"/>
                          <a:ext cx="3695" cy="299428"/>
                        </a:xfrm>
                        <a:prstGeom prst="straightConnector1">
                          <a:avLst/>
                        </a:prstGeom>
                        <a:noFill/>
                        <a:ln w="28575">
                          <a:solidFill>
                            <a:srgbClr val="000000"/>
                          </a:solidFill>
                          <a:round/>
                          <a:tailEnd type="triangle" w="med" len="med"/>
                        </a:ln>
                      </wps:spPr>
                      <wps:bodyPr/>
                    </wps:wsp>
                  </a:graphicData>
                </a:graphic>
              </wp:anchor>
            </w:drawing>
          </mc:Choice>
          <mc:Fallback xmlns:wpsCustomData="http://www.wps.cn/officeDocument/2013/wpsCustomData">
            <w:pict>
              <v:shape id="Straight Arrow Connector 26" o:spid="_x0000_s1026" o:spt="32" type="#_x0000_t32" style="position:absolute;left:0pt;flip:x;margin-left:-139.55pt;margin-top:27.55pt;height:23.6pt;width:0.3pt;z-index:251659264;mso-width-relative:page;mso-height-relative:page;" filled="f" stroked="t" coordsize="21600,21600" o:gfxdata="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ZBqUx&#10;2QAAAAwBAAAPAAAAAAAAAAEAIAAAACIAAABkcnMvZG93bnJldi54bWxQSwECFAAUAAAACACHTuJA&#10;qGgtiucBAADNAwAADgAAAAAAAAABACAAAAAoAQAAZHJzL2Uyb0RvYy54bWxQSwUGAAAAAAYABgBZ&#10;AQAAgQUAAAAA&#10;">
                <v:fill on="f" focussize="0,0"/>
                <v:stroke weight="2.25pt" color="#000000" joinstyle="round" endarrow="block"/>
                <v:imagedata o:title=""/>
                <o:lock v:ext="edit" aspectratio="f"/>
              </v:shape>
            </w:pict>
          </mc:Fallback>
        </mc:AlternateContent>
      </w:r>
      <w:r>
        <w:rPr>
          <w:sz w:val="24"/>
          <w:szCs w:val="24"/>
        </w:rPr>
        <w:t>KERANGKA TEORI</w:t>
      </w:r>
      <w:bookmarkEnd w:id="60"/>
    </w:p>
    <w:p w14:paraId="220AD559" w14:textId="77777777" w:rsidR="003B79BC" w:rsidRDefault="003B79BC">
      <w:pPr>
        <w:rPr>
          <w:rFonts w:eastAsiaTheme="minorEastAsia"/>
          <w:lang w:eastAsia="zh-CN"/>
        </w:rPr>
      </w:pPr>
    </w:p>
    <w:p w14:paraId="14A76EDB" w14:textId="77777777" w:rsidR="003B79BC" w:rsidRDefault="003B79BC">
      <w:pPr>
        <w:rPr>
          <w:lang w:val="id-ID"/>
        </w:rPr>
      </w:pPr>
    </w:p>
    <w:p w14:paraId="765491E2" w14:textId="77777777" w:rsidR="003B79BC" w:rsidRDefault="003B79BC">
      <w:pPr>
        <w:rPr>
          <w:lang w:val="id-ID"/>
        </w:rPr>
      </w:pPr>
    </w:p>
    <w:p w14:paraId="256D9280" w14:textId="77777777" w:rsidR="003B79BC" w:rsidRDefault="00000000">
      <w:pPr>
        <w:rPr>
          <w:lang w:val="id-ID"/>
        </w:rPr>
      </w:pPr>
      <w:r>
        <w:rPr>
          <w:noProof/>
          <w:lang w:val="en-US"/>
        </w:rPr>
        <mc:AlternateContent>
          <mc:Choice Requires="wps">
            <w:drawing>
              <wp:anchor distT="0" distB="0" distL="114300" distR="114300" simplePos="0" relativeHeight="251713536" behindDoc="0" locked="0" layoutInCell="1" allowOverlap="1" wp14:anchorId="324E73FB" wp14:editId="06C44572">
                <wp:simplePos x="0" y="0"/>
                <wp:positionH relativeFrom="column">
                  <wp:posOffset>1847850</wp:posOffset>
                </wp:positionH>
                <wp:positionV relativeFrom="paragraph">
                  <wp:posOffset>117475</wp:posOffset>
                </wp:positionV>
                <wp:extent cx="1819275" cy="304800"/>
                <wp:effectExtent l="0" t="0" r="28575" b="19050"/>
                <wp:wrapNone/>
                <wp:docPr id="1047083055" name="Rectangle 4"/>
                <wp:cNvGraphicFramePr/>
                <a:graphic xmlns:a="http://schemas.openxmlformats.org/drawingml/2006/main">
                  <a:graphicData uri="http://schemas.microsoft.com/office/word/2010/wordprocessingShape">
                    <wps:wsp>
                      <wps:cNvSpPr/>
                      <wps:spPr bwMode="auto">
                        <a:xfrm>
                          <a:off x="0" y="0"/>
                          <a:ext cx="1819275" cy="304800"/>
                        </a:xfrm>
                        <a:prstGeom prst="rect">
                          <a:avLst/>
                        </a:prstGeom>
                      </wps:spPr>
                      <wps:style>
                        <a:lnRef idx="2">
                          <a:schemeClr val="dk1"/>
                        </a:lnRef>
                        <a:fillRef idx="1">
                          <a:schemeClr val="lt1"/>
                        </a:fillRef>
                        <a:effectRef idx="0">
                          <a:schemeClr val="dk1"/>
                        </a:effectRef>
                        <a:fontRef idx="minor">
                          <a:schemeClr val="dk1"/>
                        </a:fontRef>
                      </wps:style>
                      <wps:txbx>
                        <w:txbxContent>
                          <w:p w14:paraId="53CF6393" w14:textId="77777777" w:rsidR="003B79BC" w:rsidRDefault="00000000">
                            <w:pPr>
                              <w:pStyle w:val="NormalWeb"/>
                              <w:spacing w:before="0" w:beforeAutospacing="0" w:after="0" w:afterAutospacing="0"/>
                              <w:jc w:val="center"/>
                              <w:rPr>
                                <w:rFonts w:ascii="Times New Roman" w:hAnsi="Times New Roman"/>
                                <w:b/>
                                <w:bCs/>
                                <w:sz w:val="18"/>
                              </w:rPr>
                            </w:pPr>
                            <w:r>
                              <w:rPr>
                                <w:rFonts w:ascii="Times New Roman" w:hAnsi="Times New Roman"/>
                                <w:b/>
                                <w:bCs/>
                                <w:color w:val="000000"/>
                                <w:kern w:val="24"/>
                                <w:sz w:val="24"/>
                                <w:szCs w:val="28"/>
                                <w:lang w:val="id-ID"/>
                              </w:rPr>
                              <w:t>Tonsilektomi</w:t>
                            </w:r>
                          </w:p>
                        </w:txbxContent>
                      </wps:txbx>
                      <wps:bodyPr rot="0" vert="horz" wrap="square" lIns="91440" tIns="45720" rIns="91440" bIns="45720" anchor="ctr" anchorCtr="0" upright="1">
                        <a:noAutofit/>
                      </wps:bodyPr>
                    </wps:wsp>
                  </a:graphicData>
                </a:graphic>
              </wp:anchor>
            </w:drawing>
          </mc:Choice>
          <mc:Fallback>
            <w:pict>
              <v:rect w14:anchorId="324E73FB" id="Rectangle 4" o:spid="_x0000_s1026" style="position:absolute;margin-left:145.5pt;margin-top:9.25pt;width:143.25pt;height:24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" fillcolor="white [3201]" strokecolor="black [3200]" strokeweight="2pt">
                <v:textbox>
                  <w:txbxContent>
                    <w:p w14:paraId="53CF6393" w14:textId="77777777" w:rsidR="003B79BC" w:rsidRDefault="00000000">
                      <w:pPr>
                        <w:pStyle w:val="NormalWeb"/>
                        <w:spacing w:before="0" w:beforeAutospacing="0" w:after="0" w:afterAutospacing="0"/>
                        <w:jc w:val="center"/>
                        <w:rPr>
                          <w:rFonts w:ascii="Times New Roman" w:hAnsi="Times New Roman"/>
                          <w:b/>
                          <w:bCs/>
                          <w:sz w:val="18"/>
                        </w:rPr>
                      </w:pPr>
                      <w:r>
                        <w:rPr>
                          <w:rFonts w:ascii="Times New Roman" w:hAnsi="Times New Roman"/>
                          <w:b/>
                          <w:bCs/>
                          <w:color w:val="000000"/>
                          <w:kern w:val="24"/>
                          <w:sz w:val="24"/>
                          <w:szCs w:val="28"/>
                          <w:lang w:val="id-ID"/>
                        </w:rPr>
                        <w:t>Tonsilektomi</w:t>
                      </w:r>
                    </w:p>
                  </w:txbxContent>
                </v:textbox>
              </v:rect>
            </w:pict>
          </mc:Fallback>
        </mc:AlternateContent>
      </w:r>
    </w:p>
    <w:p w14:paraId="7799F4AA" w14:textId="77777777" w:rsidR="003B79BC" w:rsidRDefault="003B79BC">
      <w:pPr>
        <w:rPr>
          <w:lang w:val="id-ID"/>
        </w:rPr>
      </w:pPr>
    </w:p>
    <w:p w14:paraId="684C187D" w14:textId="77777777" w:rsidR="003B79BC" w:rsidRDefault="00000000">
      <w:pPr>
        <w:rPr>
          <w:lang w:val="id-ID"/>
        </w:rPr>
      </w:pPr>
      <w:r>
        <w:rPr>
          <w:noProof/>
          <w:lang w:val="en-US"/>
        </w:rPr>
        <mc:AlternateContent>
          <mc:Choice Requires="wps">
            <w:drawing>
              <wp:anchor distT="0" distB="0" distL="114300" distR="114300" simplePos="0" relativeHeight="251724800" behindDoc="0" locked="0" layoutInCell="1" allowOverlap="1" wp14:anchorId="32A8D10D" wp14:editId="1168A0C3">
                <wp:simplePos x="0" y="0"/>
                <wp:positionH relativeFrom="column">
                  <wp:posOffset>2790825</wp:posOffset>
                </wp:positionH>
                <wp:positionV relativeFrom="paragraph">
                  <wp:posOffset>86360</wp:posOffset>
                </wp:positionV>
                <wp:extent cx="0" cy="219710"/>
                <wp:effectExtent l="76200" t="0" r="57150" b="66040"/>
                <wp:wrapNone/>
                <wp:docPr id="361883072" name="Straight Arrow Connector 361883072"/>
                <wp:cNvGraphicFramePr/>
                <a:graphic xmlns:a="http://schemas.openxmlformats.org/drawingml/2006/main">
                  <a:graphicData uri="http://schemas.microsoft.com/office/word/2010/wordprocessingShape">
                    <wps:wsp>
                      <wps:cNvCnPr/>
                      <wps:spPr>
                        <a:xfrm>
                          <a:off x="0" y="0"/>
                          <a:ext cx="0" cy="2197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219.75pt;margin-top:6.8pt;height:17.3pt;width:0pt;z-index:251724800;mso-width-relative:page;mso-height-relative:page;" filled="f" stroked="t" coordsize="21600,21600" o:gfxdata="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BiGRyvXAAAACQEAAA8AAAAAAAAAAQAgAAAAIgAAAGRycy9kb3du&#10;cmV2LnhtbFBLAQIUABQAAAAIAIdO4kD7IGiOAAIAABYEAAAOAAAAAAAAAAEAIAAAACYBAABkcnMv&#10;ZTJvRG9jLnhtbFBLBQYAAAAABgAGAFkBAACYBQAAAAA=&#10;">
                <v:fill on="f" focussize="0,0"/>
                <v:stroke weight="1.5pt" color="#000000 [3200]" joinstyle="round" endarrow="block"/>
                <v:imagedata o:title=""/>
                <o:lock v:ext="edit" aspectratio="f"/>
              </v:shape>
            </w:pict>
          </mc:Fallback>
        </mc:AlternateContent>
      </w:r>
    </w:p>
    <w:p w14:paraId="4A5461A1" w14:textId="77777777" w:rsidR="003B79BC" w:rsidRDefault="00000000">
      <w:pPr>
        <w:rPr>
          <w:lang w:val="id-ID"/>
        </w:rPr>
      </w:pPr>
      <w:r>
        <w:rPr>
          <w:noProof/>
          <w:lang w:val="en-US"/>
        </w:rPr>
        <mc:AlternateContent>
          <mc:Choice Requires="wps">
            <w:drawing>
              <wp:anchor distT="0" distB="0" distL="114300" distR="114300" simplePos="0" relativeHeight="251665408" behindDoc="0" locked="0" layoutInCell="1" allowOverlap="1" wp14:anchorId="75EC25CA" wp14:editId="7F72A520">
                <wp:simplePos x="0" y="0"/>
                <wp:positionH relativeFrom="column">
                  <wp:posOffset>1836420</wp:posOffset>
                </wp:positionH>
                <wp:positionV relativeFrom="paragraph">
                  <wp:posOffset>135255</wp:posOffset>
                </wp:positionV>
                <wp:extent cx="1819275" cy="304800"/>
                <wp:effectExtent l="0" t="0" r="28575" b="19050"/>
                <wp:wrapNone/>
                <wp:docPr id="88" name="Rectangle 4"/>
                <wp:cNvGraphicFramePr/>
                <a:graphic xmlns:a="http://schemas.openxmlformats.org/drawingml/2006/main">
                  <a:graphicData uri="http://schemas.microsoft.com/office/word/2010/wordprocessingShape">
                    <wps:wsp>
                      <wps:cNvSpPr/>
                      <wps:spPr bwMode="auto">
                        <a:xfrm>
                          <a:off x="0" y="0"/>
                          <a:ext cx="1819275" cy="304800"/>
                        </a:xfrm>
                        <a:prstGeom prst="rect">
                          <a:avLst/>
                        </a:prstGeom>
                      </wps:spPr>
                      <wps:style>
                        <a:lnRef idx="2">
                          <a:schemeClr val="dk1"/>
                        </a:lnRef>
                        <a:fillRef idx="1">
                          <a:schemeClr val="lt1"/>
                        </a:fillRef>
                        <a:effectRef idx="0">
                          <a:schemeClr val="dk1"/>
                        </a:effectRef>
                        <a:fontRef idx="minor">
                          <a:schemeClr val="dk1"/>
                        </a:fontRef>
                      </wps:style>
                      <wps:txbx>
                        <w:txbxContent>
                          <w:p w14:paraId="6C17B874"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Kerusakan jaringan</w:t>
                            </w:r>
                          </w:p>
                        </w:txbxContent>
                      </wps:txbx>
                      <wps:bodyPr rot="0" vert="horz" wrap="square" lIns="91440" tIns="45720" rIns="91440" bIns="45720" anchor="ctr" anchorCtr="0" upright="1">
                        <a:noAutofit/>
                      </wps:bodyPr>
                    </wps:wsp>
                  </a:graphicData>
                </a:graphic>
              </wp:anchor>
            </w:drawing>
          </mc:Choice>
          <mc:Fallback>
            <w:pict>
              <v:rect w14:anchorId="75EC25CA" id="_x0000_s1027" style="position:absolute;margin-left:144.6pt;margin-top:10.65pt;width:143.25pt;height:2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" fillcolor="white [3201]" strokecolor="black [3200]" strokeweight="2pt">
                <v:textbox>
                  <w:txbxContent>
                    <w:p w14:paraId="6C17B874"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Kerusakan jaringan</w:t>
                      </w:r>
                    </w:p>
                  </w:txbxContent>
                </v:textbox>
              </v:rect>
            </w:pict>
          </mc:Fallback>
        </mc:AlternateContent>
      </w:r>
    </w:p>
    <w:p w14:paraId="22323EBF" w14:textId="77777777" w:rsidR="003B79BC" w:rsidRDefault="003B79BC">
      <w:pPr>
        <w:rPr>
          <w:lang w:val="id-ID"/>
        </w:rPr>
      </w:pPr>
    </w:p>
    <w:p w14:paraId="7C9DF661" w14:textId="77777777" w:rsidR="003B79BC" w:rsidRDefault="00000000">
      <w:pPr>
        <w:rPr>
          <w:lang w:val="id-ID"/>
        </w:rPr>
      </w:pPr>
      <w:r>
        <w:rPr>
          <w:noProof/>
          <w:lang w:val="id-ID"/>
        </w:rPr>
        <mc:AlternateContent>
          <mc:Choice Requires="wps">
            <w:drawing>
              <wp:anchor distT="0" distB="0" distL="114300" distR="114300" simplePos="0" relativeHeight="251728896" behindDoc="0" locked="0" layoutInCell="1" allowOverlap="1" wp14:anchorId="6C35A872" wp14:editId="618C05F0">
                <wp:simplePos x="0" y="0"/>
                <wp:positionH relativeFrom="column">
                  <wp:posOffset>2789555</wp:posOffset>
                </wp:positionH>
                <wp:positionV relativeFrom="paragraph">
                  <wp:posOffset>82550</wp:posOffset>
                </wp:positionV>
                <wp:extent cx="9525" cy="437515"/>
                <wp:effectExtent l="19050" t="19050" r="29210" b="20320"/>
                <wp:wrapNone/>
                <wp:docPr id="956777174" name="Straight Connector 2"/>
                <wp:cNvGraphicFramePr/>
                <a:graphic xmlns:a="http://schemas.openxmlformats.org/drawingml/2006/main">
                  <a:graphicData uri="http://schemas.microsoft.com/office/word/2010/wordprocessingShape">
                    <wps:wsp>
                      <wps:cNvCnPr/>
                      <wps:spPr>
                        <a:xfrm flipH="1">
                          <a:off x="0" y="0"/>
                          <a:ext cx="9332" cy="437322"/>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Straight Connector 2" o:spid="_x0000_s1026" o:spt="20" style="position:absolute;left:0pt;flip:x;margin-left:219.65pt;margin-top:6.5pt;height:34.45pt;width:0.75pt;z-index:251728896;mso-width-relative:page;mso-height-relative:page;" filled="f" stroked="t" coordsize="21600,21600" o:gfxdata="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DpggW7XAAAACQEAAA8AAAAAAAAAAQAgAAAAIgAAAGRycy9kb3ducmV2LnhtbFBLAQIU&#10;ABQAAAAIAIdO4kCE6kbw9AEAAOsDAAAOAAAAAAAAAAEAIAAAACYBAABkcnMvZTJvRG9jLnhtbFBL&#10;BQYAAAAABgAGAFkBAACMBQAAAAA=&#10;">
                <v:fill on="f" focussize="0,0"/>
                <v:stroke weight="2.25pt" color="#000000 [3200]" joinstyle="round"/>
                <v:imagedata o:title=""/>
                <o:lock v:ext="edit" aspectratio="f"/>
              </v:line>
            </w:pict>
          </mc:Fallback>
        </mc:AlternateContent>
      </w:r>
    </w:p>
    <w:p w14:paraId="5301F500" w14:textId="77777777" w:rsidR="003B79BC" w:rsidRDefault="00000000">
      <w:pPr>
        <w:rPr>
          <w:lang w:val="id-ID"/>
        </w:rPr>
      </w:pPr>
      <w:r>
        <w:rPr>
          <w:noProof/>
          <w:lang w:val="en-US"/>
        </w:rPr>
        <mc:AlternateContent>
          <mc:Choice Requires="wps">
            <w:drawing>
              <wp:anchor distT="0" distB="0" distL="114300" distR="114300" simplePos="0" relativeHeight="251716608" behindDoc="0" locked="0" layoutInCell="1" allowOverlap="1" wp14:anchorId="53CCB103" wp14:editId="6EAF9E59">
                <wp:simplePos x="0" y="0"/>
                <wp:positionH relativeFrom="column">
                  <wp:posOffset>475615</wp:posOffset>
                </wp:positionH>
                <wp:positionV relativeFrom="paragraph">
                  <wp:posOffset>86995</wp:posOffset>
                </wp:positionV>
                <wp:extent cx="2317750" cy="1664970"/>
                <wp:effectExtent l="0" t="76200" r="0" b="30480"/>
                <wp:wrapNone/>
                <wp:docPr id="150030415" name="Connector: Elbow 6"/>
                <wp:cNvGraphicFramePr/>
                <a:graphic xmlns:a="http://schemas.openxmlformats.org/drawingml/2006/main">
                  <a:graphicData uri="http://schemas.microsoft.com/office/word/2010/wordprocessingShape">
                    <wps:wsp>
                      <wps:cNvCnPr/>
                      <wps:spPr>
                        <a:xfrm flipV="1">
                          <a:off x="0" y="0"/>
                          <a:ext cx="2317999" cy="1665136"/>
                        </a:xfrm>
                        <a:prstGeom prst="bentConnector3">
                          <a:avLst>
                            <a:gd name="adj1" fmla="val 1064"/>
                          </a:avLst>
                        </a:prstGeom>
                        <a:ln w="19050">
                          <a:prstDash val="dash"/>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Connector: Elbow 6" o:spid="_x0000_s1026" o:spt="34" type="#_x0000_t34" style="position:absolute;left:0pt;flip:y;margin-left:37.45pt;margin-top:6.85pt;height:131.1pt;width:182.5pt;z-index:251716608;mso-width-relative:page;mso-height-relative:page;" filled="f" stroked="t" coordsize="21600,21600" o:gfxdata="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4nHQ&#10;89gAAAAJAQAADwAAAAAAAAABACAAAAAiAAAAZHJzL2Rvd25yZXYueG1sUEsBAhQAFAAAAAgAh07i&#10;QNqZBDUiAgAAPgQAAA4AAAAAAAAAAQAgAAAAJwEAAGRycy9lMm9Eb2MueG1sUEsFBgAAAAAGAAYA&#10;WQEAALsFAAAAAA==&#10;" adj="230">
                <v:fill on="f" focussize="0,0"/>
                <v:stroke weight="1.5pt" color="#4A7EBB [3204]" joinstyle="round" dashstyle="dash" endarrow="block"/>
                <v:imagedata o:title=""/>
                <o:lock v:ext="edit" aspectratio="f"/>
              </v:shape>
            </w:pict>
          </mc:Fallback>
        </mc:AlternateContent>
      </w:r>
    </w:p>
    <w:p w14:paraId="0D20F451" w14:textId="77777777" w:rsidR="003B79BC" w:rsidRDefault="00000000">
      <w:pPr>
        <w:rPr>
          <w:lang w:val="id-ID"/>
        </w:rPr>
      </w:pPr>
      <w:r>
        <w:rPr>
          <w:noProof/>
          <w:lang w:val="en-US"/>
        </w:rPr>
        <mc:AlternateContent>
          <mc:Choice Requires="wps">
            <w:drawing>
              <wp:anchor distT="0" distB="0" distL="114300" distR="114300" simplePos="0" relativeHeight="251731968" behindDoc="0" locked="0" layoutInCell="1" allowOverlap="1" wp14:anchorId="625AA980" wp14:editId="4B25865D">
                <wp:simplePos x="0" y="0"/>
                <wp:positionH relativeFrom="column">
                  <wp:posOffset>4130675</wp:posOffset>
                </wp:positionH>
                <wp:positionV relativeFrom="paragraph">
                  <wp:posOffset>131445</wp:posOffset>
                </wp:positionV>
                <wp:extent cx="0" cy="219710"/>
                <wp:effectExtent l="76200" t="0" r="57150" b="66040"/>
                <wp:wrapNone/>
                <wp:docPr id="950290399" name="Straight Arrow Connector 950290399"/>
                <wp:cNvGraphicFramePr/>
                <a:graphic xmlns:a="http://schemas.openxmlformats.org/drawingml/2006/main">
                  <a:graphicData uri="http://schemas.microsoft.com/office/word/2010/wordprocessingShape">
                    <wps:wsp>
                      <wps:cNvCnPr/>
                      <wps:spPr>
                        <a:xfrm>
                          <a:off x="0" y="0"/>
                          <a:ext cx="0" cy="2197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325.25pt;margin-top:10.35pt;height:17.3pt;width:0pt;z-index:251731968;mso-width-relative:page;mso-height-relative:page;" filled="f" stroked="t" coordsize="21600,21600" o:gfxdata="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dbKwTXAAAACQEAAA8AAAAAAAAAAQAgAAAAIgAAAGRycy9kb3du&#10;cmV2LnhtbFBLAQIUABQAAAAIAIdO4kDyRF94AAIAABYEAAAOAAAAAAAAAAEAIAAAACYBAABkcnMv&#10;ZTJvRG9jLnhtbFBLBQYAAAAABgAGAFkBAACYBQAAAAA=&#10;">
                <v:fill on="f" focussize="0,0"/>
                <v:stroke weight="1.5pt" color="#000000 [3200]" joinstyle="round" endarrow="block"/>
                <v:imagedata o:title=""/>
                <o:lock v:ext="edit" aspectratio="f"/>
              </v:shape>
            </w:pict>
          </mc:Fallback>
        </mc:AlternateContent>
      </w:r>
      <w:r>
        <w:rPr>
          <w:noProof/>
          <w:lang w:val="en-US"/>
        </w:rPr>
        <mc:AlternateContent>
          <mc:Choice Requires="wps">
            <w:drawing>
              <wp:anchor distT="0" distB="0" distL="114300" distR="114300" simplePos="0" relativeHeight="251730944" behindDoc="0" locked="0" layoutInCell="1" allowOverlap="1" wp14:anchorId="79A08914" wp14:editId="1EB7C8AB">
                <wp:simplePos x="0" y="0"/>
                <wp:positionH relativeFrom="column">
                  <wp:posOffset>1455420</wp:posOffset>
                </wp:positionH>
                <wp:positionV relativeFrom="paragraph">
                  <wp:posOffset>142875</wp:posOffset>
                </wp:positionV>
                <wp:extent cx="0" cy="219710"/>
                <wp:effectExtent l="76200" t="0" r="57150" b="66040"/>
                <wp:wrapNone/>
                <wp:docPr id="501774237" name="Straight Arrow Connector 501774237"/>
                <wp:cNvGraphicFramePr/>
                <a:graphic xmlns:a="http://schemas.openxmlformats.org/drawingml/2006/main">
                  <a:graphicData uri="http://schemas.microsoft.com/office/word/2010/wordprocessingShape">
                    <wps:wsp>
                      <wps:cNvCnPr/>
                      <wps:spPr>
                        <a:xfrm>
                          <a:off x="0" y="0"/>
                          <a:ext cx="0" cy="2197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114.6pt;margin-top:11.25pt;height:17.3pt;width:0pt;z-index:251730944;mso-width-relative:page;mso-height-relative:page;" filled="f" stroked="t" coordsize="21600,21600" o:gfxdata="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LhFSv/XAAAACQEAAA8AAAAAAAAAAQAgAAAAIgAAAGRycy9kb3du&#10;cmV2LnhtbFBLAQIUABQAAAAIAIdO4kAYFVpQAAIAABYEAAAOAAAAAAAAAAEAIAAAACYBAABkcnMv&#10;ZTJvRG9jLnhtbFBLBQYAAAAABgAGAFkBAACYBQAAAAA=&#10;">
                <v:fill on="f" focussize="0,0"/>
                <v:stroke weight="1.5pt" color="#000000 [3200]" joinstyle="round" endarrow="block"/>
                <v:imagedata o:title=""/>
                <o:lock v:ext="edit" aspectratio="f"/>
              </v:shape>
            </w:pict>
          </mc:Fallback>
        </mc:AlternateContent>
      </w:r>
      <w:r>
        <w:rPr>
          <w:noProof/>
          <w:lang w:val="id-ID"/>
        </w:rPr>
        <mc:AlternateContent>
          <mc:Choice Requires="wps">
            <w:drawing>
              <wp:anchor distT="0" distB="0" distL="114300" distR="114300" simplePos="0" relativeHeight="251729920" behindDoc="0" locked="0" layoutInCell="1" allowOverlap="1" wp14:anchorId="0B99FA1A" wp14:editId="2D1C70D8">
                <wp:simplePos x="0" y="0"/>
                <wp:positionH relativeFrom="column">
                  <wp:posOffset>1453515</wp:posOffset>
                </wp:positionH>
                <wp:positionV relativeFrom="paragraph">
                  <wp:posOffset>147955</wp:posOffset>
                </wp:positionV>
                <wp:extent cx="2671445" cy="7620"/>
                <wp:effectExtent l="0" t="0" r="33655" b="30480"/>
                <wp:wrapNone/>
                <wp:docPr id="385077476" name="Straight Connector 3"/>
                <wp:cNvGraphicFramePr/>
                <a:graphic xmlns:a="http://schemas.openxmlformats.org/drawingml/2006/main">
                  <a:graphicData uri="http://schemas.microsoft.com/office/word/2010/wordprocessingShape">
                    <wps:wsp>
                      <wps:cNvCnPr/>
                      <wps:spPr>
                        <a:xfrm flipV="1">
                          <a:off x="0" y="0"/>
                          <a:ext cx="2671445" cy="762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Straight Connector 3" o:spid="_x0000_s1026" o:spt="20" style="position:absolute;left:0pt;flip:y;margin-left:114.45pt;margin-top:11.65pt;height:0.6pt;width:210.35pt;z-index:251729920;mso-width-relative:page;mso-height-relative:page;" filled="f" stroked="t" coordsize="21600,21600" o:gfxdata="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nGIQ7YAAAACQEAAA8AAAAAAAAAAQAgAAAAIgAAAGRycy9kb3ducmV2LnhtbFBL&#10;AQIUABQAAAAIAIdO4kA+MbZA9gEAAOwDAAAOAAAAAAAAAAEAIAAAACcBAABkcnMvZTJvRG9jLnht&#10;bFBLBQYAAAAABgAGAFkBAACPBQAAAAA=&#10;">
                <v:fill on="f" focussize="0,0"/>
                <v:stroke weight="1.5pt" color="#000000 [3200]" joinstyle="round"/>
                <v:imagedata o:title=""/>
                <o:lock v:ext="edit" aspectratio="f"/>
              </v:line>
            </w:pict>
          </mc:Fallback>
        </mc:AlternateContent>
      </w:r>
    </w:p>
    <w:p w14:paraId="44498FCE" w14:textId="77777777" w:rsidR="003B79BC" w:rsidRDefault="003B79BC">
      <w:pPr>
        <w:rPr>
          <w:lang w:val="id-ID"/>
        </w:rPr>
      </w:pPr>
    </w:p>
    <w:p w14:paraId="551EBD82" w14:textId="77777777" w:rsidR="003B79BC" w:rsidRDefault="00000000">
      <w:pPr>
        <w:rPr>
          <w:lang w:val="id-ID"/>
        </w:rPr>
      </w:pPr>
      <w:r>
        <w:rPr>
          <w:noProof/>
          <w:lang w:val="en-US"/>
        </w:rPr>
        <mc:AlternateContent>
          <mc:Choice Requires="wps">
            <w:drawing>
              <wp:anchor distT="0" distB="0" distL="114300" distR="114300" simplePos="0" relativeHeight="251704320" behindDoc="0" locked="0" layoutInCell="1" allowOverlap="1" wp14:anchorId="3721C731" wp14:editId="25E36989">
                <wp:simplePos x="0" y="0"/>
                <wp:positionH relativeFrom="column">
                  <wp:posOffset>4467225</wp:posOffset>
                </wp:positionH>
                <wp:positionV relativeFrom="paragraph">
                  <wp:posOffset>45085</wp:posOffset>
                </wp:positionV>
                <wp:extent cx="9525" cy="238125"/>
                <wp:effectExtent l="76200" t="38100" r="66675" b="28575"/>
                <wp:wrapNone/>
                <wp:docPr id="2023548535" name="Straight Arrow Connector 2023548535"/>
                <wp:cNvGraphicFramePr/>
                <a:graphic xmlns:a="http://schemas.openxmlformats.org/drawingml/2006/main">
                  <a:graphicData uri="http://schemas.microsoft.com/office/word/2010/wordprocessingShape">
                    <wps:wsp>
                      <wps:cNvCnPr/>
                      <wps:spPr>
                        <a:xfrm flipV="1">
                          <a:off x="0" y="0"/>
                          <a:ext cx="9525" cy="238125"/>
                        </a:xfrm>
                        <a:prstGeom prst="straightConnector1">
                          <a:avLst/>
                        </a:prstGeom>
                        <a:ln>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y;margin-left:351.75pt;margin-top:3.55pt;height:18.75pt;width:0.75pt;z-index:251704320;mso-width-relative:page;mso-height-relative:page;" filled="f" stroked="t" coordsize="21600,21600" o:gfxdata="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mYBortcAAAAIAQAA&#10;DwAAAAAAAAABACAAAAAiAAAAZHJzL2Rvd25yZXYueG1sUEsBAhQAFAAAAAgAh07iQKuslu0aAgAA&#10;XQQAAA4AAAAAAAAAAQAgAAAAJgEAAGRycy9lMm9Eb2MueG1sUEsFBgAAAAAGAAYAWQEAALIFAAAA&#10;AA==&#10;">
                <v:fill on="f" focussize="0,0"/>
                <v:stroke color="#000000 [3200]" joinstyle="round" endarrow="open"/>
                <v:imagedata o:title=""/>
                <o:lock v:ext="edit" aspectratio="f"/>
              </v:shape>
            </w:pict>
          </mc:Fallback>
        </mc:AlternateContent>
      </w:r>
      <w:r>
        <w:rPr>
          <w:noProof/>
          <w:lang w:val="en-US"/>
        </w:rPr>
        <mc:AlternateContent>
          <mc:Choice Requires="wps">
            <w:drawing>
              <wp:anchor distT="0" distB="0" distL="114300" distR="114300" simplePos="0" relativeHeight="251703296" behindDoc="0" locked="0" layoutInCell="1" allowOverlap="1" wp14:anchorId="2054723B" wp14:editId="62AF0385">
                <wp:simplePos x="0" y="0"/>
                <wp:positionH relativeFrom="column">
                  <wp:posOffset>3581400</wp:posOffset>
                </wp:positionH>
                <wp:positionV relativeFrom="paragraph">
                  <wp:posOffset>18415</wp:posOffset>
                </wp:positionV>
                <wp:extent cx="1043940" cy="314325"/>
                <wp:effectExtent l="0" t="0" r="22860" b="28575"/>
                <wp:wrapNone/>
                <wp:docPr id="1328959245" name="Rectangle 4"/>
                <wp:cNvGraphicFramePr/>
                <a:graphic xmlns:a="http://schemas.openxmlformats.org/drawingml/2006/main">
                  <a:graphicData uri="http://schemas.microsoft.com/office/word/2010/wordprocessingShape">
                    <wps:wsp>
                      <wps:cNvSpPr/>
                      <wps:spPr bwMode="auto">
                        <a:xfrm>
                          <a:off x="0" y="0"/>
                          <a:ext cx="1043940" cy="314325"/>
                        </a:xfrm>
                        <a:prstGeom prst="rect">
                          <a:avLst/>
                        </a:prstGeom>
                      </wps:spPr>
                      <wps:style>
                        <a:lnRef idx="2">
                          <a:schemeClr val="dk1"/>
                        </a:lnRef>
                        <a:fillRef idx="1">
                          <a:schemeClr val="lt1"/>
                        </a:fillRef>
                        <a:effectRef idx="0">
                          <a:schemeClr val="dk1"/>
                        </a:effectRef>
                        <a:fontRef idx="minor">
                          <a:schemeClr val="dk1"/>
                        </a:fontRef>
                      </wps:style>
                      <wps:txbx>
                        <w:txbxContent>
                          <w:p w14:paraId="1C6A0A4B"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Inflamasi</w:t>
                            </w:r>
                          </w:p>
                        </w:txbxContent>
                      </wps:txbx>
                      <wps:bodyPr rot="0" vert="horz" wrap="square" lIns="91440" tIns="45720" rIns="91440" bIns="45720" anchor="ctr" anchorCtr="0" upright="1">
                        <a:noAutofit/>
                      </wps:bodyPr>
                    </wps:wsp>
                  </a:graphicData>
                </a:graphic>
              </wp:anchor>
            </w:drawing>
          </mc:Choice>
          <mc:Fallback>
            <w:pict>
              <v:rect w14:anchorId="2054723B" id="_x0000_s1028" style="position:absolute;margin-left:282pt;margin-top:1.45pt;width:82.2pt;height:24.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" fillcolor="white [3201]" strokecolor="black [3200]" strokeweight="2pt">
                <v:textbox>
                  <w:txbxContent>
                    <w:p w14:paraId="1C6A0A4B"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Inflamasi</w:t>
                      </w:r>
                    </w:p>
                  </w:txbxContent>
                </v:textbox>
              </v:rect>
            </w:pict>
          </mc:Fallback>
        </mc:AlternateContent>
      </w:r>
      <w:r>
        <w:rPr>
          <w:noProof/>
          <w:lang w:val="en-US"/>
        </w:rPr>
        <mc:AlternateContent>
          <mc:Choice Requires="wps">
            <w:drawing>
              <wp:anchor distT="0" distB="0" distL="114300" distR="114300" simplePos="0" relativeHeight="251701248" behindDoc="0" locked="0" layoutInCell="1" allowOverlap="1" wp14:anchorId="6F26E718" wp14:editId="427C857F">
                <wp:simplePos x="0" y="0"/>
                <wp:positionH relativeFrom="column">
                  <wp:posOffset>969645</wp:posOffset>
                </wp:positionH>
                <wp:positionV relativeFrom="paragraph">
                  <wp:posOffset>26035</wp:posOffset>
                </wp:positionV>
                <wp:extent cx="1043940" cy="314325"/>
                <wp:effectExtent l="0" t="0" r="22860" b="28575"/>
                <wp:wrapNone/>
                <wp:docPr id="1261143643" name="Rectangle 4"/>
                <wp:cNvGraphicFramePr/>
                <a:graphic xmlns:a="http://schemas.openxmlformats.org/drawingml/2006/main">
                  <a:graphicData uri="http://schemas.microsoft.com/office/word/2010/wordprocessingShape">
                    <wps:wsp>
                      <wps:cNvSpPr/>
                      <wps:spPr bwMode="auto">
                        <a:xfrm>
                          <a:off x="0" y="0"/>
                          <a:ext cx="1043940" cy="314325"/>
                        </a:xfrm>
                        <a:prstGeom prst="rect">
                          <a:avLst/>
                        </a:prstGeom>
                      </wps:spPr>
                      <wps:style>
                        <a:lnRef idx="2">
                          <a:schemeClr val="dk1"/>
                        </a:lnRef>
                        <a:fillRef idx="1">
                          <a:schemeClr val="lt1"/>
                        </a:fillRef>
                        <a:effectRef idx="0">
                          <a:schemeClr val="dk1"/>
                        </a:effectRef>
                        <a:fontRef idx="minor">
                          <a:schemeClr val="dk1"/>
                        </a:fontRef>
                      </wps:style>
                      <wps:txbx>
                        <w:txbxContent>
                          <w:p w14:paraId="120153A5"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Sinyal Na</w:t>
                            </w:r>
                            <w:r>
                              <w:rPr>
                                <w:rFonts w:ascii="Times New Roman" w:hAnsi="Times New Roman"/>
                                <w:color w:val="000000"/>
                                <w:kern w:val="24"/>
                                <w:sz w:val="24"/>
                                <w:szCs w:val="28"/>
                                <w:vertAlign w:val="superscript"/>
                                <w:lang w:val="id-ID"/>
                              </w:rPr>
                              <w:t>2+</w:t>
                            </w:r>
                          </w:p>
                        </w:txbxContent>
                      </wps:txbx>
                      <wps:bodyPr rot="0" vert="horz" wrap="square" lIns="91440" tIns="45720" rIns="91440" bIns="45720" anchor="ctr" anchorCtr="0" upright="1">
                        <a:noAutofit/>
                      </wps:bodyPr>
                    </wps:wsp>
                  </a:graphicData>
                </a:graphic>
              </wp:anchor>
            </w:drawing>
          </mc:Choice>
          <mc:Fallback>
            <w:pict>
              <v:rect w14:anchorId="6F26E718" id="_x0000_s1029" style="position:absolute;margin-left:76.35pt;margin-top:2.05pt;width:82.2pt;height:24.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" fillcolor="white [3201]" strokecolor="black [3200]" strokeweight="2pt">
                <v:textbox>
                  <w:txbxContent>
                    <w:p w14:paraId="120153A5"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Sinyal Na</w:t>
                      </w:r>
                      <w:r>
                        <w:rPr>
                          <w:rFonts w:ascii="Times New Roman" w:hAnsi="Times New Roman"/>
                          <w:color w:val="000000"/>
                          <w:kern w:val="24"/>
                          <w:sz w:val="24"/>
                          <w:szCs w:val="28"/>
                          <w:vertAlign w:val="superscript"/>
                          <w:lang w:val="id-ID"/>
                        </w:rPr>
                        <w:t>2+</w:t>
                      </w:r>
                    </w:p>
                  </w:txbxContent>
                </v:textbox>
              </v:rect>
            </w:pict>
          </mc:Fallback>
        </mc:AlternateContent>
      </w:r>
    </w:p>
    <w:p w14:paraId="1758FEBE" w14:textId="77777777" w:rsidR="003B79BC" w:rsidRDefault="00000000">
      <w:pPr>
        <w:rPr>
          <w:lang w:val="id-ID"/>
        </w:rPr>
      </w:pPr>
      <w:r>
        <w:rPr>
          <w:noProof/>
          <w:lang w:val="en-US"/>
        </w:rPr>
        <mc:AlternateContent>
          <mc:Choice Requires="wps">
            <w:drawing>
              <wp:anchor distT="0" distB="0" distL="114300" distR="114300" simplePos="0" relativeHeight="251726848" behindDoc="0" locked="0" layoutInCell="1" allowOverlap="1" wp14:anchorId="3E1A23B1" wp14:editId="0BD80CE1">
                <wp:simplePos x="0" y="0"/>
                <wp:positionH relativeFrom="column">
                  <wp:posOffset>4141470</wp:posOffset>
                </wp:positionH>
                <wp:positionV relativeFrom="paragraph">
                  <wp:posOffset>144780</wp:posOffset>
                </wp:positionV>
                <wp:extent cx="0" cy="219710"/>
                <wp:effectExtent l="76200" t="0" r="57150" b="66040"/>
                <wp:wrapNone/>
                <wp:docPr id="65258004" name="Straight Arrow Connector 65258004"/>
                <wp:cNvGraphicFramePr/>
                <a:graphic xmlns:a="http://schemas.openxmlformats.org/drawingml/2006/main">
                  <a:graphicData uri="http://schemas.microsoft.com/office/word/2010/wordprocessingShape">
                    <wps:wsp>
                      <wps:cNvCnPr/>
                      <wps:spPr>
                        <a:xfrm>
                          <a:off x="0" y="0"/>
                          <a:ext cx="0" cy="2197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326.1pt;margin-top:11.4pt;height:17.3pt;width:0pt;z-index:251726848;mso-width-relative:page;mso-height-relative:page;" filled="f" stroked="t" coordsize="21600,21600" o:gfxdata="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I19h6dcAAAAJAQAADwAAAAAAAAABACAAAAAiAAAAZHJzL2Rvd25y&#10;ZXYueG1sUEsBAhQAFAAAAAgAh07iQLUeC2f/AQAAFAQAAA4AAAAAAAAAAQAgAAAAJgEAAGRycy9l&#10;Mm9Eb2MueG1sUEsFBgAAAAAGAAYAWQEAAJcFAAAAAA==&#10;">
                <v:fill on="f" focussize="0,0"/>
                <v:stroke weight="1.5pt" color="#000000 [3200]" joinstyle="round" endarrow="block"/>
                <v:imagedata o:title=""/>
                <o:lock v:ext="edit" aspectratio="f"/>
              </v:shape>
            </w:pict>
          </mc:Fallback>
        </mc:AlternateContent>
      </w:r>
    </w:p>
    <w:p w14:paraId="4C3182AF" w14:textId="77777777" w:rsidR="003B79BC" w:rsidRDefault="00000000">
      <w:pPr>
        <w:rPr>
          <w:lang w:val="id-ID"/>
        </w:rPr>
      </w:pPr>
      <w:r>
        <w:rPr>
          <w:noProof/>
          <w:lang w:val="id-ID"/>
        </w:rPr>
        <mc:AlternateContent>
          <mc:Choice Requires="wps">
            <w:drawing>
              <wp:anchor distT="0" distB="0" distL="114300" distR="114300" simplePos="0" relativeHeight="251707392" behindDoc="0" locked="0" layoutInCell="1" allowOverlap="1" wp14:anchorId="7A72C377" wp14:editId="1FC1A11F">
                <wp:simplePos x="0" y="0"/>
                <wp:positionH relativeFrom="column">
                  <wp:posOffset>1483995</wp:posOffset>
                </wp:positionH>
                <wp:positionV relativeFrom="paragraph">
                  <wp:posOffset>9525</wp:posOffset>
                </wp:positionV>
                <wp:extent cx="9525" cy="361950"/>
                <wp:effectExtent l="38100" t="0" r="66675" b="57150"/>
                <wp:wrapNone/>
                <wp:docPr id="1487061025" name="Straight Arrow Connector 9"/>
                <wp:cNvGraphicFramePr/>
                <a:graphic xmlns:a="http://schemas.openxmlformats.org/drawingml/2006/main">
                  <a:graphicData uri="http://schemas.microsoft.com/office/word/2010/wordprocessingShape">
                    <wps:wsp>
                      <wps:cNvCnPr/>
                      <wps:spPr>
                        <a:xfrm>
                          <a:off x="0" y="0"/>
                          <a:ext cx="9525" cy="3619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Straight Arrow Connector 9" o:spid="_x0000_s1026" o:spt="32" type="#_x0000_t32" style="position:absolute;left:0pt;margin-left:116.85pt;margin-top:0.75pt;height:28.5pt;width:0.75pt;z-index:251707392;mso-width-relative:page;mso-height-relative:page;" filled="f" stroked="t" coordsize="21600,21600" o:gfxdata="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fYpMC2AAAAAgBAAAPAAAAAAAAAAEAIAAAACIAAABkcnMv&#10;ZG93bnJldi54bWxQSwECFAAUAAAACACHTuJAtcjvmAMCAAASBAAADgAAAAAAAAABACAAAAAnAQAA&#10;ZHJzL2Uyb0RvYy54bWxQSwUGAAAAAAYABgBZAQAAnAUAAAAA&#10;">
                <v:fill on="f" focussize="0,0"/>
                <v:stroke weight="1.5pt" color="#000000 [3200]" joinstyle="round" endarrow="block"/>
                <v:imagedata o:title=""/>
                <o:lock v:ext="edit" aspectratio="f"/>
              </v:shape>
            </w:pict>
          </mc:Fallback>
        </mc:AlternateContent>
      </w:r>
    </w:p>
    <w:p w14:paraId="226F4E3D" w14:textId="77777777" w:rsidR="003B79BC" w:rsidRDefault="00000000">
      <w:pPr>
        <w:rPr>
          <w:lang w:val="id-ID"/>
        </w:rPr>
      </w:pPr>
      <w:r>
        <w:rPr>
          <w:noProof/>
          <w:lang w:val="en-US"/>
        </w:rPr>
        <mc:AlternateContent>
          <mc:Choice Requires="wps">
            <w:drawing>
              <wp:anchor distT="0" distB="0" distL="114300" distR="114300" simplePos="0" relativeHeight="251722752" behindDoc="0" locked="0" layoutInCell="1" allowOverlap="1" wp14:anchorId="624EE386" wp14:editId="077B6D8A">
                <wp:simplePos x="0" y="0"/>
                <wp:positionH relativeFrom="column">
                  <wp:posOffset>3590925</wp:posOffset>
                </wp:positionH>
                <wp:positionV relativeFrom="paragraph">
                  <wp:posOffset>8890</wp:posOffset>
                </wp:positionV>
                <wp:extent cx="1043940" cy="314325"/>
                <wp:effectExtent l="0" t="0" r="22860" b="28575"/>
                <wp:wrapNone/>
                <wp:docPr id="240177904" name="Rectangle 4"/>
                <wp:cNvGraphicFramePr/>
                <a:graphic xmlns:a="http://schemas.openxmlformats.org/drawingml/2006/main">
                  <a:graphicData uri="http://schemas.microsoft.com/office/word/2010/wordprocessingShape">
                    <wps:wsp>
                      <wps:cNvSpPr/>
                      <wps:spPr bwMode="auto">
                        <a:xfrm>
                          <a:off x="0" y="0"/>
                          <a:ext cx="1043940" cy="314325"/>
                        </a:xfrm>
                        <a:prstGeom prst="rect">
                          <a:avLst/>
                        </a:prstGeom>
                      </wps:spPr>
                      <wps:style>
                        <a:lnRef idx="2">
                          <a:schemeClr val="dk1"/>
                        </a:lnRef>
                        <a:fillRef idx="1">
                          <a:schemeClr val="lt1"/>
                        </a:fillRef>
                        <a:effectRef idx="0">
                          <a:schemeClr val="dk1"/>
                        </a:effectRef>
                        <a:fontRef idx="minor">
                          <a:schemeClr val="dk1"/>
                        </a:fontRef>
                      </wps:style>
                      <wps:txbx>
                        <w:txbxContent>
                          <w:p w14:paraId="12652554"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NF-kB</w:t>
                            </w:r>
                          </w:p>
                        </w:txbxContent>
                      </wps:txbx>
                      <wps:bodyPr rot="0" vert="horz" wrap="square" lIns="91440" tIns="45720" rIns="91440" bIns="45720" anchor="ctr" anchorCtr="0" upright="1">
                        <a:noAutofit/>
                      </wps:bodyPr>
                    </wps:wsp>
                  </a:graphicData>
                </a:graphic>
              </wp:anchor>
            </w:drawing>
          </mc:Choice>
          <mc:Fallback>
            <w:pict>
              <v:rect w14:anchorId="624EE386" id="_x0000_s1030" style="position:absolute;margin-left:282.75pt;margin-top:.7pt;width:82.2pt;height:24.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" fillcolor="white [3201]" strokecolor="black [3200]" strokeweight="2pt">
                <v:textbox>
                  <w:txbxContent>
                    <w:p w14:paraId="12652554"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NF-kB</w:t>
                      </w:r>
                    </w:p>
                  </w:txbxContent>
                </v:textbox>
              </v:rect>
            </w:pict>
          </mc:Fallback>
        </mc:AlternateContent>
      </w:r>
    </w:p>
    <w:p w14:paraId="23194BC2" w14:textId="77777777" w:rsidR="003B79BC" w:rsidRDefault="00000000">
      <w:pPr>
        <w:rPr>
          <w:lang w:val="id-ID"/>
        </w:rPr>
      </w:pPr>
      <w:r>
        <w:rPr>
          <w:noProof/>
          <w:lang w:val="en-US"/>
        </w:rPr>
        <mc:AlternateContent>
          <mc:Choice Requires="wps">
            <w:drawing>
              <wp:anchor distT="0" distB="0" distL="114300" distR="114300" simplePos="0" relativeHeight="251725824" behindDoc="0" locked="0" layoutInCell="1" allowOverlap="1" wp14:anchorId="25260327" wp14:editId="3E53B59A">
                <wp:simplePos x="0" y="0"/>
                <wp:positionH relativeFrom="column">
                  <wp:posOffset>4152900</wp:posOffset>
                </wp:positionH>
                <wp:positionV relativeFrom="paragraph">
                  <wp:posOffset>138430</wp:posOffset>
                </wp:positionV>
                <wp:extent cx="0" cy="219710"/>
                <wp:effectExtent l="76200" t="0" r="57150" b="66040"/>
                <wp:wrapNone/>
                <wp:docPr id="694570396" name="Straight Arrow Connector 694570396"/>
                <wp:cNvGraphicFramePr/>
                <a:graphic xmlns:a="http://schemas.openxmlformats.org/drawingml/2006/main">
                  <a:graphicData uri="http://schemas.microsoft.com/office/word/2010/wordprocessingShape">
                    <wps:wsp>
                      <wps:cNvCnPr/>
                      <wps:spPr>
                        <a:xfrm>
                          <a:off x="0" y="0"/>
                          <a:ext cx="0" cy="2197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327pt;margin-top:10.9pt;height:17.3pt;width:0pt;z-index:251725824;mso-width-relative:page;mso-height-relative:page;" filled="f" stroked="t" coordsize="21600,21600" o:gfxdata="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n7gUl1wAAAAkBAAAPAAAAAAAAAAEAIAAAACIAAABkcnMvZG93&#10;bnJldi54bWxQSwECFAAUAAAACACHTuJA9YIWVwECAAAWBAAADgAAAAAAAAABACAAAAAmAQAAZHJz&#10;L2Uyb0RvYy54bWxQSwUGAAAAAAYABgBZAQAAmQUAAAAA&#10;">
                <v:fill on="f" focussize="0,0"/>
                <v:stroke weight="1.5pt" color="#000000 [3200]" joinstyle="round" endarrow="block"/>
                <v:imagedata o:title=""/>
                <o:lock v:ext="edit" aspectratio="f"/>
              </v:shape>
            </w:pict>
          </mc:Fallback>
        </mc:AlternateContent>
      </w:r>
      <w:r>
        <w:rPr>
          <w:noProof/>
          <w:lang w:val="en-US"/>
        </w:rPr>
        <mc:AlternateContent>
          <mc:Choice Requires="wps">
            <w:drawing>
              <wp:anchor distT="0" distB="0" distL="114300" distR="114300" simplePos="0" relativeHeight="251702272" behindDoc="0" locked="0" layoutInCell="1" allowOverlap="1" wp14:anchorId="2C6AA4E5" wp14:editId="1244B7C4">
                <wp:simplePos x="0" y="0"/>
                <wp:positionH relativeFrom="column">
                  <wp:posOffset>981075</wp:posOffset>
                </wp:positionH>
                <wp:positionV relativeFrom="paragraph">
                  <wp:posOffset>10795</wp:posOffset>
                </wp:positionV>
                <wp:extent cx="1043940" cy="314325"/>
                <wp:effectExtent l="0" t="0" r="22860" b="28575"/>
                <wp:wrapNone/>
                <wp:docPr id="647329551" name="Rectangle 4"/>
                <wp:cNvGraphicFramePr/>
                <a:graphic xmlns:a="http://schemas.openxmlformats.org/drawingml/2006/main">
                  <a:graphicData uri="http://schemas.microsoft.com/office/word/2010/wordprocessingShape">
                    <wps:wsp>
                      <wps:cNvSpPr/>
                      <wps:spPr bwMode="auto">
                        <a:xfrm>
                          <a:off x="0" y="0"/>
                          <a:ext cx="1043940" cy="314325"/>
                        </a:xfrm>
                        <a:prstGeom prst="rect">
                          <a:avLst/>
                        </a:prstGeom>
                      </wps:spPr>
                      <wps:style>
                        <a:lnRef idx="2">
                          <a:schemeClr val="dk1"/>
                        </a:lnRef>
                        <a:fillRef idx="1">
                          <a:schemeClr val="lt1"/>
                        </a:fillRef>
                        <a:effectRef idx="0">
                          <a:schemeClr val="dk1"/>
                        </a:effectRef>
                        <a:fontRef idx="minor">
                          <a:schemeClr val="dk1"/>
                        </a:fontRef>
                      </wps:style>
                      <wps:txbx>
                        <w:txbxContent>
                          <w:p w14:paraId="6D2FD13A"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Saluran Na</w:t>
                            </w:r>
                            <w:r>
                              <w:rPr>
                                <w:rFonts w:ascii="Times New Roman" w:hAnsi="Times New Roman"/>
                                <w:color w:val="000000"/>
                                <w:kern w:val="24"/>
                                <w:sz w:val="24"/>
                                <w:szCs w:val="28"/>
                                <w:vertAlign w:val="superscript"/>
                                <w:lang w:val="id-ID"/>
                              </w:rPr>
                              <w:t>2+</w:t>
                            </w:r>
                          </w:p>
                        </w:txbxContent>
                      </wps:txbx>
                      <wps:bodyPr rot="0" vert="horz" wrap="square" lIns="91440" tIns="45720" rIns="91440" bIns="45720" anchor="ctr" anchorCtr="0" upright="1">
                        <a:noAutofit/>
                      </wps:bodyPr>
                    </wps:wsp>
                  </a:graphicData>
                </a:graphic>
              </wp:anchor>
            </w:drawing>
          </mc:Choice>
          <mc:Fallback>
            <w:pict>
              <v:rect w14:anchorId="2C6AA4E5" id="_x0000_s1031" style="position:absolute;margin-left:77.25pt;margin-top:.85pt;width:82.2pt;height:24.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" fillcolor="white [3201]" strokecolor="black [3200]" strokeweight="2pt">
                <v:textbox>
                  <w:txbxContent>
                    <w:p w14:paraId="6D2FD13A"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Saluran Na</w:t>
                      </w:r>
                      <w:r>
                        <w:rPr>
                          <w:rFonts w:ascii="Times New Roman" w:hAnsi="Times New Roman"/>
                          <w:color w:val="000000"/>
                          <w:kern w:val="24"/>
                          <w:sz w:val="24"/>
                          <w:szCs w:val="28"/>
                          <w:vertAlign w:val="superscript"/>
                          <w:lang w:val="id-ID"/>
                        </w:rPr>
                        <w:t>2+</w:t>
                      </w:r>
                    </w:p>
                  </w:txbxContent>
                </v:textbox>
              </v:rect>
            </w:pict>
          </mc:Fallback>
        </mc:AlternateContent>
      </w:r>
    </w:p>
    <w:p w14:paraId="1C7C23E6" w14:textId="77777777" w:rsidR="003B79BC" w:rsidRDefault="00000000">
      <w:pPr>
        <w:rPr>
          <w:lang w:val="id-ID"/>
        </w:rPr>
      </w:pPr>
      <w:r>
        <w:rPr>
          <w:noProof/>
          <w:lang w:val="id-ID"/>
        </w:rPr>
        <mc:AlternateContent>
          <mc:Choice Requires="wps">
            <w:drawing>
              <wp:anchor distT="0" distB="0" distL="114300" distR="114300" simplePos="0" relativeHeight="251718656" behindDoc="0" locked="0" layoutInCell="1" allowOverlap="1" wp14:anchorId="714A941F" wp14:editId="552152C3">
                <wp:simplePos x="0" y="0"/>
                <wp:positionH relativeFrom="column">
                  <wp:posOffset>2023110</wp:posOffset>
                </wp:positionH>
                <wp:positionV relativeFrom="paragraph">
                  <wp:posOffset>5080</wp:posOffset>
                </wp:positionV>
                <wp:extent cx="337185" cy="1095375"/>
                <wp:effectExtent l="0" t="19050" r="62865" b="47625"/>
                <wp:wrapNone/>
                <wp:docPr id="1045585470" name="Connector: Elbow 8"/>
                <wp:cNvGraphicFramePr/>
                <a:graphic xmlns:a="http://schemas.openxmlformats.org/drawingml/2006/main">
                  <a:graphicData uri="http://schemas.microsoft.com/office/word/2010/wordprocessingShape">
                    <wps:wsp>
                      <wps:cNvCnPr/>
                      <wps:spPr>
                        <a:xfrm>
                          <a:off x="0" y="0"/>
                          <a:ext cx="337185" cy="1095375"/>
                        </a:xfrm>
                        <a:prstGeom prst="bentConnector3">
                          <a:avLst>
                            <a:gd name="adj1" fmla="val 100848"/>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Connector: Elbow 8" o:spid="_x0000_s1026" o:spt="34" type="#_x0000_t34" style="position:absolute;left:0pt;margin-left:159.3pt;margin-top:0.4pt;height:86.25pt;width:26.55pt;z-index:251718656;mso-width-relative:page;mso-height-relative:page;" filled="f" stroked="t" coordsize="21600,21600" o:gfxdata="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7QYi3XAAAACAEAAA8A&#10;AAAAAAAAAQAgAAAAIgAAAGRycy9kb3ducmV2LnhtbFBLAQIUABQAAAAIAIdO4kCE38UHGAIAADcE&#10;AAAOAAAAAAAAAAEAIAAAACYBAABkcnMvZTJvRG9jLnhtbFBLBQYAAAAABgAGAFkBAACwBQAAAAA=&#10;" adj="21783">
                <v:fill on="f" focussize="0,0"/>
                <v:stroke weight="2.25pt" color="#000000 [3200]" joinstyle="round" endarrow="block"/>
                <v:imagedata o:title=""/>
                <o:lock v:ext="edit" aspectratio="f"/>
              </v:shape>
            </w:pict>
          </mc:Fallback>
        </mc:AlternateContent>
      </w:r>
    </w:p>
    <w:p w14:paraId="617A00E6" w14:textId="77777777" w:rsidR="003B79BC" w:rsidRDefault="00000000">
      <w:pPr>
        <w:rPr>
          <w:lang w:val="id-ID"/>
        </w:rPr>
      </w:pPr>
      <w:r>
        <w:rPr>
          <w:noProof/>
          <w:lang w:val="en-US"/>
        </w:rPr>
        <mc:AlternateContent>
          <mc:Choice Requires="wps">
            <w:drawing>
              <wp:anchor distT="0" distB="0" distL="114300" distR="114300" simplePos="0" relativeHeight="251723776" behindDoc="0" locked="0" layoutInCell="1" allowOverlap="1" wp14:anchorId="7A70D316" wp14:editId="555EE16F">
                <wp:simplePos x="0" y="0"/>
                <wp:positionH relativeFrom="column">
                  <wp:posOffset>4780280</wp:posOffset>
                </wp:positionH>
                <wp:positionV relativeFrom="paragraph">
                  <wp:posOffset>48895</wp:posOffset>
                </wp:positionV>
                <wp:extent cx="9525" cy="238125"/>
                <wp:effectExtent l="76200" t="38100" r="66675" b="28575"/>
                <wp:wrapNone/>
                <wp:docPr id="1557137111" name="Straight Arrow Connector 1557137111"/>
                <wp:cNvGraphicFramePr/>
                <a:graphic xmlns:a="http://schemas.openxmlformats.org/drawingml/2006/main">
                  <a:graphicData uri="http://schemas.microsoft.com/office/word/2010/wordprocessingShape">
                    <wps:wsp>
                      <wps:cNvCnPr/>
                      <wps:spPr>
                        <a:xfrm flipV="1">
                          <a:off x="0" y="0"/>
                          <a:ext cx="9525" cy="238125"/>
                        </a:xfrm>
                        <a:prstGeom prst="straightConnector1">
                          <a:avLst/>
                        </a:prstGeom>
                        <a:ln>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y;margin-left:376.4pt;margin-top:3.85pt;height:18.75pt;width:0.75pt;z-index:251723776;mso-width-relative:page;mso-height-relative:page;" filled="f" stroked="t" coordsize="21600,21600" o:gfxdata="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6B7vS1wAAAAgBAAAP&#10;AAAAAAAAAAEAIAAAACIAAABkcnMvZG93bnJldi54bWxQSwECFAAUAAAACACHTuJA7/+fdhkCAABd&#10;BAAADgAAAAAAAAABACAAAAAmAQAAZHJzL2Uyb0RvYy54bWxQSwUGAAAAAAYABgBZAQAAsQUAAAAA&#10;">
                <v:fill on="f" focussize="0,0"/>
                <v:stroke color="#000000 [3200]" joinstyle="round" endarrow="open"/>
                <v:imagedata o:title=""/>
                <o:lock v:ext="edit" aspectratio="f"/>
              </v:shape>
            </w:pict>
          </mc:Fallback>
        </mc:AlternateContent>
      </w:r>
      <w:r>
        <w:rPr>
          <w:noProof/>
          <w:lang w:val="en-US"/>
        </w:rPr>
        <mc:AlternateContent>
          <mc:Choice Requires="wps">
            <w:drawing>
              <wp:anchor distT="0" distB="0" distL="114300" distR="114300" simplePos="0" relativeHeight="251666432" behindDoc="0" locked="0" layoutInCell="1" allowOverlap="1" wp14:anchorId="33FB55A3" wp14:editId="4C1120C9">
                <wp:simplePos x="0" y="0"/>
                <wp:positionH relativeFrom="margin">
                  <wp:posOffset>2997835</wp:posOffset>
                </wp:positionH>
                <wp:positionV relativeFrom="paragraph">
                  <wp:posOffset>15875</wp:posOffset>
                </wp:positionV>
                <wp:extent cx="2229485" cy="763270"/>
                <wp:effectExtent l="0" t="0" r="18415" b="17780"/>
                <wp:wrapNone/>
                <wp:docPr id="86" name="Rectangle 4"/>
                <wp:cNvGraphicFramePr/>
                <a:graphic xmlns:a="http://schemas.openxmlformats.org/drawingml/2006/main">
                  <a:graphicData uri="http://schemas.microsoft.com/office/word/2010/wordprocessingShape">
                    <wps:wsp>
                      <wps:cNvSpPr/>
                      <wps:spPr bwMode="auto">
                        <a:xfrm>
                          <a:off x="0" y="0"/>
                          <a:ext cx="2229492" cy="763270"/>
                        </a:xfrm>
                        <a:prstGeom prst="rect">
                          <a:avLst/>
                        </a:prstGeom>
                      </wps:spPr>
                      <wps:style>
                        <a:lnRef idx="2">
                          <a:schemeClr val="dk1"/>
                        </a:lnRef>
                        <a:fillRef idx="1">
                          <a:schemeClr val="lt1"/>
                        </a:fillRef>
                        <a:effectRef idx="0">
                          <a:schemeClr val="dk1"/>
                        </a:effectRef>
                        <a:fontRef idx="minor">
                          <a:schemeClr val="dk1"/>
                        </a:fontRef>
                      </wps:style>
                      <wps:txbx>
                        <w:txbxContent>
                          <w:p w14:paraId="1F8CE6F9" w14:textId="77777777" w:rsidR="003B79BC" w:rsidRDefault="00000000">
                            <w:pPr>
                              <w:pStyle w:val="NormalWeb"/>
                              <w:spacing w:before="0" w:beforeAutospacing="0" w:after="0" w:afterAutospacing="0"/>
                              <w:jc w:val="center"/>
                              <w:rPr>
                                <w:rFonts w:ascii="Times New Roman" w:hAnsi="Times New Roman"/>
                                <w:color w:val="000000"/>
                                <w:kern w:val="24"/>
                                <w:sz w:val="24"/>
                                <w:szCs w:val="28"/>
                              </w:rPr>
                            </w:pPr>
                            <w:r>
                              <w:rPr>
                                <w:rFonts w:ascii="Times New Roman" w:hAnsi="Times New Roman"/>
                                <w:color w:val="000000"/>
                                <w:kern w:val="24"/>
                                <w:sz w:val="24"/>
                                <w:szCs w:val="28"/>
                                <w:lang w:val="id-ID"/>
                              </w:rPr>
                              <w:t xml:space="preserve">Mediator </w:t>
                            </w:r>
                            <w:r>
                              <w:rPr>
                                <w:rFonts w:ascii="Times New Roman" w:hAnsi="Times New Roman"/>
                                <w:color w:val="000000"/>
                                <w:kern w:val="24"/>
                                <w:sz w:val="24"/>
                                <w:szCs w:val="28"/>
                              </w:rPr>
                              <w:t>inflamasi</w:t>
                            </w:r>
                          </w:p>
                          <w:p w14:paraId="7B85948D" w14:textId="77777777" w:rsidR="003B79BC" w:rsidRDefault="00000000">
                            <w:pPr>
                              <w:jc w:val="center"/>
                              <w:rPr>
                                <w:b/>
                                <w:bCs/>
                                <w:sz w:val="20"/>
                                <w:szCs w:val="20"/>
                                <w:lang w:val="id-ID"/>
                              </w:rPr>
                            </w:pPr>
                            <w:r>
                              <w:rPr>
                                <w:bCs/>
                                <w:sz w:val="20"/>
                                <w:szCs w:val="20"/>
                              </w:rPr>
                              <w:t>Prostaglandin</w:t>
                            </w:r>
                            <w:r>
                              <w:rPr>
                                <w:bCs/>
                                <w:sz w:val="20"/>
                                <w:szCs w:val="20"/>
                                <w:lang w:val="en-US"/>
                              </w:rPr>
                              <w:t xml:space="preserve"> E</w:t>
                            </w:r>
                            <w:r>
                              <w:rPr>
                                <w:bCs/>
                                <w:sz w:val="20"/>
                                <w:szCs w:val="20"/>
                                <w:vertAlign w:val="subscript"/>
                                <w:lang w:val="en-US"/>
                              </w:rPr>
                              <w:t>2</w:t>
                            </w:r>
                            <w:r>
                              <w:rPr>
                                <w:bCs/>
                                <w:sz w:val="20"/>
                                <w:szCs w:val="20"/>
                                <w:lang w:val="en-US"/>
                              </w:rPr>
                              <w:t xml:space="preserve"> (PGE</w:t>
                            </w:r>
                            <w:r>
                              <w:rPr>
                                <w:bCs/>
                                <w:sz w:val="20"/>
                                <w:szCs w:val="20"/>
                                <w:vertAlign w:val="subscript"/>
                                <w:lang w:val="en-US"/>
                              </w:rPr>
                              <w:t>2</w:t>
                            </w:r>
                            <w:r>
                              <w:rPr>
                                <w:bCs/>
                                <w:sz w:val="20"/>
                                <w:szCs w:val="20"/>
                                <w:lang w:val="en-US"/>
                              </w:rPr>
                              <w:t>)</w:t>
                            </w:r>
                            <w:r>
                              <w:rPr>
                                <w:sz w:val="20"/>
                                <w:szCs w:val="20"/>
                              </w:rPr>
                              <w:t>, Leukotrine, H+, K+,Sub P, Bradikinin, Histamin</w:t>
                            </w:r>
                            <w:r>
                              <w:rPr>
                                <w:sz w:val="20"/>
                                <w:szCs w:val="20"/>
                                <w:lang w:val="en-US"/>
                              </w:rPr>
                              <w:t xml:space="preserve">, </w:t>
                            </w:r>
                            <w:r>
                              <w:rPr>
                                <w:b/>
                                <w:bCs/>
                                <w:sz w:val="20"/>
                                <w:szCs w:val="20"/>
                                <w:lang w:val="en-US"/>
                              </w:rPr>
                              <w:t>Sitokin</w:t>
                            </w:r>
                            <w:r>
                              <w:rPr>
                                <w:b/>
                                <w:bCs/>
                                <w:sz w:val="20"/>
                                <w:szCs w:val="20"/>
                                <w:lang w:val="id-ID"/>
                              </w:rPr>
                              <w:t xml:space="preserve"> (IL-6)</w:t>
                            </w:r>
                          </w:p>
                          <w:p w14:paraId="4EA0EAF8" w14:textId="77777777" w:rsidR="003B79BC" w:rsidRDefault="003B79BC">
                            <w:pPr>
                              <w:pStyle w:val="NormalWeb"/>
                              <w:spacing w:before="0" w:beforeAutospacing="0" w:after="0" w:afterAutospacing="0"/>
                              <w:jc w:val="center"/>
                              <w:rPr>
                                <w:rFonts w:ascii="Times New Roman" w:hAnsi="Times New Roman"/>
                                <w:sz w:val="18"/>
                              </w:rPr>
                            </w:pPr>
                          </w:p>
                        </w:txbxContent>
                      </wps:txbx>
                      <wps:bodyPr rot="0" vert="horz" wrap="square" lIns="91440" tIns="45720" rIns="91440" bIns="45720" anchor="ctr" anchorCtr="0" upright="1">
                        <a:noAutofit/>
                      </wps:bodyPr>
                    </wps:wsp>
                  </a:graphicData>
                </a:graphic>
              </wp:anchor>
            </w:drawing>
          </mc:Choice>
          <mc:Fallback>
            <w:pict>
              <v:rect w14:anchorId="33FB55A3" id="_x0000_s1032" style="position:absolute;margin-left:236.05pt;margin-top:1.25pt;width:175.55pt;height:60.1pt;z-index:2516664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" fillcolor="white [3201]" strokecolor="black [3200]" strokeweight="2pt">
                <v:textbox>
                  <w:txbxContent>
                    <w:p w14:paraId="1F8CE6F9" w14:textId="77777777" w:rsidR="003B79BC" w:rsidRDefault="00000000">
                      <w:pPr>
                        <w:pStyle w:val="NormalWeb"/>
                        <w:spacing w:before="0" w:beforeAutospacing="0" w:after="0" w:afterAutospacing="0"/>
                        <w:jc w:val="center"/>
                        <w:rPr>
                          <w:rFonts w:ascii="Times New Roman" w:hAnsi="Times New Roman"/>
                          <w:color w:val="000000"/>
                          <w:kern w:val="24"/>
                          <w:sz w:val="24"/>
                          <w:szCs w:val="28"/>
                        </w:rPr>
                      </w:pPr>
                      <w:r>
                        <w:rPr>
                          <w:rFonts w:ascii="Times New Roman" w:hAnsi="Times New Roman"/>
                          <w:color w:val="000000"/>
                          <w:kern w:val="24"/>
                          <w:sz w:val="24"/>
                          <w:szCs w:val="28"/>
                          <w:lang w:val="id-ID"/>
                        </w:rPr>
                        <w:t xml:space="preserve">Mediator </w:t>
                      </w:r>
                      <w:r>
                        <w:rPr>
                          <w:rFonts w:ascii="Times New Roman" w:hAnsi="Times New Roman"/>
                          <w:color w:val="000000"/>
                          <w:kern w:val="24"/>
                          <w:sz w:val="24"/>
                          <w:szCs w:val="28"/>
                        </w:rPr>
                        <w:t>inflamasi</w:t>
                      </w:r>
                    </w:p>
                    <w:p w14:paraId="7B85948D" w14:textId="77777777" w:rsidR="003B79BC" w:rsidRDefault="00000000">
                      <w:pPr>
                        <w:jc w:val="center"/>
                        <w:rPr>
                          <w:b/>
                          <w:bCs/>
                          <w:sz w:val="20"/>
                          <w:szCs w:val="20"/>
                          <w:lang w:val="id-ID"/>
                        </w:rPr>
                      </w:pPr>
                      <w:r>
                        <w:rPr>
                          <w:bCs/>
                          <w:sz w:val="20"/>
                          <w:szCs w:val="20"/>
                        </w:rPr>
                        <w:t>Prostaglandin</w:t>
                      </w:r>
                      <w:r>
                        <w:rPr>
                          <w:bCs/>
                          <w:sz w:val="20"/>
                          <w:szCs w:val="20"/>
                          <w:lang w:val="en-US"/>
                        </w:rPr>
                        <w:t xml:space="preserve"> E</w:t>
                      </w:r>
                      <w:r>
                        <w:rPr>
                          <w:bCs/>
                          <w:sz w:val="20"/>
                          <w:szCs w:val="20"/>
                          <w:vertAlign w:val="subscript"/>
                          <w:lang w:val="en-US"/>
                        </w:rPr>
                        <w:t>2</w:t>
                      </w:r>
                      <w:r>
                        <w:rPr>
                          <w:bCs/>
                          <w:sz w:val="20"/>
                          <w:szCs w:val="20"/>
                          <w:lang w:val="en-US"/>
                        </w:rPr>
                        <w:t xml:space="preserve"> (PGE</w:t>
                      </w:r>
                      <w:r>
                        <w:rPr>
                          <w:bCs/>
                          <w:sz w:val="20"/>
                          <w:szCs w:val="20"/>
                          <w:vertAlign w:val="subscript"/>
                          <w:lang w:val="en-US"/>
                        </w:rPr>
                        <w:t>2</w:t>
                      </w:r>
                      <w:r>
                        <w:rPr>
                          <w:bCs/>
                          <w:sz w:val="20"/>
                          <w:szCs w:val="20"/>
                          <w:lang w:val="en-US"/>
                        </w:rPr>
                        <w:t>)</w:t>
                      </w:r>
                      <w:r>
                        <w:rPr>
                          <w:sz w:val="20"/>
                          <w:szCs w:val="20"/>
                        </w:rPr>
                        <w:t>, Leukotrine, H+, K+,Sub P, Bradikinin, Histamin</w:t>
                      </w:r>
                      <w:r>
                        <w:rPr>
                          <w:sz w:val="20"/>
                          <w:szCs w:val="20"/>
                          <w:lang w:val="en-US"/>
                        </w:rPr>
                        <w:t xml:space="preserve">, </w:t>
                      </w:r>
                      <w:r>
                        <w:rPr>
                          <w:b/>
                          <w:bCs/>
                          <w:sz w:val="20"/>
                          <w:szCs w:val="20"/>
                          <w:lang w:val="en-US"/>
                        </w:rPr>
                        <w:t>Sitokin</w:t>
                      </w:r>
                      <w:r>
                        <w:rPr>
                          <w:b/>
                          <w:bCs/>
                          <w:sz w:val="20"/>
                          <w:szCs w:val="20"/>
                          <w:lang w:val="id-ID"/>
                        </w:rPr>
                        <w:t xml:space="preserve"> (IL-6)</w:t>
                      </w:r>
                    </w:p>
                    <w:p w14:paraId="4EA0EAF8" w14:textId="77777777" w:rsidR="003B79BC" w:rsidRDefault="003B79BC">
                      <w:pPr>
                        <w:pStyle w:val="NormalWeb"/>
                        <w:spacing w:before="0" w:beforeAutospacing="0" w:after="0" w:afterAutospacing="0"/>
                        <w:jc w:val="center"/>
                        <w:rPr>
                          <w:rFonts w:ascii="Times New Roman" w:hAnsi="Times New Roman"/>
                          <w:sz w:val="18"/>
                        </w:rPr>
                      </w:pPr>
                    </w:p>
                  </w:txbxContent>
                </v:textbox>
                <w10:wrap anchorx="margin"/>
              </v:rect>
            </w:pict>
          </mc:Fallback>
        </mc:AlternateContent>
      </w:r>
      <w:r>
        <w:rPr>
          <w:noProof/>
          <w:lang w:val="en-US"/>
        </w:rPr>
        <mc:AlternateContent>
          <mc:Choice Requires="wps">
            <w:drawing>
              <wp:anchor distT="0" distB="0" distL="114300" distR="114300" simplePos="0" relativeHeight="251714560" behindDoc="0" locked="0" layoutInCell="1" allowOverlap="1" wp14:anchorId="48239F4D" wp14:editId="19A33679">
                <wp:simplePos x="0" y="0"/>
                <wp:positionH relativeFrom="column">
                  <wp:posOffset>-182880</wp:posOffset>
                </wp:positionH>
                <wp:positionV relativeFrom="paragraph">
                  <wp:posOffset>194945</wp:posOffset>
                </wp:positionV>
                <wp:extent cx="1314450" cy="361950"/>
                <wp:effectExtent l="57150" t="38100" r="76200" b="95250"/>
                <wp:wrapNone/>
                <wp:docPr id="824720650" name="Rectangle 4"/>
                <wp:cNvGraphicFramePr/>
                <a:graphic xmlns:a="http://schemas.openxmlformats.org/drawingml/2006/main">
                  <a:graphicData uri="http://schemas.microsoft.com/office/word/2010/wordprocessingShape">
                    <wps:wsp>
                      <wps:cNvSpPr/>
                      <wps:spPr bwMode="auto">
                        <a:xfrm>
                          <a:off x="0" y="0"/>
                          <a:ext cx="1314450" cy="361950"/>
                        </a:xfrm>
                        <a:prstGeom prst="rect">
                          <a:avLst/>
                        </a:prstGeom>
                        <a:solidFill>
                          <a:schemeClr val="accent1">
                            <a:lumMod val="40000"/>
                            <a:lumOff val="60000"/>
                          </a:schemeClr>
                        </a:solidFill>
                        <a:ln w="19050">
                          <a:solidFill>
                            <a:schemeClr val="tx2">
                              <a:lumMod val="75000"/>
                            </a:schemeClr>
                          </a:solidFill>
                          <a:miter lim="800000"/>
                        </a:ln>
                        <a:effectLst>
                          <a:outerShdw blurRad="40000" dist="20000" dir="5400000" rotWithShape="0">
                            <a:srgbClr val="808080">
                              <a:alpha val="37999"/>
                            </a:srgbClr>
                          </a:outerShdw>
                        </a:effectLst>
                      </wps:spPr>
                      <wps:txbx>
                        <w:txbxContent>
                          <w:p w14:paraId="093AA43D" w14:textId="77777777" w:rsidR="003B79BC" w:rsidRDefault="00000000">
                            <w:pPr>
                              <w:pStyle w:val="NormalWeb"/>
                              <w:spacing w:before="0" w:beforeAutospacing="0" w:after="0" w:afterAutospacing="0"/>
                              <w:jc w:val="center"/>
                              <w:rPr>
                                <w:rFonts w:ascii="Times New Roman" w:hAnsi="Times New Roman"/>
                                <w:sz w:val="24"/>
                                <w:szCs w:val="24"/>
                              </w:rPr>
                            </w:pPr>
                            <w:r>
                              <w:rPr>
                                <w:rFonts w:ascii="Times New Roman" w:hAnsi="Times New Roman"/>
                                <w:sz w:val="24"/>
                                <w:szCs w:val="24"/>
                                <w:lang w:val="id-ID"/>
                              </w:rPr>
                              <w:t>Levob</w:t>
                            </w:r>
                            <w:r>
                              <w:rPr>
                                <w:rFonts w:ascii="Times New Roman" w:hAnsi="Times New Roman"/>
                                <w:sz w:val="24"/>
                                <w:szCs w:val="24"/>
                              </w:rPr>
                              <w:t>upivacaine</w:t>
                            </w:r>
                          </w:p>
                        </w:txbxContent>
                      </wps:txbx>
                      <wps:bodyPr rot="0" vert="horz" wrap="square" lIns="91440" tIns="45720" rIns="91440" bIns="45720" anchor="ctr" anchorCtr="0" upright="1">
                        <a:noAutofit/>
                      </wps:bodyPr>
                    </wps:wsp>
                  </a:graphicData>
                </a:graphic>
              </wp:anchor>
            </w:drawing>
          </mc:Choice>
          <mc:Fallback>
            <w:pict>
              <v:rect w14:anchorId="48239F4D" id="_x0000_s1033" style="position:absolute;margin-left:-14.4pt;margin-top:15.35pt;width:103.5pt;height:28.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" fillcolor="#b8cce4 [1300]" strokecolor="#17365d [2415]" strokeweight="1.5pt">
                <v:shadow on="t" opacity="24903f" origin=",.5" offset="0,.55556mm"/>
                <v:textbox>
                  <w:txbxContent>
                    <w:p w14:paraId="093AA43D" w14:textId="77777777" w:rsidR="003B79BC" w:rsidRDefault="00000000">
                      <w:pPr>
                        <w:pStyle w:val="NormalWeb"/>
                        <w:spacing w:before="0" w:beforeAutospacing="0" w:after="0" w:afterAutospacing="0"/>
                        <w:jc w:val="center"/>
                        <w:rPr>
                          <w:rFonts w:ascii="Times New Roman" w:hAnsi="Times New Roman"/>
                          <w:sz w:val="24"/>
                          <w:szCs w:val="24"/>
                        </w:rPr>
                      </w:pPr>
                      <w:r>
                        <w:rPr>
                          <w:rFonts w:ascii="Times New Roman" w:hAnsi="Times New Roman"/>
                          <w:sz w:val="24"/>
                          <w:szCs w:val="24"/>
                          <w:lang w:val="id-ID"/>
                        </w:rPr>
                        <w:t>Levob</w:t>
                      </w:r>
                      <w:r>
                        <w:rPr>
                          <w:rFonts w:ascii="Times New Roman" w:hAnsi="Times New Roman"/>
                          <w:sz w:val="24"/>
                          <w:szCs w:val="24"/>
                        </w:rPr>
                        <w:t>upivacaine</w:t>
                      </w:r>
                    </w:p>
                  </w:txbxContent>
                </v:textbox>
              </v:rect>
            </w:pict>
          </mc:Fallback>
        </mc:AlternateContent>
      </w:r>
    </w:p>
    <w:p w14:paraId="2081694C" w14:textId="77777777" w:rsidR="003B79BC" w:rsidRDefault="00000000">
      <w:pPr>
        <w:rPr>
          <w:lang w:val="id-ID"/>
        </w:rPr>
      </w:pPr>
      <w:r>
        <w:rPr>
          <w:noProof/>
          <w:lang w:val="en-US"/>
        </w:rPr>
        <mc:AlternateContent>
          <mc:Choice Requires="wps">
            <w:drawing>
              <wp:anchor distT="0" distB="0" distL="114300" distR="114300" simplePos="0" relativeHeight="251719680" behindDoc="0" locked="0" layoutInCell="1" allowOverlap="1" wp14:anchorId="256D9035" wp14:editId="77420955">
                <wp:simplePos x="0" y="0"/>
                <wp:positionH relativeFrom="column">
                  <wp:posOffset>2788920</wp:posOffset>
                </wp:positionH>
                <wp:positionV relativeFrom="paragraph">
                  <wp:posOffset>102870</wp:posOffset>
                </wp:positionV>
                <wp:extent cx="190500" cy="647700"/>
                <wp:effectExtent l="57150" t="19050" r="0" b="38100"/>
                <wp:wrapNone/>
                <wp:docPr id="1645940432" name="Connector: Elbow 9"/>
                <wp:cNvGraphicFramePr/>
                <a:graphic xmlns:a="http://schemas.openxmlformats.org/drawingml/2006/main">
                  <a:graphicData uri="http://schemas.microsoft.com/office/word/2010/wordprocessingShape">
                    <wps:wsp>
                      <wps:cNvCnPr/>
                      <wps:spPr>
                        <a:xfrm flipH="1">
                          <a:off x="0" y="0"/>
                          <a:ext cx="190500" cy="647700"/>
                        </a:xfrm>
                        <a:prstGeom prst="bentConnector3">
                          <a:avLst>
                            <a:gd name="adj1" fmla="val 100000"/>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Connector: Elbow 9" o:spid="_x0000_s1026" o:spt="34" type="#_x0000_t34" style="position:absolute;left:0pt;flip:x;margin-left:219.6pt;margin-top:8.1pt;height:51pt;width:15pt;z-index:251719680;mso-width-relative:page;mso-height-relative:page;" filled="f" stroked="t" coordsize="21600,21600" o:gfxdata="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md2OpNYAAAAK&#10;AQAADwAAAAAAAAABACAAAAAiAAAAZHJzL2Rvd25yZXYueG1sUEsBAhQAFAAAAAgAh07iQJVepaoe&#10;AgAAQAQAAA4AAAAAAAAAAQAgAAAAJQEAAGRycy9lMm9Eb2MueG1sUEsFBgAAAAAGAAYAWQEAALUF&#10;AAAAAA==&#10;" adj="21600">
                <v:fill on="f" focussize="0,0"/>
                <v:stroke weight="2.25pt" color="#000000 [3200]" joinstyle="round" endarrow="block"/>
                <v:imagedata o:title=""/>
                <o:lock v:ext="edit" aspectratio="f"/>
              </v:shape>
            </w:pict>
          </mc:Fallback>
        </mc:AlternateContent>
      </w:r>
    </w:p>
    <w:p w14:paraId="1FB1581C" w14:textId="77777777" w:rsidR="003B79BC" w:rsidRDefault="003B79BC">
      <w:pPr>
        <w:rPr>
          <w:lang w:val="id-ID"/>
        </w:rPr>
      </w:pPr>
    </w:p>
    <w:p w14:paraId="718DF94B" w14:textId="77777777" w:rsidR="003B79BC" w:rsidRDefault="00000000">
      <w:pPr>
        <w:rPr>
          <w:lang w:val="id-ID"/>
        </w:rPr>
      </w:pPr>
      <w:r>
        <w:rPr>
          <w:noProof/>
          <w:lang w:val="id-ID"/>
        </w:rPr>
        <mc:AlternateContent>
          <mc:Choice Requires="wps">
            <w:drawing>
              <wp:anchor distT="0" distB="0" distL="114300" distR="114300" simplePos="0" relativeHeight="251717632" behindDoc="0" locked="0" layoutInCell="1" allowOverlap="1" wp14:anchorId="3B6CF80B" wp14:editId="5E7482B4">
                <wp:simplePos x="0" y="0"/>
                <wp:positionH relativeFrom="column">
                  <wp:posOffset>483870</wp:posOffset>
                </wp:positionH>
                <wp:positionV relativeFrom="paragraph">
                  <wp:posOffset>29210</wp:posOffset>
                </wp:positionV>
                <wp:extent cx="1304925" cy="514350"/>
                <wp:effectExtent l="19050" t="0" r="66675" b="95250"/>
                <wp:wrapNone/>
                <wp:docPr id="423935534" name="Connector: Elbow 7"/>
                <wp:cNvGraphicFramePr/>
                <a:graphic xmlns:a="http://schemas.openxmlformats.org/drawingml/2006/main">
                  <a:graphicData uri="http://schemas.microsoft.com/office/word/2010/wordprocessingShape">
                    <wps:wsp>
                      <wps:cNvCnPr/>
                      <wps:spPr>
                        <a:xfrm>
                          <a:off x="0" y="0"/>
                          <a:ext cx="1304925" cy="514350"/>
                        </a:xfrm>
                        <a:prstGeom prst="bentConnector3">
                          <a:avLst>
                            <a:gd name="adj1" fmla="val -725"/>
                          </a:avLst>
                        </a:prstGeom>
                        <a:ln w="19050">
                          <a:prstDash val="dash"/>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Connector: Elbow 7" o:spid="_x0000_s1026" o:spt="34" type="#_x0000_t34" style="position:absolute;left:0pt;margin-left:38.1pt;margin-top:2.3pt;height:40.5pt;width:102.75pt;z-index:251717632;mso-width-relative:page;mso-height-relative:page;" filled="f" stroked="t" coordsize="21600,21600" o:gfxdata="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yLQE1QAAAAcBAAAP&#10;AAAAAAAAAAEAIAAAACIAAABkcnMvZG93bnJldi54bWxQSwECFAAUAAAACACHTuJAJ28EwxsCAAAz&#10;BAAADgAAAAAAAAABACAAAAAkAQAAZHJzL2Uyb0RvYy54bWxQSwUGAAAAAAYABgBZAQAAsQUAAAAA&#10;" adj="-157">
                <v:fill on="f" focussize="0,0"/>
                <v:stroke weight="1.5pt" color="#4A7EBB [3204]" joinstyle="round" dashstyle="dash" endarrow="block"/>
                <v:imagedata o:title=""/>
                <o:lock v:ext="edit" aspectratio="f"/>
              </v:shape>
            </w:pict>
          </mc:Fallback>
        </mc:AlternateContent>
      </w:r>
    </w:p>
    <w:p w14:paraId="6EA1AB41" w14:textId="77777777" w:rsidR="003B79BC" w:rsidRDefault="003B79BC">
      <w:pPr>
        <w:rPr>
          <w:lang w:val="id-ID"/>
        </w:rPr>
      </w:pPr>
    </w:p>
    <w:p w14:paraId="4B33C3F0" w14:textId="77777777" w:rsidR="003B79BC" w:rsidRDefault="00000000">
      <w:pPr>
        <w:rPr>
          <w:lang w:val="id-ID"/>
        </w:rPr>
      </w:pPr>
      <w:r>
        <w:rPr>
          <w:noProof/>
          <w:lang w:val="en-US"/>
        </w:rPr>
        <mc:AlternateContent>
          <mc:Choice Requires="wps">
            <w:drawing>
              <wp:anchor distT="0" distB="0" distL="114300" distR="114300" simplePos="0" relativeHeight="251671552" behindDoc="0" locked="0" layoutInCell="1" allowOverlap="1" wp14:anchorId="36C722E3" wp14:editId="10921CBC">
                <wp:simplePos x="0" y="0"/>
                <wp:positionH relativeFrom="column">
                  <wp:posOffset>1788795</wp:posOffset>
                </wp:positionH>
                <wp:positionV relativeFrom="paragraph">
                  <wp:posOffset>55880</wp:posOffset>
                </wp:positionV>
                <wp:extent cx="1597660" cy="266700"/>
                <wp:effectExtent l="0" t="0" r="21590" b="19050"/>
                <wp:wrapNone/>
                <wp:docPr id="6" name="Rectangle 4"/>
                <wp:cNvGraphicFramePr/>
                <a:graphic xmlns:a="http://schemas.openxmlformats.org/drawingml/2006/main">
                  <a:graphicData uri="http://schemas.microsoft.com/office/word/2010/wordprocessingShape">
                    <wps:wsp>
                      <wps:cNvSpPr/>
                      <wps:spPr bwMode="auto">
                        <a:xfrm>
                          <a:off x="0" y="0"/>
                          <a:ext cx="1597660" cy="266700"/>
                        </a:xfrm>
                        <a:prstGeom prst="rect">
                          <a:avLst/>
                        </a:prstGeom>
                      </wps:spPr>
                      <wps:style>
                        <a:lnRef idx="2">
                          <a:schemeClr val="dk1"/>
                        </a:lnRef>
                        <a:fillRef idx="1">
                          <a:schemeClr val="lt1"/>
                        </a:fillRef>
                        <a:effectRef idx="0">
                          <a:schemeClr val="dk1"/>
                        </a:effectRef>
                        <a:fontRef idx="minor">
                          <a:schemeClr val="dk1"/>
                        </a:fontRef>
                      </wps:style>
                      <wps:txbx>
                        <w:txbxContent>
                          <w:p w14:paraId="17E90933" w14:textId="77777777" w:rsidR="003B79BC" w:rsidRDefault="00000000">
                            <w:pPr>
                              <w:pStyle w:val="NormalWeb"/>
                              <w:spacing w:before="0" w:beforeAutospacing="0" w:after="0" w:afterAutospacing="0"/>
                              <w:jc w:val="center"/>
                              <w:rPr>
                                <w:rFonts w:ascii="Times New Roman" w:hAnsi="Times New Roman"/>
                                <w:color w:val="000000"/>
                                <w:kern w:val="24"/>
                                <w:sz w:val="24"/>
                                <w:szCs w:val="28"/>
                                <w:lang w:val="id-ID"/>
                              </w:rPr>
                            </w:pPr>
                            <w:r>
                              <w:rPr>
                                <w:rFonts w:ascii="Times New Roman" w:hAnsi="Times New Roman"/>
                                <w:color w:val="000000"/>
                                <w:kern w:val="24"/>
                                <w:sz w:val="24"/>
                                <w:szCs w:val="28"/>
                                <w:lang w:val="id-ID"/>
                              </w:rPr>
                              <w:t>Tranduksi</w:t>
                            </w:r>
                          </w:p>
                          <w:p w14:paraId="6212955C" w14:textId="77777777" w:rsidR="003B79BC" w:rsidRDefault="003B79BC">
                            <w:pPr>
                              <w:pStyle w:val="NormalWeb"/>
                              <w:spacing w:before="0" w:beforeAutospacing="0" w:after="0" w:afterAutospacing="0"/>
                              <w:jc w:val="center"/>
                              <w:rPr>
                                <w:rFonts w:ascii="Times New Roman" w:hAnsi="Times New Roman"/>
                                <w:color w:val="000000"/>
                                <w:kern w:val="24"/>
                                <w:sz w:val="24"/>
                                <w:szCs w:val="28"/>
                                <w:lang w:val="id-ID"/>
                              </w:rPr>
                            </w:pPr>
                          </w:p>
                        </w:txbxContent>
                      </wps:txbx>
                      <wps:bodyPr rot="0" vert="horz" wrap="square" lIns="91440" tIns="45720" rIns="91440" bIns="45720" anchor="ctr" anchorCtr="0" upright="1">
                        <a:noAutofit/>
                      </wps:bodyPr>
                    </wps:wsp>
                  </a:graphicData>
                </a:graphic>
              </wp:anchor>
            </w:drawing>
          </mc:Choice>
          <mc:Fallback>
            <w:pict>
              <v:rect w14:anchorId="36C722E3" id="_x0000_s1034" style="position:absolute;margin-left:140.85pt;margin-top:4.4pt;width:125.8pt;height:21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" fillcolor="white [3201]" strokecolor="black [3200]" strokeweight="2pt">
                <v:textbox>
                  <w:txbxContent>
                    <w:p w14:paraId="17E90933" w14:textId="77777777" w:rsidR="003B79BC" w:rsidRDefault="00000000">
                      <w:pPr>
                        <w:pStyle w:val="NormalWeb"/>
                        <w:spacing w:before="0" w:beforeAutospacing="0" w:after="0" w:afterAutospacing="0"/>
                        <w:jc w:val="center"/>
                        <w:rPr>
                          <w:rFonts w:ascii="Times New Roman" w:hAnsi="Times New Roman"/>
                          <w:color w:val="000000"/>
                          <w:kern w:val="24"/>
                          <w:sz w:val="24"/>
                          <w:szCs w:val="28"/>
                          <w:lang w:val="id-ID"/>
                        </w:rPr>
                      </w:pPr>
                      <w:r>
                        <w:rPr>
                          <w:rFonts w:ascii="Times New Roman" w:hAnsi="Times New Roman"/>
                          <w:color w:val="000000"/>
                          <w:kern w:val="24"/>
                          <w:sz w:val="24"/>
                          <w:szCs w:val="28"/>
                          <w:lang w:val="id-ID"/>
                        </w:rPr>
                        <w:t>Tranduksi</w:t>
                      </w:r>
                    </w:p>
                    <w:p w14:paraId="6212955C" w14:textId="77777777" w:rsidR="003B79BC" w:rsidRDefault="003B79BC">
                      <w:pPr>
                        <w:pStyle w:val="NormalWeb"/>
                        <w:spacing w:before="0" w:beforeAutospacing="0" w:after="0" w:afterAutospacing="0"/>
                        <w:jc w:val="center"/>
                        <w:rPr>
                          <w:rFonts w:ascii="Times New Roman" w:hAnsi="Times New Roman"/>
                          <w:color w:val="000000"/>
                          <w:kern w:val="24"/>
                          <w:sz w:val="24"/>
                          <w:szCs w:val="28"/>
                          <w:lang w:val="id-ID"/>
                        </w:rPr>
                      </w:pPr>
                    </w:p>
                  </w:txbxContent>
                </v:textbox>
              </v:rect>
            </w:pict>
          </mc:Fallback>
        </mc:AlternateContent>
      </w:r>
    </w:p>
    <w:p w14:paraId="1BF0BA9C" w14:textId="77777777" w:rsidR="003B79BC" w:rsidRDefault="00000000">
      <w:pPr>
        <w:rPr>
          <w:lang w:val="id-ID"/>
        </w:rPr>
      </w:pPr>
      <w:r>
        <w:rPr>
          <w:noProof/>
          <w:lang w:val="en-US"/>
        </w:rPr>
        <mc:AlternateContent>
          <mc:Choice Requires="wps">
            <w:drawing>
              <wp:anchor distT="0" distB="0" distL="114300" distR="114300" simplePos="0" relativeHeight="251673600" behindDoc="0" locked="0" layoutInCell="1" allowOverlap="1" wp14:anchorId="50650999" wp14:editId="4F2E205A">
                <wp:simplePos x="0" y="0"/>
                <wp:positionH relativeFrom="column">
                  <wp:posOffset>2639695</wp:posOffset>
                </wp:positionH>
                <wp:positionV relativeFrom="paragraph">
                  <wp:posOffset>162560</wp:posOffset>
                </wp:positionV>
                <wp:extent cx="0" cy="219710"/>
                <wp:effectExtent l="76200" t="0" r="57150" b="66040"/>
                <wp:wrapNone/>
                <wp:docPr id="70" name="Straight Arrow Connector 70"/>
                <wp:cNvGraphicFramePr/>
                <a:graphic xmlns:a="http://schemas.openxmlformats.org/drawingml/2006/main">
                  <a:graphicData uri="http://schemas.microsoft.com/office/word/2010/wordprocessingShape">
                    <wps:wsp>
                      <wps:cNvCnPr/>
                      <wps:spPr>
                        <a:xfrm>
                          <a:off x="0" y="0"/>
                          <a:ext cx="0" cy="2197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207.85pt;margin-top:12.8pt;height:17.3pt;width:0pt;z-index:251673600;mso-width-relative:page;mso-height-relative:page;" filled="f" stroked="t" coordsize="21600,21600" o:gfxdata="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QCvPv1wAAAAkBAAAPAAAAAAAAAAEAIAAAACIAAABkcnMvZG93bnJldi54bWxQ&#10;SwECFAAUAAAACACHTuJAEjR9svgBAAAIBAAADgAAAAAAAAABACAAAAAmAQAAZHJzL2Uyb0RvYy54&#10;bWxQSwUGAAAAAAYABgBZAQAAkAUAAAAA&#10;">
                <v:fill on="f" focussize="0,0"/>
                <v:stroke weight="1.5pt" color="#000000 [3200]" joinstyle="round" endarrow="block"/>
                <v:imagedata o:title=""/>
                <o:lock v:ext="edit" aspectratio="f"/>
              </v:shape>
            </w:pict>
          </mc:Fallback>
        </mc:AlternateContent>
      </w:r>
    </w:p>
    <w:p w14:paraId="7D33C623" w14:textId="77777777" w:rsidR="003B79BC" w:rsidRDefault="003B79BC">
      <w:pPr>
        <w:rPr>
          <w:lang w:val="id-ID"/>
        </w:rPr>
      </w:pPr>
    </w:p>
    <w:p w14:paraId="46453A41" w14:textId="77777777" w:rsidR="003B79BC" w:rsidRDefault="00000000">
      <w:pPr>
        <w:rPr>
          <w:lang w:val="id-ID"/>
        </w:rPr>
      </w:pPr>
      <w:r>
        <w:rPr>
          <w:noProof/>
          <w:lang w:val="en-US"/>
        </w:rPr>
        <mc:AlternateContent>
          <mc:Choice Requires="wps">
            <w:drawing>
              <wp:anchor distT="0" distB="0" distL="114300" distR="114300" simplePos="0" relativeHeight="251672576" behindDoc="0" locked="0" layoutInCell="1" allowOverlap="1" wp14:anchorId="379BFA82" wp14:editId="75E61096">
                <wp:simplePos x="0" y="0"/>
                <wp:positionH relativeFrom="column">
                  <wp:posOffset>1993265</wp:posOffset>
                </wp:positionH>
                <wp:positionV relativeFrom="paragraph">
                  <wp:posOffset>60960</wp:posOffset>
                </wp:positionV>
                <wp:extent cx="1308100" cy="320675"/>
                <wp:effectExtent l="0" t="0" r="25400" b="22225"/>
                <wp:wrapNone/>
                <wp:docPr id="13" name="Rectangle 4"/>
                <wp:cNvGraphicFramePr/>
                <a:graphic xmlns:a="http://schemas.openxmlformats.org/drawingml/2006/main">
                  <a:graphicData uri="http://schemas.microsoft.com/office/word/2010/wordprocessingShape">
                    <wps:wsp>
                      <wps:cNvSpPr/>
                      <wps:spPr bwMode="auto">
                        <a:xfrm>
                          <a:off x="0" y="0"/>
                          <a:ext cx="1308100" cy="320675"/>
                        </a:xfrm>
                        <a:prstGeom prst="rect">
                          <a:avLst/>
                        </a:prstGeom>
                      </wps:spPr>
                      <wps:style>
                        <a:lnRef idx="2">
                          <a:schemeClr val="dk1"/>
                        </a:lnRef>
                        <a:fillRef idx="1">
                          <a:schemeClr val="lt1"/>
                        </a:fillRef>
                        <a:effectRef idx="0">
                          <a:schemeClr val="dk1"/>
                        </a:effectRef>
                        <a:fontRef idx="minor">
                          <a:schemeClr val="dk1"/>
                        </a:fontRef>
                      </wps:style>
                      <wps:txbx>
                        <w:txbxContent>
                          <w:p w14:paraId="4D0C5ED0" w14:textId="77777777" w:rsidR="003B79BC" w:rsidRDefault="00000000">
                            <w:pPr>
                              <w:pStyle w:val="NormalWeb"/>
                              <w:spacing w:before="0" w:beforeAutospacing="0" w:after="0" w:afterAutospacing="0"/>
                              <w:jc w:val="center"/>
                              <w:rPr>
                                <w:rFonts w:ascii="Times New Roman" w:hAnsi="Times New Roman"/>
                                <w:color w:val="000000"/>
                                <w:kern w:val="24"/>
                                <w:sz w:val="24"/>
                                <w:szCs w:val="28"/>
                                <w:lang w:val="id-ID"/>
                              </w:rPr>
                            </w:pPr>
                            <w:r>
                              <w:rPr>
                                <w:rFonts w:ascii="Times New Roman" w:hAnsi="Times New Roman"/>
                                <w:color w:val="000000"/>
                                <w:kern w:val="24"/>
                                <w:sz w:val="24"/>
                                <w:szCs w:val="28"/>
                                <w:lang w:val="id-ID"/>
                              </w:rPr>
                              <w:t>Transmisi</w:t>
                            </w:r>
                          </w:p>
                        </w:txbxContent>
                      </wps:txbx>
                      <wps:bodyPr rot="0" vert="horz" wrap="square" lIns="91440" tIns="45720" rIns="91440" bIns="45720" anchor="ctr" anchorCtr="0" upright="1">
                        <a:noAutofit/>
                      </wps:bodyPr>
                    </wps:wsp>
                  </a:graphicData>
                </a:graphic>
              </wp:anchor>
            </w:drawing>
          </mc:Choice>
          <mc:Fallback>
            <w:pict>
              <v:rect w14:anchorId="379BFA82" id="_x0000_s1035" style="position:absolute;margin-left:156.95pt;margin-top:4.8pt;width:103pt;height:25.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" fillcolor="white [3201]" strokecolor="black [3200]" strokeweight="2pt">
                <v:textbox>
                  <w:txbxContent>
                    <w:p w14:paraId="4D0C5ED0" w14:textId="77777777" w:rsidR="003B79BC" w:rsidRDefault="00000000">
                      <w:pPr>
                        <w:pStyle w:val="NormalWeb"/>
                        <w:spacing w:before="0" w:beforeAutospacing="0" w:after="0" w:afterAutospacing="0"/>
                        <w:jc w:val="center"/>
                        <w:rPr>
                          <w:rFonts w:ascii="Times New Roman" w:hAnsi="Times New Roman"/>
                          <w:color w:val="000000"/>
                          <w:kern w:val="24"/>
                          <w:sz w:val="24"/>
                          <w:szCs w:val="28"/>
                          <w:lang w:val="id-ID"/>
                        </w:rPr>
                      </w:pPr>
                      <w:r>
                        <w:rPr>
                          <w:rFonts w:ascii="Times New Roman" w:hAnsi="Times New Roman"/>
                          <w:color w:val="000000"/>
                          <w:kern w:val="24"/>
                          <w:sz w:val="24"/>
                          <w:szCs w:val="28"/>
                          <w:lang w:val="id-ID"/>
                        </w:rPr>
                        <w:t>Transmisi</w:t>
                      </w:r>
                    </w:p>
                  </w:txbxContent>
                </v:textbox>
              </v:rect>
            </w:pict>
          </mc:Fallback>
        </mc:AlternateContent>
      </w:r>
    </w:p>
    <w:p w14:paraId="68D8AE18" w14:textId="77777777" w:rsidR="003B79BC" w:rsidRDefault="00000000">
      <w:pPr>
        <w:rPr>
          <w:lang w:val="id-ID"/>
        </w:rPr>
      </w:pPr>
      <w:r>
        <w:rPr>
          <w:noProof/>
          <w:lang w:val="en-US"/>
        </w:rPr>
        <mc:AlternateContent>
          <mc:Choice Requires="wps">
            <w:drawing>
              <wp:anchor distT="0" distB="0" distL="114300" distR="114300" simplePos="0" relativeHeight="251720704" behindDoc="0" locked="0" layoutInCell="1" allowOverlap="1" wp14:anchorId="16172FA6" wp14:editId="128BAF2D">
                <wp:simplePos x="0" y="0"/>
                <wp:positionH relativeFrom="column">
                  <wp:posOffset>3313430</wp:posOffset>
                </wp:positionH>
                <wp:positionV relativeFrom="paragraph">
                  <wp:posOffset>3175</wp:posOffset>
                </wp:positionV>
                <wp:extent cx="1103630" cy="353695"/>
                <wp:effectExtent l="19050" t="76200" r="40005" b="27305"/>
                <wp:wrapNone/>
                <wp:docPr id="55196840" name="Connector: Elbow 10"/>
                <wp:cNvGraphicFramePr/>
                <a:graphic xmlns:a="http://schemas.openxmlformats.org/drawingml/2006/main">
                  <a:graphicData uri="http://schemas.microsoft.com/office/word/2010/wordprocessingShape">
                    <wps:wsp>
                      <wps:cNvCnPr/>
                      <wps:spPr>
                        <a:xfrm flipH="1" flipV="1">
                          <a:off x="0" y="0"/>
                          <a:ext cx="1103580" cy="353840"/>
                        </a:xfrm>
                        <a:prstGeom prst="bentConnector3">
                          <a:avLst>
                            <a:gd name="adj1" fmla="val -943"/>
                          </a:avLst>
                        </a:prstGeom>
                        <a:ln w="19050">
                          <a:prstDash val="dash"/>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psCustomData="http://www.wps.cn/officeDocument/2013/wpsCustomData">
            <w:pict>
              <v:shape id="Connector: Elbow 10" o:spid="_x0000_s1026" o:spt="34" type="#_x0000_t34" style="position:absolute;left:0pt;flip:x y;margin-left:260.9pt;margin-top:0.25pt;height:27.85pt;width:86.9pt;z-index:251720704;mso-width-relative:page;mso-height-relative:page;" filled="f" stroked="t" coordsize="21600,21600" o:gfxdata="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PN7MJNQA&#10;AAAHAQAADwAAAAAAAAABACAAAAAiAAAAZHJzL2Rvd25yZXYueG1sUEsBAhQAFAAAAAgAh07iQMKZ&#10;F5gjAgAARwQAAA4AAAAAAAAAAQAgAAAAIwEAAGRycy9lMm9Eb2MueG1sUEsFBgAAAAAGAAYAWQEA&#10;ALgFAAAAAA==&#10;" adj="-204">
                <v:fill on="f" focussize="0,0"/>
                <v:stroke weight="1.5pt" color="#BE4B48 [3205]" joinstyle="round" dashstyle="dash" endarrow="block"/>
                <v:imagedata o:title=""/>
                <o:lock v:ext="edit" aspectratio="f"/>
              </v:shape>
            </w:pict>
          </mc:Fallback>
        </mc:AlternateContent>
      </w:r>
    </w:p>
    <w:p w14:paraId="5B9BD0CB" w14:textId="77777777" w:rsidR="003B79BC" w:rsidRDefault="00000000">
      <w:pPr>
        <w:rPr>
          <w:lang w:val="id-ID"/>
        </w:rPr>
      </w:pPr>
      <w:r>
        <w:rPr>
          <w:noProof/>
          <w:lang w:val="en-US"/>
        </w:rPr>
        <mc:AlternateContent>
          <mc:Choice Requires="wps">
            <w:drawing>
              <wp:anchor distT="0" distB="0" distL="114300" distR="114300" simplePos="0" relativeHeight="251675648" behindDoc="0" locked="0" layoutInCell="1" allowOverlap="1" wp14:anchorId="13CC09D9" wp14:editId="15A27BAA">
                <wp:simplePos x="0" y="0"/>
                <wp:positionH relativeFrom="column">
                  <wp:posOffset>2652395</wp:posOffset>
                </wp:positionH>
                <wp:positionV relativeFrom="paragraph">
                  <wp:posOffset>28575</wp:posOffset>
                </wp:positionV>
                <wp:extent cx="0" cy="219710"/>
                <wp:effectExtent l="76200" t="0" r="57150" b="66040"/>
                <wp:wrapNone/>
                <wp:docPr id="115" name="Straight Arrow Connector 115"/>
                <wp:cNvGraphicFramePr/>
                <a:graphic xmlns:a="http://schemas.openxmlformats.org/drawingml/2006/main">
                  <a:graphicData uri="http://schemas.microsoft.com/office/word/2010/wordprocessingShape">
                    <wps:wsp>
                      <wps:cNvCnPr/>
                      <wps:spPr>
                        <a:xfrm>
                          <a:off x="0" y="0"/>
                          <a:ext cx="0" cy="2197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208.85pt;margin-top:2.25pt;height:17.3pt;width:0pt;z-index:251675648;mso-width-relative:page;mso-height-relative:page;" filled="f" stroked="t" coordsize="21600,21600" o:gfxdata="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YYrQOtcAAAAIAQAADwAAAAAAAAABACAAAAAiAAAAZHJzL2Rvd25yZXYueG1s&#10;UEsBAhQAFAAAAAgAh07iQBGQ8675AQAACgQAAA4AAAAAAAAAAQAgAAAAJgEAAGRycy9lMm9Eb2Mu&#10;eG1sUEsFBgAAAAAGAAYAWQEAAJEFAAAAAA==&#10;">
                <v:fill on="f" focussize="0,0"/>
                <v:stroke weight="1.5pt" color="#000000 [3200]" joinstyle="round" endarrow="block"/>
                <v:imagedata o:title=""/>
                <o:lock v:ext="edit" aspectratio="f"/>
              </v:shape>
            </w:pict>
          </mc:Fallback>
        </mc:AlternateContent>
      </w:r>
    </w:p>
    <w:p w14:paraId="03A5E22D" w14:textId="77777777" w:rsidR="003B79BC" w:rsidRDefault="00000000">
      <w:pPr>
        <w:rPr>
          <w:lang w:val="id-ID"/>
        </w:rPr>
      </w:pPr>
      <w:r>
        <w:rPr>
          <w:noProof/>
          <w:lang w:val="en-US"/>
        </w:rPr>
        <mc:AlternateContent>
          <mc:Choice Requires="wps">
            <w:drawing>
              <wp:anchor distT="0" distB="0" distL="114300" distR="114300" simplePos="0" relativeHeight="251715584" behindDoc="0" locked="0" layoutInCell="1" allowOverlap="1" wp14:anchorId="156ED438" wp14:editId="57D0294E">
                <wp:simplePos x="0" y="0"/>
                <wp:positionH relativeFrom="column">
                  <wp:posOffset>3484245</wp:posOffset>
                </wp:positionH>
                <wp:positionV relativeFrom="paragraph">
                  <wp:posOffset>46990</wp:posOffset>
                </wp:positionV>
                <wp:extent cx="1336675" cy="361950"/>
                <wp:effectExtent l="57150" t="38100" r="73025" b="95250"/>
                <wp:wrapNone/>
                <wp:docPr id="1689782245" name="Rectangle 4"/>
                <wp:cNvGraphicFramePr/>
                <a:graphic xmlns:a="http://schemas.openxmlformats.org/drawingml/2006/main">
                  <a:graphicData uri="http://schemas.microsoft.com/office/word/2010/wordprocessingShape">
                    <wps:wsp>
                      <wps:cNvSpPr/>
                      <wps:spPr bwMode="auto">
                        <a:xfrm>
                          <a:off x="0" y="0"/>
                          <a:ext cx="1336675" cy="361950"/>
                        </a:xfrm>
                        <a:prstGeom prst="rect">
                          <a:avLst/>
                        </a:prstGeom>
                        <a:solidFill>
                          <a:schemeClr val="accent6">
                            <a:lumMod val="20000"/>
                            <a:lumOff val="80000"/>
                          </a:schemeClr>
                        </a:solidFill>
                        <a:ln w="19050">
                          <a:solidFill>
                            <a:schemeClr val="tx2">
                              <a:lumMod val="75000"/>
                            </a:schemeClr>
                          </a:solidFill>
                          <a:miter lim="800000"/>
                        </a:ln>
                        <a:effectLst>
                          <a:outerShdw blurRad="40000" dist="20000" dir="5400000" rotWithShape="0">
                            <a:srgbClr val="808080">
                              <a:alpha val="37999"/>
                            </a:srgbClr>
                          </a:outerShdw>
                        </a:effectLst>
                      </wps:spPr>
                      <wps:txbx>
                        <w:txbxContent>
                          <w:p w14:paraId="433EF3BF" w14:textId="77777777" w:rsidR="003B79BC" w:rsidRDefault="00000000">
                            <w:pPr>
                              <w:pStyle w:val="NormalWeb"/>
                              <w:spacing w:before="0" w:beforeAutospacing="0" w:after="0" w:afterAutospacing="0"/>
                              <w:rPr>
                                <w:rFonts w:ascii="Times New Roman" w:hAnsi="Times New Roman"/>
                                <w:sz w:val="18"/>
                              </w:rPr>
                            </w:pPr>
                            <w:r>
                              <w:rPr>
                                <w:rFonts w:ascii="Times New Roman" w:hAnsi="Times New Roman"/>
                                <w:sz w:val="24"/>
                                <w:szCs w:val="24"/>
                              </w:rPr>
                              <w:t>Dexmedetomidine</w:t>
                            </w:r>
                          </w:p>
                        </w:txbxContent>
                      </wps:txbx>
                      <wps:bodyPr rot="0" vert="horz" wrap="square" lIns="91440" tIns="45720" rIns="91440" bIns="45720" anchor="ctr" anchorCtr="0" upright="1">
                        <a:noAutofit/>
                      </wps:bodyPr>
                    </wps:wsp>
                  </a:graphicData>
                </a:graphic>
              </wp:anchor>
            </w:drawing>
          </mc:Choice>
          <mc:Fallback>
            <w:pict>
              <v:rect w14:anchorId="156ED438" id="_x0000_s1036" style="position:absolute;margin-left:274.35pt;margin-top:3.7pt;width:105.25pt;height:28.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" fillcolor="#fde9d9 [665]" strokecolor="#17365d [2415]" strokeweight="1.5pt">
                <v:shadow on="t" opacity="24903f" origin=",.5" offset="0,.55556mm"/>
                <v:textbox>
                  <w:txbxContent>
                    <w:p w14:paraId="433EF3BF" w14:textId="77777777" w:rsidR="003B79BC" w:rsidRDefault="00000000">
                      <w:pPr>
                        <w:pStyle w:val="NormalWeb"/>
                        <w:spacing w:before="0" w:beforeAutospacing="0" w:after="0" w:afterAutospacing="0"/>
                        <w:rPr>
                          <w:rFonts w:ascii="Times New Roman" w:hAnsi="Times New Roman"/>
                          <w:sz w:val="18"/>
                        </w:rPr>
                      </w:pPr>
                      <w:r>
                        <w:rPr>
                          <w:rFonts w:ascii="Times New Roman" w:hAnsi="Times New Roman"/>
                          <w:sz w:val="24"/>
                          <w:szCs w:val="24"/>
                        </w:rPr>
                        <w:t>Dexmedetomidine</w:t>
                      </w:r>
                    </w:p>
                  </w:txbxContent>
                </v:textbox>
              </v:rect>
            </w:pict>
          </mc:Fallback>
        </mc:AlternateContent>
      </w:r>
      <w:r>
        <w:rPr>
          <w:noProof/>
          <w:lang w:val="en-US"/>
        </w:rPr>
        <mc:AlternateContent>
          <mc:Choice Requires="wps">
            <w:drawing>
              <wp:anchor distT="0" distB="0" distL="114300" distR="114300" simplePos="0" relativeHeight="251705344" behindDoc="0" locked="0" layoutInCell="1" allowOverlap="1" wp14:anchorId="67CD81AE" wp14:editId="51F4E313">
                <wp:simplePos x="0" y="0"/>
                <wp:positionH relativeFrom="column">
                  <wp:posOffset>1996440</wp:posOffset>
                </wp:positionH>
                <wp:positionV relativeFrom="paragraph">
                  <wp:posOffset>80645</wp:posOffset>
                </wp:positionV>
                <wp:extent cx="1308100" cy="320675"/>
                <wp:effectExtent l="0" t="0" r="25400" b="22225"/>
                <wp:wrapNone/>
                <wp:docPr id="1707688457" name="Rectangle 4"/>
                <wp:cNvGraphicFramePr/>
                <a:graphic xmlns:a="http://schemas.openxmlformats.org/drawingml/2006/main">
                  <a:graphicData uri="http://schemas.microsoft.com/office/word/2010/wordprocessingShape">
                    <wps:wsp>
                      <wps:cNvSpPr/>
                      <wps:spPr bwMode="auto">
                        <a:xfrm>
                          <a:off x="0" y="0"/>
                          <a:ext cx="1308100" cy="320675"/>
                        </a:xfrm>
                        <a:prstGeom prst="rect">
                          <a:avLst/>
                        </a:prstGeom>
                      </wps:spPr>
                      <wps:style>
                        <a:lnRef idx="2">
                          <a:schemeClr val="dk1"/>
                        </a:lnRef>
                        <a:fillRef idx="1">
                          <a:schemeClr val="lt1"/>
                        </a:fillRef>
                        <a:effectRef idx="0">
                          <a:schemeClr val="dk1"/>
                        </a:effectRef>
                        <a:fontRef idx="minor">
                          <a:schemeClr val="dk1"/>
                        </a:fontRef>
                      </wps:style>
                      <wps:txbx>
                        <w:txbxContent>
                          <w:p w14:paraId="35C7AD89" w14:textId="77777777" w:rsidR="003B79BC" w:rsidRDefault="00000000">
                            <w:pPr>
                              <w:pStyle w:val="NormalWeb"/>
                              <w:spacing w:before="0" w:beforeAutospacing="0" w:after="0" w:afterAutospacing="0"/>
                              <w:jc w:val="center"/>
                              <w:rPr>
                                <w:rFonts w:ascii="Times New Roman" w:hAnsi="Times New Roman"/>
                                <w:color w:val="000000"/>
                                <w:kern w:val="24"/>
                                <w:sz w:val="24"/>
                                <w:szCs w:val="28"/>
                                <w:lang w:val="id-ID"/>
                              </w:rPr>
                            </w:pPr>
                            <w:r>
                              <w:rPr>
                                <w:rFonts w:ascii="Times New Roman" w:hAnsi="Times New Roman"/>
                                <w:color w:val="000000"/>
                                <w:kern w:val="24"/>
                                <w:sz w:val="24"/>
                                <w:szCs w:val="28"/>
                                <w:lang w:val="id-ID"/>
                              </w:rPr>
                              <w:t>Modulasi</w:t>
                            </w:r>
                          </w:p>
                        </w:txbxContent>
                      </wps:txbx>
                      <wps:bodyPr rot="0" vert="horz" wrap="square" lIns="91440" tIns="45720" rIns="91440" bIns="45720" anchor="ctr" anchorCtr="0" upright="1">
                        <a:noAutofit/>
                      </wps:bodyPr>
                    </wps:wsp>
                  </a:graphicData>
                </a:graphic>
              </wp:anchor>
            </w:drawing>
          </mc:Choice>
          <mc:Fallback>
            <w:pict>
              <v:rect w14:anchorId="67CD81AE" id="_x0000_s1037" style="position:absolute;margin-left:157.2pt;margin-top:6.35pt;width:103pt;height:25.2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" fillcolor="white [3201]" strokecolor="black [3200]" strokeweight="2pt">
                <v:textbox>
                  <w:txbxContent>
                    <w:p w14:paraId="35C7AD89" w14:textId="77777777" w:rsidR="003B79BC" w:rsidRDefault="00000000">
                      <w:pPr>
                        <w:pStyle w:val="NormalWeb"/>
                        <w:spacing w:before="0" w:beforeAutospacing="0" w:after="0" w:afterAutospacing="0"/>
                        <w:jc w:val="center"/>
                        <w:rPr>
                          <w:rFonts w:ascii="Times New Roman" w:hAnsi="Times New Roman"/>
                          <w:color w:val="000000"/>
                          <w:kern w:val="24"/>
                          <w:sz w:val="24"/>
                          <w:szCs w:val="28"/>
                          <w:lang w:val="id-ID"/>
                        </w:rPr>
                      </w:pPr>
                      <w:r>
                        <w:rPr>
                          <w:rFonts w:ascii="Times New Roman" w:hAnsi="Times New Roman"/>
                          <w:color w:val="000000"/>
                          <w:kern w:val="24"/>
                          <w:sz w:val="24"/>
                          <w:szCs w:val="28"/>
                          <w:lang w:val="id-ID"/>
                        </w:rPr>
                        <w:t>Modulasi</w:t>
                      </w:r>
                    </w:p>
                  </w:txbxContent>
                </v:textbox>
              </v:rect>
            </w:pict>
          </mc:Fallback>
        </mc:AlternateContent>
      </w:r>
    </w:p>
    <w:p w14:paraId="0DE29771" w14:textId="77777777" w:rsidR="003B79BC" w:rsidRDefault="003B79BC">
      <w:pPr>
        <w:rPr>
          <w:lang w:val="id-ID"/>
        </w:rPr>
      </w:pPr>
    </w:p>
    <w:p w14:paraId="48D87B47" w14:textId="77777777" w:rsidR="003B79BC" w:rsidRDefault="00000000">
      <w:pPr>
        <w:rPr>
          <w:lang w:val="id-ID"/>
        </w:rPr>
      </w:pPr>
      <w:r>
        <w:rPr>
          <w:noProof/>
          <w:lang w:val="id-ID"/>
        </w:rPr>
        <mc:AlternateContent>
          <mc:Choice Requires="wps">
            <w:drawing>
              <wp:anchor distT="0" distB="0" distL="114300" distR="114300" simplePos="0" relativeHeight="251721728" behindDoc="0" locked="0" layoutInCell="1" allowOverlap="1" wp14:anchorId="3AB83B33" wp14:editId="48C3F190">
                <wp:simplePos x="0" y="0"/>
                <wp:positionH relativeFrom="column">
                  <wp:posOffset>3323590</wp:posOffset>
                </wp:positionH>
                <wp:positionV relativeFrom="paragraph">
                  <wp:posOffset>48895</wp:posOffset>
                </wp:positionV>
                <wp:extent cx="1080135" cy="429895"/>
                <wp:effectExtent l="38100" t="0" r="44450" b="104140"/>
                <wp:wrapNone/>
                <wp:docPr id="1458863466" name="Connector: Elbow 11"/>
                <wp:cNvGraphicFramePr/>
                <a:graphic xmlns:a="http://schemas.openxmlformats.org/drawingml/2006/main">
                  <a:graphicData uri="http://schemas.microsoft.com/office/word/2010/wordprocessingShape">
                    <wps:wsp>
                      <wps:cNvCnPr/>
                      <wps:spPr>
                        <a:xfrm flipH="1">
                          <a:off x="0" y="0"/>
                          <a:ext cx="1080003" cy="429813"/>
                        </a:xfrm>
                        <a:prstGeom prst="bentConnector3">
                          <a:avLst>
                            <a:gd name="adj1" fmla="val -2174"/>
                          </a:avLst>
                        </a:prstGeom>
                        <a:ln w="19050">
                          <a:prstDash val="dash"/>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psCustomData="http://www.wps.cn/officeDocument/2013/wpsCustomData">
            <w:pict>
              <v:shape id="Connector: Elbow 11" o:spid="_x0000_s1026" o:spt="34" type="#_x0000_t34" style="position:absolute;left:0pt;flip:x;margin-left:261.7pt;margin-top:3.85pt;height:33.85pt;width:85.05pt;z-index:251721728;mso-width-relative:page;mso-height-relative:page;" filled="f" stroked="t" coordsize="21600,21600" o:gfxdata="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cfHyNcAAAAIAQAADwAAAAAAAAABACAAAAAiAAAAZHJzL2Rvd25yZXYueG1sUEsBAhQAFAAAAAgA&#10;h07iQMD9TF0mAgAAQAQAAA4AAAAAAAAAAQAgAAAAJgEAAGRycy9lMm9Eb2MueG1sUEsFBgAAAAAG&#10;AAYAWQEAAL4FAAAAAA==&#10;" adj="-470">
                <v:fill on="f" focussize="0,0"/>
                <v:stroke weight="1.5pt" color="#BE4B48 [3205]" joinstyle="round" dashstyle="dash" endarrow="block"/>
                <v:imagedata o:title=""/>
                <o:lock v:ext="edit" aspectratio="f"/>
              </v:shape>
            </w:pict>
          </mc:Fallback>
        </mc:AlternateContent>
      </w:r>
      <w:r>
        <w:rPr>
          <w:noProof/>
          <w:lang w:val="en-US"/>
        </w:rPr>
        <mc:AlternateContent>
          <mc:Choice Requires="wps">
            <w:drawing>
              <wp:anchor distT="0" distB="0" distL="114300" distR="114300" simplePos="0" relativeHeight="251674624" behindDoc="0" locked="0" layoutInCell="1" allowOverlap="1" wp14:anchorId="2016F995" wp14:editId="2C717B8F">
                <wp:simplePos x="0" y="0"/>
                <wp:positionH relativeFrom="column">
                  <wp:posOffset>2646680</wp:posOffset>
                </wp:positionH>
                <wp:positionV relativeFrom="paragraph">
                  <wp:posOffset>78740</wp:posOffset>
                </wp:positionV>
                <wp:extent cx="0" cy="219710"/>
                <wp:effectExtent l="76200" t="0" r="57150" b="66040"/>
                <wp:wrapNone/>
                <wp:docPr id="89" name="Straight Arrow Connector 89"/>
                <wp:cNvGraphicFramePr/>
                <a:graphic xmlns:a="http://schemas.openxmlformats.org/drawingml/2006/main">
                  <a:graphicData uri="http://schemas.microsoft.com/office/word/2010/wordprocessingShape">
                    <wps:wsp>
                      <wps:cNvCnPr/>
                      <wps:spPr>
                        <a:xfrm>
                          <a:off x="0" y="0"/>
                          <a:ext cx="0" cy="2197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208.4pt;margin-top:6.2pt;height:17.3pt;width:0pt;z-index:251674624;mso-width-relative:page;mso-height-relative:page;" filled="f" stroked="t" coordsize="21600,21600" o:gfxdata="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negnZ9cAAAAJAQAADwAAAAAAAAABACAAAAAiAAAAZHJzL2Rvd25yZXYueG1s&#10;UEsBAhQAFAAAAAgAh07iQGQBlZv5AQAACAQAAA4AAAAAAAAAAQAgAAAAJgEAAGRycy9lMm9Eb2Mu&#10;eG1sUEsFBgAAAAAGAAYAWQEAAJEFAAAAAA==&#10;">
                <v:fill on="f" focussize="0,0"/>
                <v:stroke weight="1.5pt" color="#000000 [3200]" joinstyle="round" endarrow="block"/>
                <v:imagedata o:title=""/>
                <o:lock v:ext="edit" aspectratio="f"/>
              </v:shape>
            </w:pict>
          </mc:Fallback>
        </mc:AlternateContent>
      </w:r>
    </w:p>
    <w:p w14:paraId="33FE3998" w14:textId="77777777" w:rsidR="003B79BC" w:rsidRDefault="00000000">
      <w:pPr>
        <w:rPr>
          <w:lang w:val="id-ID"/>
        </w:rPr>
      </w:pPr>
      <w:r>
        <w:rPr>
          <w:noProof/>
          <w:lang w:val="en-US"/>
        </w:rPr>
        <mc:AlternateContent>
          <mc:Choice Requires="wps">
            <w:drawing>
              <wp:anchor distT="0" distB="0" distL="114300" distR="114300" simplePos="0" relativeHeight="251706368" behindDoc="0" locked="0" layoutInCell="1" allowOverlap="1" wp14:anchorId="189DD9CB" wp14:editId="7AB9071A">
                <wp:simplePos x="0" y="0"/>
                <wp:positionH relativeFrom="column">
                  <wp:posOffset>2000250</wp:posOffset>
                </wp:positionH>
                <wp:positionV relativeFrom="paragraph">
                  <wp:posOffset>146685</wp:posOffset>
                </wp:positionV>
                <wp:extent cx="1308100" cy="320675"/>
                <wp:effectExtent l="0" t="0" r="25400" b="22225"/>
                <wp:wrapNone/>
                <wp:docPr id="1518626721" name="Rectangle 4"/>
                <wp:cNvGraphicFramePr/>
                <a:graphic xmlns:a="http://schemas.openxmlformats.org/drawingml/2006/main">
                  <a:graphicData uri="http://schemas.microsoft.com/office/word/2010/wordprocessingShape">
                    <wps:wsp>
                      <wps:cNvSpPr/>
                      <wps:spPr bwMode="auto">
                        <a:xfrm>
                          <a:off x="0" y="0"/>
                          <a:ext cx="1308100" cy="320675"/>
                        </a:xfrm>
                        <a:prstGeom prst="rect">
                          <a:avLst/>
                        </a:prstGeom>
                      </wps:spPr>
                      <wps:style>
                        <a:lnRef idx="2">
                          <a:schemeClr val="dk1"/>
                        </a:lnRef>
                        <a:fillRef idx="1">
                          <a:schemeClr val="lt1"/>
                        </a:fillRef>
                        <a:effectRef idx="0">
                          <a:schemeClr val="dk1"/>
                        </a:effectRef>
                        <a:fontRef idx="minor">
                          <a:schemeClr val="dk1"/>
                        </a:fontRef>
                      </wps:style>
                      <wps:txbx>
                        <w:txbxContent>
                          <w:p w14:paraId="1E8CADFD" w14:textId="77777777" w:rsidR="003B79BC" w:rsidRDefault="00000000">
                            <w:pPr>
                              <w:pStyle w:val="NormalWeb"/>
                              <w:spacing w:before="0" w:beforeAutospacing="0" w:after="0" w:afterAutospacing="0"/>
                              <w:jc w:val="center"/>
                              <w:rPr>
                                <w:rFonts w:ascii="Times New Roman" w:hAnsi="Times New Roman"/>
                                <w:color w:val="000000"/>
                                <w:kern w:val="24"/>
                                <w:sz w:val="24"/>
                                <w:szCs w:val="28"/>
                                <w:lang w:val="id-ID"/>
                              </w:rPr>
                            </w:pPr>
                            <w:r>
                              <w:rPr>
                                <w:rFonts w:ascii="Times New Roman" w:hAnsi="Times New Roman"/>
                                <w:color w:val="000000"/>
                                <w:kern w:val="24"/>
                                <w:sz w:val="24"/>
                                <w:szCs w:val="28"/>
                                <w:lang w:val="id-ID"/>
                              </w:rPr>
                              <w:t>Persepsi</w:t>
                            </w:r>
                          </w:p>
                        </w:txbxContent>
                      </wps:txbx>
                      <wps:bodyPr rot="0" vert="horz" wrap="square" lIns="91440" tIns="45720" rIns="91440" bIns="45720" anchor="ctr" anchorCtr="0" upright="1">
                        <a:noAutofit/>
                      </wps:bodyPr>
                    </wps:wsp>
                  </a:graphicData>
                </a:graphic>
              </wp:anchor>
            </w:drawing>
          </mc:Choice>
          <mc:Fallback>
            <w:pict>
              <v:rect w14:anchorId="189DD9CB" id="_x0000_s1038" style="position:absolute;margin-left:157.5pt;margin-top:11.55pt;width:103pt;height:25.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" fillcolor="white [3201]" strokecolor="black [3200]" strokeweight="2pt">
                <v:textbox>
                  <w:txbxContent>
                    <w:p w14:paraId="1E8CADFD" w14:textId="77777777" w:rsidR="003B79BC" w:rsidRDefault="00000000">
                      <w:pPr>
                        <w:pStyle w:val="NormalWeb"/>
                        <w:spacing w:before="0" w:beforeAutospacing="0" w:after="0" w:afterAutospacing="0"/>
                        <w:jc w:val="center"/>
                        <w:rPr>
                          <w:rFonts w:ascii="Times New Roman" w:hAnsi="Times New Roman"/>
                          <w:color w:val="000000"/>
                          <w:kern w:val="24"/>
                          <w:sz w:val="24"/>
                          <w:szCs w:val="28"/>
                          <w:lang w:val="id-ID"/>
                        </w:rPr>
                      </w:pPr>
                      <w:r>
                        <w:rPr>
                          <w:rFonts w:ascii="Times New Roman" w:hAnsi="Times New Roman"/>
                          <w:color w:val="000000"/>
                          <w:kern w:val="24"/>
                          <w:sz w:val="24"/>
                          <w:szCs w:val="28"/>
                          <w:lang w:val="id-ID"/>
                        </w:rPr>
                        <w:t>Persepsi</w:t>
                      </w:r>
                    </w:p>
                  </w:txbxContent>
                </v:textbox>
              </v:rect>
            </w:pict>
          </mc:Fallback>
        </mc:AlternateContent>
      </w:r>
    </w:p>
    <w:p w14:paraId="3AF45E27" w14:textId="77777777" w:rsidR="003B79BC" w:rsidRDefault="003B79BC">
      <w:pPr>
        <w:rPr>
          <w:lang w:val="id-ID"/>
        </w:rPr>
      </w:pPr>
    </w:p>
    <w:p w14:paraId="4BCCC127" w14:textId="77777777" w:rsidR="003B79BC" w:rsidRDefault="00000000">
      <w:pPr>
        <w:rPr>
          <w:lang w:val="id-ID"/>
        </w:rPr>
      </w:pPr>
      <w:r>
        <w:rPr>
          <w:noProof/>
          <w:lang w:val="en-US"/>
        </w:rPr>
        <mc:AlternateContent>
          <mc:Choice Requires="wps">
            <w:drawing>
              <wp:anchor distT="0" distB="0" distL="114300" distR="114300" simplePos="0" relativeHeight="251668480" behindDoc="0" locked="0" layoutInCell="1" allowOverlap="1" wp14:anchorId="27525FCA" wp14:editId="1E319F3A">
                <wp:simplePos x="0" y="0"/>
                <wp:positionH relativeFrom="column">
                  <wp:posOffset>2658745</wp:posOffset>
                </wp:positionH>
                <wp:positionV relativeFrom="paragraph">
                  <wp:posOffset>121920</wp:posOffset>
                </wp:positionV>
                <wp:extent cx="0" cy="219710"/>
                <wp:effectExtent l="76200" t="0" r="57150" b="66040"/>
                <wp:wrapNone/>
                <wp:docPr id="121" name="Straight Arrow Connector 121"/>
                <wp:cNvGraphicFramePr/>
                <a:graphic xmlns:a="http://schemas.openxmlformats.org/drawingml/2006/main">
                  <a:graphicData uri="http://schemas.microsoft.com/office/word/2010/wordprocessingShape">
                    <wps:wsp>
                      <wps:cNvCnPr/>
                      <wps:spPr>
                        <a:xfrm>
                          <a:off x="0" y="0"/>
                          <a:ext cx="0" cy="2197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209.35pt;margin-top:9.6pt;height:17.3pt;width:0pt;z-index:251668480;mso-width-relative:page;mso-height-relative:page;" filled="f" stroked="t" coordsize="21600,21600" o:gfxdata="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VOatfYAAAACQEAAA8AAAAAAAAAAQAgAAAAIgAAAGRycy9kb3ducmV2Lnht&#10;bFBLAQIUABQAAAAIAIdO4kDR4nEZ+QEAAAoEAAAOAAAAAAAAAAEAIAAAACcBAABkcnMvZTJvRG9j&#10;LnhtbFBLBQYAAAAABgAGAFkBAACSBQAAAAA=&#10;">
                <v:fill on="f" focussize="0,0"/>
                <v:stroke weight="1.5pt" color="#000000 [3200]" joinstyle="round" endarrow="block"/>
                <v:imagedata o:title=""/>
                <o:lock v:ext="edit" aspectratio="f"/>
              </v:shape>
            </w:pict>
          </mc:Fallback>
        </mc:AlternateContent>
      </w:r>
    </w:p>
    <w:p w14:paraId="091ADDD9" w14:textId="77777777" w:rsidR="003B79BC" w:rsidRDefault="003B79BC">
      <w:pPr>
        <w:rPr>
          <w:lang w:val="id-ID"/>
        </w:rPr>
      </w:pPr>
    </w:p>
    <w:p w14:paraId="66BD77CA" w14:textId="77777777" w:rsidR="003B79BC" w:rsidRDefault="00000000">
      <w:pPr>
        <w:rPr>
          <w:lang w:val="id-ID"/>
        </w:rPr>
      </w:pPr>
      <w:r>
        <w:rPr>
          <w:noProof/>
          <w:lang w:val="en-US"/>
        </w:rPr>
        <mc:AlternateContent>
          <mc:Choice Requires="wps">
            <w:drawing>
              <wp:anchor distT="0" distB="0" distL="114300" distR="114300" simplePos="0" relativeHeight="251667456" behindDoc="0" locked="0" layoutInCell="1" allowOverlap="1" wp14:anchorId="70B63B8D" wp14:editId="1A177501">
                <wp:simplePos x="0" y="0"/>
                <wp:positionH relativeFrom="margin">
                  <wp:posOffset>1826260</wp:posOffset>
                </wp:positionH>
                <wp:positionV relativeFrom="paragraph">
                  <wp:posOffset>36195</wp:posOffset>
                </wp:positionV>
                <wp:extent cx="1663065" cy="361315"/>
                <wp:effectExtent l="0" t="0" r="13335" b="19685"/>
                <wp:wrapNone/>
                <wp:docPr id="87" name="Rectangle 4"/>
                <wp:cNvGraphicFramePr/>
                <a:graphic xmlns:a="http://schemas.openxmlformats.org/drawingml/2006/main">
                  <a:graphicData uri="http://schemas.microsoft.com/office/word/2010/wordprocessingShape">
                    <wps:wsp>
                      <wps:cNvSpPr/>
                      <wps:spPr bwMode="auto">
                        <a:xfrm>
                          <a:off x="0" y="0"/>
                          <a:ext cx="1663065" cy="361315"/>
                        </a:xfrm>
                        <a:prstGeom prst="rect">
                          <a:avLst/>
                        </a:prstGeom>
                      </wps:spPr>
                      <wps:style>
                        <a:lnRef idx="2">
                          <a:schemeClr val="dk1"/>
                        </a:lnRef>
                        <a:fillRef idx="1">
                          <a:schemeClr val="lt1"/>
                        </a:fillRef>
                        <a:effectRef idx="0">
                          <a:schemeClr val="dk1"/>
                        </a:effectRef>
                        <a:fontRef idx="minor">
                          <a:schemeClr val="dk1"/>
                        </a:fontRef>
                      </wps:style>
                      <wps:txbx>
                        <w:txbxContent>
                          <w:p w14:paraId="6E4C5F5B" w14:textId="77777777" w:rsidR="003B79BC" w:rsidRDefault="00000000">
                            <w:pPr>
                              <w:pStyle w:val="NormalWeb"/>
                              <w:spacing w:before="0" w:beforeAutospacing="0" w:after="0" w:afterAutospacing="0"/>
                              <w:jc w:val="center"/>
                              <w:rPr>
                                <w:rFonts w:ascii="Times New Roman" w:hAnsi="Times New Roman"/>
                                <w:b/>
                                <w:bCs/>
                                <w:color w:val="000000" w:themeColor="text1"/>
                                <w:sz w:val="18"/>
                              </w:rPr>
                            </w:pPr>
                            <w:r>
                              <w:rPr>
                                <w:rFonts w:ascii="Times New Roman" w:hAnsi="Times New Roman"/>
                                <w:b/>
                                <w:bCs/>
                                <w:color w:val="000000" w:themeColor="text1"/>
                                <w:kern w:val="24"/>
                                <w:sz w:val="24"/>
                                <w:szCs w:val="28"/>
                                <w:lang w:val="id-ID"/>
                              </w:rPr>
                              <w:t>Nyeri</w:t>
                            </w:r>
                          </w:p>
                        </w:txbxContent>
                      </wps:txbx>
                      <wps:bodyPr rot="0" vert="horz" wrap="square" lIns="91440" tIns="45720" rIns="91440" bIns="45720" anchor="ctr" anchorCtr="0" upright="1">
                        <a:noAutofit/>
                      </wps:bodyPr>
                    </wps:wsp>
                  </a:graphicData>
                </a:graphic>
              </wp:anchor>
            </w:drawing>
          </mc:Choice>
          <mc:Fallback>
            <w:pict>
              <v:rect w14:anchorId="70B63B8D" id="_x0000_s1039" style="position:absolute;margin-left:143.8pt;margin-top:2.85pt;width:130.95pt;height:28.45pt;z-index:25166745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" fillcolor="white [3201]" strokecolor="black [3200]" strokeweight="2pt">
                <v:textbox>
                  <w:txbxContent>
                    <w:p w14:paraId="6E4C5F5B" w14:textId="77777777" w:rsidR="003B79BC" w:rsidRDefault="00000000">
                      <w:pPr>
                        <w:pStyle w:val="NormalWeb"/>
                        <w:spacing w:before="0" w:beforeAutospacing="0" w:after="0" w:afterAutospacing="0"/>
                        <w:jc w:val="center"/>
                        <w:rPr>
                          <w:rFonts w:ascii="Times New Roman" w:hAnsi="Times New Roman"/>
                          <w:b/>
                          <w:bCs/>
                          <w:color w:val="000000" w:themeColor="text1"/>
                          <w:sz w:val="18"/>
                        </w:rPr>
                      </w:pPr>
                      <w:r>
                        <w:rPr>
                          <w:rFonts w:ascii="Times New Roman" w:hAnsi="Times New Roman"/>
                          <w:b/>
                          <w:bCs/>
                          <w:color w:val="000000" w:themeColor="text1"/>
                          <w:kern w:val="24"/>
                          <w:sz w:val="24"/>
                          <w:szCs w:val="28"/>
                          <w:lang w:val="id-ID"/>
                        </w:rPr>
                        <w:t>Nyeri</w:t>
                      </w:r>
                    </w:p>
                  </w:txbxContent>
                </v:textbox>
                <w10:wrap anchorx="margin"/>
              </v:rect>
            </w:pict>
          </mc:Fallback>
        </mc:AlternateContent>
      </w:r>
    </w:p>
    <w:p w14:paraId="0DA975CD" w14:textId="77777777" w:rsidR="003B79BC" w:rsidRDefault="003B79BC">
      <w:pPr>
        <w:rPr>
          <w:lang w:val="id-ID"/>
        </w:rPr>
      </w:pPr>
    </w:p>
    <w:p w14:paraId="3918DECA" w14:textId="77777777" w:rsidR="003B79BC" w:rsidRDefault="003B79BC">
      <w:pPr>
        <w:rPr>
          <w:lang w:val="id-ID"/>
        </w:rPr>
      </w:pPr>
    </w:p>
    <w:p w14:paraId="0A27B065" w14:textId="77777777" w:rsidR="003B79BC" w:rsidRDefault="003B79BC">
      <w:pPr>
        <w:rPr>
          <w:lang w:val="id-ID"/>
        </w:rPr>
      </w:pPr>
    </w:p>
    <w:p w14:paraId="2FA6D155" w14:textId="77777777" w:rsidR="003B79BC" w:rsidRDefault="003B79BC">
      <w:pPr>
        <w:rPr>
          <w:lang w:val="id-ID"/>
        </w:rPr>
      </w:pPr>
    </w:p>
    <w:p w14:paraId="2DB97E06" w14:textId="221B3CAB" w:rsidR="003B79BC" w:rsidRDefault="00000000">
      <w:pPr>
        <w:pStyle w:val="Caption"/>
        <w:rPr>
          <w:i w:val="0"/>
          <w:iCs w:val="0"/>
          <w:color w:val="000000" w:themeColor="text1"/>
          <w:sz w:val="24"/>
          <w:szCs w:val="24"/>
          <w:lang w:val="id-ID"/>
        </w:rPr>
      </w:pPr>
      <w:r>
        <w:rPr>
          <w:i w:val="0"/>
          <w:iCs w:val="0"/>
          <w:color w:val="000000" w:themeColor="text1"/>
          <w:sz w:val="24"/>
          <w:szCs w:val="24"/>
        </w:rPr>
        <w:t xml:space="preserve">Gambar </w:t>
      </w:r>
      <w:r>
        <w:rPr>
          <w:i w:val="0"/>
          <w:iCs w:val="0"/>
          <w:color w:val="000000" w:themeColor="text1"/>
          <w:sz w:val="24"/>
          <w:szCs w:val="24"/>
        </w:rPr>
        <w:fldChar w:fldCharType="begin"/>
      </w:r>
      <w:r>
        <w:rPr>
          <w:i w:val="0"/>
          <w:iCs w:val="0"/>
          <w:color w:val="000000" w:themeColor="text1"/>
          <w:sz w:val="24"/>
          <w:szCs w:val="24"/>
        </w:rPr>
        <w:instrText xml:space="preserve"> SEQ Gambar \* ARABIC </w:instrText>
      </w:r>
      <w:r>
        <w:rPr>
          <w:i w:val="0"/>
          <w:iCs w:val="0"/>
          <w:color w:val="000000" w:themeColor="text1"/>
          <w:sz w:val="24"/>
          <w:szCs w:val="24"/>
        </w:rPr>
        <w:fldChar w:fldCharType="separate"/>
      </w:r>
      <w:r w:rsidR="00D671E3">
        <w:rPr>
          <w:i w:val="0"/>
          <w:iCs w:val="0"/>
          <w:noProof/>
          <w:color w:val="000000" w:themeColor="text1"/>
          <w:sz w:val="24"/>
          <w:szCs w:val="24"/>
        </w:rPr>
        <w:t>8</w:t>
      </w:r>
      <w:r>
        <w:rPr>
          <w:i w:val="0"/>
          <w:iCs w:val="0"/>
          <w:color w:val="000000" w:themeColor="text1"/>
          <w:sz w:val="24"/>
          <w:szCs w:val="24"/>
        </w:rPr>
        <w:fldChar w:fldCharType="end"/>
      </w:r>
      <w:r>
        <w:rPr>
          <w:i w:val="0"/>
          <w:iCs w:val="0"/>
          <w:color w:val="000000" w:themeColor="text1"/>
          <w:sz w:val="24"/>
          <w:szCs w:val="24"/>
          <w:lang w:val="id-ID"/>
        </w:rPr>
        <w:t>. Kerangka Teori</w:t>
      </w:r>
    </w:p>
    <w:p w14:paraId="40248558" w14:textId="77777777" w:rsidR="003B79BC" w:rsidRDefault="003B79BC">
      <w:pPr>
        <w:pStyle w:val="Heading1"/>
        <w:spacing w:after="0"/>
        <w:rPr>
          <w:sz w:val="24"/>
          <w:szCs w:val="24"/>
          <w:lang w:val="id-ID"/>
        </w:rPr>
        <w:sectPr w:rsidR="003B79BC" w:rsidSect="00275E84">
          <w:pgSz w:w="11907" w:h="16840"/>
          <w:pgMar w:top="2268" w:right="1701" w:bottom="1701" w:left="2268" w:header="720" w:footer="720" w:gutter="0"/>
          <w:cols w:space="720"/>
          <w:docGrid w:linePitch="360"/>
        </w:sectPr>
      </w:pPr>
    </w:p>
    <w:p w14:paraId="541C60A7" w14:textId="77777777" w:rsidR="003B79BC" w:rsidRDefault="00000000">
      <w:pPr>
        <w:pStyle w:val="Heading1"/>
        <w:spacing w:after="0"/>
        <w:rPr>
          <w:sz w:val="24"/>
          <w:szCs w:val="24"/>
          <w:lang w:val="id-ID"/>
        </w:rPr>
      </w:pPr>
      <w:bookmarkStart w:id="61" w:name="_Toc158290265"/>
      <w:r>
        <w:rPr>
          <w:sz w:val="24"/>
          <w:szCs w:val="24"/>
          <w:lang w:val="id-ID"/>
        </w:rPr>
        <w:lastRenderedPageBreak/>
        <w:t>BAB IV</w:t>
      </w:r>
      <w:bookmarkEnd w:id="61"/>
    </w:p>
    <w:p w14:paraId="5FB4BEC8" w14:textId="77777777" w:rsidR="003B79BC" w:rsidRDefault="00000000">
      <w:pPr>
        <w:pStyle w:val="Heading1"/>
        <w:spacing w:after="0"/>
        <w:rPr>
          <w:sz w:val="24"/>
          <w:szCs w:val="24"/>
          <w:lang w:val="id-ID"/>
        </w:rPr>
      </w:pPr>
      <w:bookmarkStart w:id="62" w:name="_Toc158290266"/>
      <w:r>
        <w:rPr>
          <w:sz w:val="24"/>
          <w:szCs w:val="24"/>
          <w:lang w:val="id-ID"/>
        </w:rPr>
        <w:t>KERANGKA KONSEP</w:t>
      </w:r>
      <w:bookmarkEnd w:id="62"/>
    </w:p>
    <w:p w14:paraId="3407EFE0" w14:textId="77777777" w:rsidR="003B79BC" w:rsidRDefault="003B79BC">
      <w:pPr>
        <w:spacing w:after="200" w:line="276" w:lineRule="auto"/>
        <w:rPr>
          <w:rFonts w:asciiTheme="majorBidi" w:eastAsiaTheme="minorEastAsia" w:hAnsiTheme="majorBidi" w:cstheme="majorBidi"/>
          <w:b/>
          <w:bCs/>
          <w:lang w:eastAsia="zh-CN"/>
        </w:rPr>
      </w:pPr>
      <w:bookmarkStart w:id="63" w:name="_Hlk108431922"/>
    </w:p>
    <w:p w14:paraId="2F8A2976" w14:textId="77777777" w:rsidR="003B79BC" w:rsidRDefault="00000000">
      <w:pPr>
        <w:spacing w:after="200" w:line="276" w:lineRule="auto"/>
        <w:rPr>
          <w:rFonts w:asciiTheme="majorBidi" w:hAnsiTheme="majorBidi" w:cstheme="majorBidi"/>
          <w:b/>
          <w:bCs/>
        </w:rPr>
      </w:pPr>
      <w:r>
        <w:rPr>
          <w:rFonts w:asciiTheme="majorBidi" w:hAnsiTheme="majorBidi" w:cstheme="majorBidi"/>
          <w:b/>
          <w:bCs/>
          <w:noProof/>
          <w:lang w:val="en-US"/>
        </w:rPr>
        <mc:AlternateContent>
          <mc:Choice Requires="wps">
            <w:drawing>
              <wp:anchor distT="0" distB="0" distL="114300" distR="114300" simplePos="0" relativeHeight="251664384" behindDoc="0" locked="0" layoutInCell="1" allowOverlap="1" wp14:anchorId="10F066AE" wp14:editId="719FE757">
                <wp:simplePos x="0" y="0"/>
                <wp:positionH relativeFrom="column">
                  <wp:posOffset>1712595</wp:posOffset>
                </wp:positionH>
                <wp:positionV relativeFrom="paragraph">
                  <wp:posOffset>144145</wp:posOffset>
                </wp:positionV>
                <wp:extent cx="2038350" cy="2333625"/>
                <wp:effectExtent l="0" t="0" r="19050" b="28575"/>
                <wp:wrapNone/>
                <wp:docPr id="41" name="Rectangle 41"/>
                <wp:cNvGraphicFramePr/>
                <a:graphic xmlns:a="http://schemas.openxmlformats.org/drawingml/2006/main">
                  <a:graphicData uri="http://schemas.microsoft.com/office/word/2010/wordprocessingShape">
                    <wps:wsp>
                      <wps:cNvSpPr/>
                      <wps:spPr>
                        <a:xfrm>
                          <a:off x="0" y="0"/>
                          <a:ext cx="2038350" cy="23336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41" o:spid="_x0000_s1026" o:spt="1" style="position:absolute;left:0pt;margin-left:134.85pt;margin-top:11.35pt;height:183.75pt;width:160.5pt;z-index:251664384;v-text-anchor:middle;mso-width-relative:page;mso-height-relative:page;" filled="f" stroked="t" coordsize="21600,21600" o:gfxdata="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ByM4FrZAAAACgEA&#10;AA8AAAAAAAAAAQAgAAAAIgAAAGRycy9kb3ducmV2LnhtbFBLAQIUABQAAAAIAIdO4kC4rvFpUgIA&#10;ALoEAAAOAAAAAAAAAAEAIAAAACgBAABkcnMvZTJvRG9jLnhtbFBLBQYAAAAABgAGAFkBAADsBQAA&#10;AAA=&#10;">
                <v:fill on="f" focussize="0,0"/>
                <v:stroke weight="2pt" color="#000000 [3213]" joinstyle="round"/>
                <v:imagedata o:title=""/>
                <o:lock v:ext="edit" aspectratio="f"/>
              </v:rect>
            </w:pict>
          </mc:Fallback>
        </mc:AlternateContent>
      </w:r>
      <w:r>
        <w:rPr>
          <w:noProof/>
          <w:lang w:val="en-US"/>
        </w:rPr>
        <mc:AlternateContent>
          <mc:Choice Requires="wps">
            <w:drawing>
              <wp:anchor distT="0" distB="0" distL="114300" distR="114300" simplePos="0" relativeHeight="251661312" behindDoc="0" locked="0" layoutInCell="1" allowOverlap="1" wp14:anchorId="1E7AF569" wp14:editId="6E2579E9">
                <wp:simplePos x="0" y="0"/>
                <wp:positionH relativeFrom="column">
                  <wp:posOffset>2116455</wp:posOffset>
                </wp:positionH>
                <wp:positionV relativeFrom="paragraph">
                  <wp:posOffset>293370</wp:posOffset>
                </wp:positionV>
                <wp:extent cx="1236345" cy="495300"/>
                <wp:effectExtent l="57150" t="38100" r="78105" b="95250"/>
                <wp:wrapNone/>
                <wp:docPr id="22" name="Rectangle 4"/>
                <wp:cNvGraphicFramePr/>
                <a:graphic xmlns:a="http://schemas.openxmlformats.org/drawingml/2006/main">
                  <a:graphicData uri="http://schemas.microsoft.com/office/word/2010/wordprocessingShape">
                    <wps:wsp>
                      <wps:cNvSpPr/>
                      <wps:spPr bwMode="auto">
                        <a:xfrm>
                          <a:off x="0" y="0"/>
                          <a:ext cx="1236345" cy="495300"/>
                        </a:xfrm>
                        <a:prstGeom prst="rect">
                          <a:avLst/>
                        </a:prstGeom>
                        <a:solidFill>
                          <a:schemeClr val="accent3">
                            <a:lumMod val="60000"/>
                            <a:lumOff val="40000"/>
                          </a:schemeClr>
                        </a:solidFill>
                        <a:ln w="9525">
                          <a:solidFill>
                            <a:srgbClr val="000000"/>
                          </a:solidFill>
                          <a:miter lim="800000"/>
                        </a:ln>
                        <a:effectLst>
                          <a:outerShdw blurRad="40000" dist="20000" dir="5400000" rotWithShape="0">
                            <a:srgbClr val="808080">
                              <a:alpha val="37999"/>
                            </a:srgbClr>
                          </a:outerShdw>
                        </a:effectLst>
                      </wps:spPr>
                      <wps:txbx>
                        <w:txbxContent>
                          <w:p w14:paraId="40699FA1"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Kerusakan jaringan</w:t>
                            </w:r>
                          </w:p>
                        </w:txbxContent>
                      </wps:txbx>
                      <wps:bodyPr rot="0" vert="horz" wrap="square" lIns="91440" tIns="45720" rIns="91440" bIns="45720" anchor="ctr" anchorCtr="0" upright="1">
                        <a:noAutofit/>
                      </wps:bodyPr>
                    </wps:wsp>
                  </a:graphicData>
                </a:graphic>
              </wp:anchor>
            </w:drawing>
          </mc:Choice>
          <mc:Fallback>
            <w:pict>
              <v:rect w14:anchorId="1E7AF569" id="_x0000_s1040" style="position:absolute;margin-left:166.65pt;margin-top:23.1pt;width:97.35pt;height:3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" fillcolor="#c2d69b [1942]">
                <v:shadow on="t" opacity="24903f" origin=",.5" offset="0,.55556mm"/>
                <v:textbox>
                  <w:txbxContent>
                    <w:p w14:paraId="40699FA1"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Kerusakan jaringan</w:t>
                      </w:r>
                    </w:p>
                  </w:txbxContent>
                </v:textbox>
              </v:rect>
            </w:pict>
          </mc:Fallback>
        </mc:AlternateContent>
      </w:r>
    </w:p>
    <w:p w14:paraId="62655979" w14:textId="77777777" w:rsidR="003B79BC" w:rsidRDefault="00000000">
      <w:pPr>
        <w:spacing w:line="480" w:lineRule="auto"/>
        <w:jc w:val="center"/>
        <w:rPr>
          <w:rFonts w:eastAsiaTheme="minorEastAsia"/>
          <w:b/>
          <w:lang w:eastAsia="zh-CN"/>
        </w:rPr>
      </w:pPr>
      <w:r>
        <w:rPr>
          <w:rFonts w:eastAsiaTheme="minorEastAsia"/>
          <w:b/>
          <w:noProof/>
          <w:lang w:eastAsia="zh-CN"/>
        </w:rPr>
        <mc:AlternateContent>
          <mc:Choice Requires="wps">
            <w:drawing>
              <wp:inline distT="0" distB="0" distL="0" distR="0" wp14:anchorId="2EC2C566" wp14:editId="011BA74F">
                <wp:extent cx="211455" cy="10160"/>
                <wp:effectExtent l="57150" t="76200" r="0" b="142240"/>
                <wp:docPr id="20" name="Straight Arrow Connector 9"/>
                <wp:cNvGraphicFramePr/>
                <a:graphic xmlns:a="http://schemas.openxmlformats.org/drawingml/2006/main">
                  <a:graphicData uri="http://schemas.microsoft.com/office/word/2010/wordprocessingShape">
                    <wps:wsp>
                      <wps:cNvCnPr/>
                      <wps:spPr bwMode="auto">
                        <a:xfrm flipH="1">
                          <a:off x="0" y="0"/>
                          <a:ext cx="211878" cy="10218"/>
                        </a:xfrm>
                        <a:prstGeom prst="straightConnector1">
                          <a:avLst/>
                        </a:prstGeom>
                        <a:noFill/>
                        <a:ln w="25400">
                          <a:solidFill>
                            <a:srgbClr val="000000"/>
                          </a:solidFill>
                          <a:round/>
                          <a:tailEnd type="arrow" w="med" len="med"/>
                        </a:ln>
                        <a:effectLst>
                          <a:outerShdw blurRad="40000" dist="20000" dir="5400000" rotWithShape="0">
                            <a:srgbClr val="808080">
                              <a:alpha val="37999"/>
                            </a:srgbClr>
                          </a:outerShdw>
                        </a:effectLst>
                      </wps:spPr>
                      <wps:bodyPr/>
                    </wps:wsp>
                  </a:graphicData>
                </a:graphic>
              </wp:inline>
            </w:drawing>
          </mc:Choice>
          <mc:Fallback xmlns:wpsCustomData="http://www.wps.cn/officeDocument/2013/wpsCustomData">
            <w:pict>
              <v:shape id="Straight Arrow Connector 9" o:spid="_x0000_s1026" o:spt="32" type="#_x0000_t32" style="flip:x;height:0.8pt;width:16.65pt;" filled="f" stroked="t" coordsize="21600,21600" o:gfxdata="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xI6YU0wAAAAIBAAAPAAAAAAAAAAEAIAAAACIAAABkcnMvZG93bnJldi54bWxQSwECFAAU&#10;AAAACACHTuJAz9EmiC8CAAB1BAAADgAAAAAAAAABACAAAAAiAQAAZHJzL2Uyb0RvYy54bWxQSwUG&#10;AAAAAAYABgBZAQAAwwUAAAAA&#10;">
                <v:fill on="f" focussize="0,0"/>
                <v:stroke weight="2pt" color="#000000" joinstyle="round" endarrow="open"/>
                <v:imagedata o:title=""/>
                <o:lock v:ext="edit" aspectratio="f"/>
                <v:shadow on="t" color="#808080" opacity="24903f" offset="0pt,1.5748031496063pt" origin="0f,32768f" matrix="65536f,0f,0f,65536f"/>
                <w10:wrap type="none"/>
                <w10:anchorlock/>
              </v:shape>
            </w:pict>
          </mc:Fallback>
        </mc:AlternateContent>
      </w:r>
    </w:p>
    <w:p w14:paraId="65266D57" w14:textId="77777777" w:rsidR="003B79BC" w:rsidRDefault="00000000">
      <w:pPr>
        <w:rPr>
          <w:rFonts w:eastAsiaTheme="minorEastAsia"/>
          <w:lang w:eastAsia="zh-CN"/>
        </w:rPr>
      </w:pPr>
      <w:r>
        <w:rPr>
          <w:rFonts w:eastAsiaTheme="minorEastAsia"/>
          <w:noProof/>
          <w:lang w:eastAsia="zh-CN"/>
        </w:rPr>
        <mc:AlternateContent>
          <mc:Choice Requires="wps">
            <w:drawing>
              <wp:anchor distT="0" distB="0" distL="114300" distR="114300" simplePos="0" relativeHeight="251709440" behindDoc="0" locked="0" layoutInCell="1" allowOverlap="1" wp14:anchorId="1CEE3F98" wp14:editId="7B0A5F0B">
                <wp:simplePos x="0" y="0"/>
                <wp:positionH relativeFrom="column">
                  <wp:posOffset>2760345</wp:posOffset>
                </wp:positionH>
                <wp:positionV relativeFrom="paragraph">
                  <wp:posOffset>59055</wp:posOffset>
                </wp:positionV>
                <wp:extent cx="504825" cy="361950"/>
                <wp:effectExtent l="19050" t="19050" r="47625" b="38100"/>
                <wp:wrapNone/>
                <wp:docPr id="1185025862" name="Straight Arrow Connector 2"/>
                <wp:cNvGraphicFramePr/>
                <a:graphic xmlns:a="http://schemas.openxmlformats.org/drawingml/2006/main">
                  <a:graphicData uri="http://schemas.microsoft.com/office/word/2010/wordprocessingShape">
                    <wps:wsp>
                      <wps:cNvCnPr/>
                      <wps:spPr>
                        <a:xfrm>
                          <a:off x="0" y="0"/>
                          <a:ext cx="504825" cy="361950"/>
                        </a:xfrm>
                        <a:prstGeom prst="straightConnector1">
                          <a:avLst/>
                        </a:prstGeom>
                        <a:ln w="28575">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Straight Arrow Connector 2" o:spid="_x0000_s1026" o:spt="32" type="#_x0000_t32" style="position:absolute;left:0pt;margin-left:217.35pt;margin-top:4.65pt;height:28.5pt;width:39.75pt;z-index:251709440;mso-width-relative:page;mso-height-relative:page;" filled="f" stroked="t" coordsize="21600,21600" o:gfxdata="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VzUehdYAAAAIAQAADwAA&#10;AAAAAAABACAAAAAiAAAAZHJzL2Rvd25yZXYueG1sUEsBAhQAFAAAAAgAh07iQJVSBdsYAgAATQQA&#10;AA4AAAAAAAAAAQAgAAAAJQEAAGRycy9lMm9Eb2MueG1sUEsFBgAAAAAGAAYAWQEAAK8FAAAAAA==&#10;">
                <v:fill on="f" focussize="0,0"/>
                <v:stroke weight="2.25pt" color="#000000 [3200]" joinstyle="round" endarrow="open"/>
                <v:imagedata o:title=""/>
                <o:lock v:ext="edit" aspectratio="f"/>
              </v:shape>
            </w:pict>
          </mc:Fallback>
        </mc:AlternateContent>
      </w:r>
      <w:r>
        <w:rPr>
          <w:rFonts w:eastAsiaTheme="minorEastAsia"/>
          <w:noProof/>
          <w:lang w:eastAsia="zh-CN"/>
        </w:rPr>
        <mc:AlternateContent>
          <mc:Choice Requires="wps">
            <w:drawing>
              <wp:anchor distT="0" distB="0" distL="114300" distR="114300" simplePos="0" relativeHeight="251708416" behindDoc="0" locked="0" layoutInCell="1" allowOverlap="1" wp14:anchorId="57ED1082" wp14:editId="3C9F35DA">
                <wp:simplePos x="0" y="0"/>
                <wp:positionH relativeFrom="column">
                  <wp:posOffset>2265045</wp:posOffset>
                </wp:positionH>
                <wp:positionV relativeFrom="paragraph">
                  <wp:posOffset>68580</wp:posOffset>
                </wp:positionV>
                <wp:extent cx="485775" cy="257175"/>
                <wp:effectExtent l="38100" t="19050" r="9525" b="47625"/>
                <wp:wrapNone/>
                <wp:docPr id="1525810556" name="Straight Arrow Connector 1"/>
                <wp:cNvGraphicFramePr/>
                <a:graphic xmlns:a="http://schemas.openxmlformats.org/drawingml/2006/main">
                  <a:graphicData uri="http://schemas.microsoft.com/office/word/2010/wordprocessingShape">
                    <wps:wsp>
                      <wps:cNvCnPr/>
                      <wps:spPr>
                        <a:xfrm flipH="1">
                          <a:off x="0" y="0"/>
                          <a:ext cx="485775" cy="257175"/>
                        </a:xfrm>
                        <a:prstGeom prst="straightConnector1">
                          <a:avLst/>
                        </a:prstGeom>
                        <a:ln w="28575">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Straight Arrow Connector 1" o:spid="_x0000_s1026" o:spt="32" type="#_x0000_t32" style="position:absolute;left:0pt;flip:x;margin-left:178.35pt;margin-top:5.4pt;height:20.25pt;width:38.25pt;z-index:251708416;mso-width-relative:page;mso-height-relative:page;" filled="f" stroked="t" coordsize="21600,21600" o:gfxdata="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rGPuT2QAA&#10;AAkBAAAPAAAAAAAAAAEAIAAAACIAAABkcnMvZG93bnJldi54bWxQSwECFAAUAAAACACHTuJAiYPS&#10;3h0CAABXBAAADgAAAAAAAAABACAAAAAoAQAAZHJzL2Uyb0RvYy54bWxQSwUGAAAAAAYABgBZAQAA&#10;twUAAAAA&#10;">
                <v:fill on="f" focussize="0,0"/>
                <v:stroke weight="2.25pt" color="#000000 [3200]" joinstyle="round" endarrow="open"/>
                <v:imagedata o:title=""/>
                <o:lock v:ext="edit" aspectratio="f"/>
              </v:shape>
            </w:pict>
          </mc:Fallback>
        </mc:AlternateContent>
      </w:r>
    </w:p>
    <w:p w14:paraId="0E3DA283" w14:textId="77777777" w:rsidR="003B79BC" w:rsidRDefault="00000000">
      <w:pPr>
        <w:rPr>
          <w:rFonts w:eastAsiaTheme="minorEastAsia"/>
          <w:lang w:eastAsia="zh-CN"/>
        </w:rPr>
      </w:pPr>
      <w:r>
        <w:rPr>
          <w:noProof/>
          <w:lang w:val="en-US"/>
        </w:rPr>
        <mc:AlternateContent>
          <mc:Choice Requires="wps">
            <w:drawing>
              <wp:anchor distT="0" distB="0" distL="114300" distR="114300" simplePos="0" relativeHeight="251662336" behindDoc="0" locked="0" layoutInCell="1" allowOverlap="1" wp14:anchorId="42E1B1E1" wp14:editId="6771DBBA">
                <wp:simplePos x="0" y="0"/>
                <wp:positionH relativeFrom="margin">
                  <wp:posOffset>1893570</wp:posOffset>
                </wp:positionH>
                <wp:positionV relativeFrom="paragraph">
                  <wp:posOffset>160020</wp:posOffset>
                </wp:positionV>
                <wp:extent cx="781050" cy="466725"/>
                <wp:effectExtent l="57150" t="38100" r="76200" b="104775"/>
                <wp:wrapNone/>
                <wp:docPr id="23" name="Rectangle 4"/>
                <wp:cNvGraphicFramePr/>
                <a:graphic xmlns:a="http://schemas.openxmlformats.org/drawingml/2006/main">
                  <a:graphicData uri="http://schemas.microsoft.com/office/word/2010/wordprocessingShape">
                    <wps:wsp>
                      <wps:cNvSpPr/>
                      <wps:spPr bwMode="auto">
                        <a:xfrm>
                          <a:off x="0" y="0"/>
                          <a:ext cx="781050" cy="466725"/>
                        </a:xfrm>
                        <a:prstGeom prst="rect">
                          <a:avLst/>
                        </a:prstGeom>
                        <a:solidFill>
                          <a:schemeClr val="accent3">
                            <a:lumMod val="60000"/>
                            <a:lumOff val="40000"/>
                          </a:schemeClr>
                        </a:solidFill>
                        <a:ln w="9525">
                          <a:solidFill>
                            <a:srgbClr val="000000"/>
                          </a:solidFill>
                          <a:miter lim="800000"/>
                        </a:ln>
                        <a:effectLst>
                          <a:outerShdw blurRad="40000" dist="20000" dir="5400000" rotWithShape="0">
                            <a:srgbClr val="808080">
                              <a:alpha val="37999"/>
                            </a:srgbClr>
                          </a:outerShdw>
                        </a:effectLst>
                      </wps:spPr>
                      <wps:txbx>
                        <w:txbxContent>
                          <w:p w14:paraId="20E71FDC" w14:textId="77777777" w:rsidR="003B79BC" w:rsidRDefault="00000000">
                            <w:pPr>
                              <w:pStyle w:val="NormalWeb"/>
                              <w:spacing w:before="0" w:beforeAutospacing="0" w:after="0" w:afterAutospacing="0"/>
                              <w:jc w:val="center"/>
                              <w:rPr>
                                <w:rFonts w:ascii="Times New Roman" w:hAnsi="Times New Roman"/>
                                <w:color w:val="000000"/>
                                <w:kern w:val="24"/>
                                <w:sz w:val="24"/>
                                <w:szCs w:val="28"/>
                                <w:lang w:val="id-ID"/>
                              </w:rPr>
                            </w:pPr>
                            <w:r>
                              <w:rPr>
                                <w:rFonts w:ascii="Times New Roman" w:hAnsi="Times New Roman"/>
                                <w:color w:val="000000"/>
                                <w:kern w:val="24"/>
                                <w:sz w:val="24"/>
                                <w:szCs w:val="28"/>
                                <w:lang w:val="id-ID"/>
                              </w:rPr>
                              <w:t xml:space="preserve">Saluran </w:t>
                            </w:r>
                          </w:p>
                          <w:p w14:paraId="5DBDFE22"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Na</w:t>
                            </w:r>
                            <w:r>
                              <w:rPr>
                                <w:rFonts w:ascii="Times New Roman" w:hAnsi="Times New Roman"/>
                                <w:color w:val="000000"/>
                                <w:kern w:val="24"/>
                                <w:sz w:val="24"/>
                                <w:szCs w:val="28"/>
                                <w:vertAlign w:val="superscript"/>
                                <w:lang w:val="id-ID"/>
                              </w:rPr>
                              <w:t>2+</w:t>
                            </w:r>
                          </w:p>
                        </w:txbxContent>
                      </wps:txbx>
                      <wps:bodyPr rot="0" vert="horz" wrap="square" lIns="91440" tIns="45720" rIns="91440" bIns="45720" anchor="ctr" anchorCtr="0" upright="1">
                        <a:noAutofit/>
                      </wps:bodyPr>
                    </wps:wsp>
                  </a:graphicData>
                </a:graphic>
              </wp:anchor>
            </w:drawing>
          </mc:Choice>
          <mc:Fallback>
            <w:pict>
              <v:rect w14:anchorId="42E1B1E1" id="_x0000_s1041" style="position:absolute;margin-left:149.1pt;margin-top:12.6pt;width:61.5pt;height:36.75pt;z-index:2516623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" fillcolor="#c2d69b [1942]">
                <v:shadow on="t" opacity="24903f" origin=",.5" offset="0,.55556mm"/>
                <v:textbox>
                  <w:txbxContent>
                    <w:p w14:paraId="20E71FDC" w14:textId="77777777" w:rsidR="003B79BC" w:rsidRDefault="00000000">
                      <w:pPr>
                        <w:pStyle w:val="NormalWeb"/>
                        <w:spacing w:before="0" w:beforeAutospacing="0" w:after="0" w:afterAutospacing="0"/>
                        <w:jc w:val="center"/>
                        <w:rPr>
                          <w:rFonts w:ascii="Times New Roman" w:hAnsi="Times New Roman"/>
                          <w:color w:val="000000"/>
                          <w:kern w:val="24"/>
                          <w:sz w:val="24"/>
                          <w:szCs w:val="28"/>
                          <w:lang w:val="id-ID"/>
                        </w:rPr>
                      </w:pPr>
                      <w:r>
                        <w:rPr>
                          <w:rFonts w:ascii="Times New Roman" w:hAnsi="Times New Roman"/>
                          <w:color w:val="000000"/>
                          <w:kern w:val="24"/>
                          <w:sz w:val="24"/>
                          <w:szCs w:val="28"/>
                          <w:lang w:val="id-ID"/>
                        </w:rPr>
                        <w:t xml:space="preserve">Saluran </w:t>
                      </w:r>
                    </w:p>
                    <w:p w14:paraId="5DBDFE22"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Na</w:t>
                      </w:r>
                      <w:r>
                        <w:rPr>
                          <w:rFonts w:ascii="Times New Roman" w:hAnsi="Times New Roman"/>
                          <w:color w:val="000000"/>
                          <w:kern w:val="24"/>
                          <w:sz w:val="24"/>
                          <w:szCs w:val="28"/>
                          <w:vertAlign w:val="superscript"/>
                          <w:lang w:val="id-ID"/>
                        </w:rPr>
                        <w:t>2+</w:t>
                      </w:r>
                    </w:p>
                  </w:txbxContent>
                </v:textbox>
                <w10:wrap anchorx="margin"/>
              </v:rect>
            </w:pict>
          </mc:Fallback>
        </mc:AlternateContent>
      </w:r>
    </w:p>
    <w:p w14:paraId="6D903163" w14:textId="77777777" w:rsidR="003B79BC" w:rsidRDefault="00000000">
      <w:pPr>
        <w:rPr>
          <w:rFonts w:eastAsiaTheme="minorEastAsia"/>
          <w:lang w:eastAsia="zh-CN"/>
        </w:rPr>
      </w:pPr>
      <w:r>
        <w:rPr>
          <w:noProof/>
        </w:rPr>
        <mc:AlternateContent>
          <mc:Choice Requires="wps">
            <w:drawing>
              <wp:anchor distT="0" distB="0" distL="114300" distR="114300" simplePos="0" relativeHeight="251696128" behindDoc="0" locked="0" layoutInCell="1" allowOverlap="1" wp14:anchorId="16076A5B" wp14:editId="5F30BDB8">
                <wp:simplePos x="0" y="0"/>
                <wp:positionH relativeFrom="column">
                  <wp:posOffset>4097020</wp:posOffset>
                </wp:positionH>
                <wp:positionV relativeFrom="paragraph">
                  <wp:posOffset>19685</wp:posOffset>
                </wp:positionV>
                <wp:extent cx="1122045" cy="1168400"/>
                <wp:effectExtent l="0" t="0" r="20955" b="12700"/>
                <wp:wrapNone/>
                <wp:docPr id="17" name="Rectangle 5"/>
                <wp:cNvGraphicFramePr/>
                <a:graphic xmlns:a="http://schemas.openxmlformats.org/drawingml/2006/main">
                  <a:graphicData uri="http://schemas.microsoft.com/office/word/2010/wordprocessingShape">
                    <wps:wsp>
                      <wps:cNvSpPr/>
                      <wps:spPr bwMode="auto">
                        <a:xfrm>
                          <a:off x="0" y="0"/>
                          <a:ext cx="1122045" cy="1168400"/>
                        </a:xfrm>
                        <a:prstGeom prst="rect">
                          <a:avLst/>
                        </a:prstGeom>
                        <a:solidFill>
                          <a:schemeClr val="accent6">
                            <a:lumMod val="40000"/>
                            <a:lumOff val="60000"/>
                          </a:schemeClr>
                        </a:solidFill>
                      </wps:spPr>
                      <wps:style>
                        <a:lnRef idx="2">
                          <a:schemeClr val="dk1"/>
                        </a:lnRef>
                        <a:fillRef idx="1">
                          <a:schemeClr val="lt1"/>
                        </a:fillRef>
                        <a:effectRef idx="0">
                          <a:schemeClr val="dk1"/>
                        </a:effectRef>
                        <a:fontRef idx="minor">
                          <a:schemeClr val="dk1"/>
                        </a:fontRef>
                      </wps:style>
                      <wps:txbx>
                        <w:txbxContent>
                          <w:p w14:paraId="7AD2E5FF" w14:textId="77777777" w:rsidR="003B79BC" w:rsidRDefault="00000000">
                            <w:pPr>
                              <w:pStyle w:val="ColorfulList-Accent11"/>
                              <w:numPr>
                                <w:ilvl w:val="0"/>
                                <w:numId w:val="11"/>
                              </w:numPr>
                              <w:spacing w:after="0" w:line="240" w:lineRule="auto"/>
                              <w:ind w:left="142" w:right="22" w:hanging="142"/>
                              <w:rPr>
                                <w:rFonts w:ascii="Times New Roman" w:eastAsia="Times New Roman" w:hAnsi="Times New Roman"/>
                              </w:rPr>
                            </w:pPr>
                            <w:r>
                              <w:rPr>
                                <w:rFonts w:ascii="Times New Roman" w:hAnsi="Times New Roman"/>
                                <w:b/>
                                <w:bCs/>
                                <w:color w:val="000000"/>
                                <w:kern w:val="24"/>
                                <w:lang w:val="en-US"/>
                              </w:rPr>
                              <w:t>ASA PS</w:t>
                            </w:r>
                          </w:p>
                          <w:p w14:paraId="07CE5E2D" w14:textId="77777777" w:rsidR="003B79BC" w:rsidRDefault="00000000">
                            <w:pPr>
                              <w:pStyle w:val="ColorfulList-Accent11"/>
                              <w:numPr>
                                <w:ilvl w:val="0"/>
                                <w:numId w:val="11"/>
                              </w:numPr>
                              <w:spacing w:after="0" w:line="240" w:lineRule="auto"/>
                              <w:ind w:left="142" w:right="22" w:hanging="142"/>
                              <w:rPr>
                                <w:rFonts w:ascii="Times New Roman" w:eastAsia="Times New Roman" w:hAnsi="Times New Roman"/>
                              </w:rPr>
                            </w:pPr>
                            <w:r>
                              <w:rPr>
                                <w:rFonts w:ascii="Times New Roman" w:hAnsi="Times New Roman"/>
                                <w:b/>
                                <w:bCs/>
                                <w:color w:val="000000"/>
                                <w:kern w:val="24"/>
                              </w:rPr>
                              <w:t>Umur</w:t>
                            </w:r>
                          </w:p>
                          <w:p w14:paraId="12FFA59D" w14:textId="77777777" w:rsidR="003B79BC" w:rsidRDefault="00000000">
                            <w:pPr>
                              <w:pStyle w:val="ColorfulList-Accent11"/>
                              <w:numPr>
                                <w:ilvl w:val="0"/>
                                <w:numId w:val="11"/>
                              </w:numPr>
                              <w:spacing w:after="0" w:line="240" w:lineRule="auto"/>
                              <w:ind w:left="142" w:right="22" w:hanging="142"/>
                              <w:rPr>
                                <w:rFonts w:ascii="Times New Roman" w:eastAsia="Times New Roman" w:hAnsi="Times New Roman"/>
                              </w:rPr>
                            </w:pPr>
                            <w:r>
                              <w:rPr>
                                <w:rFonts w:ascii="Times New Roman" w:hAnsi="Times New Roman"/>
                                <w:b/>
                                <w:bCs/>
                                <w:color w:val="000000"/>
                                <w:kern w:val="24"/>
                              </w:rPr>
                              <w:t>Status gizi</w:t>
                            </w:r>
                          </w:p>
                          <w:p w14:paraId="74813386" w14:textId="77777777" w:rsidR="003B79BC" w:rsidRPr="00E514CB" w:rsidRDefault="00000000">
                            <w:pPr>
                              <w:pStyle w:val="ColorfulList-Accent11"/>
                              <w:numPr>
                                <w:ilvl w:val="0"/>
                                <w:numId w:val="11"/>
                              </w:numPr>
                              <w:spacing w:after="0" w:line="240" w:lineRule="auto"/>
                              <w:ind w:left="142" w:right="22" w:hanging="142"/>
                              <w:rPr>
                                <w:rFonts w:ascii="Times New Roman" w:eastAsia="Times New Roman" w:hAnsi="Times New Roman"/>
                              </w:rPr>
                            </w:pPr>
                            <w:r>
                              <w:rPr>
                                <w:rFonts w:ascii="Times New Roman" w:hAnsi="Times New Roman"/>
                                <w:b/>
                                <w:bCs/>
                                <w:color w:val="000000"/>
                                <w:kern w:val="24"/>
                              </w:rPr>
                              <w:t>ASA PS</w:t>
                            </w:r>
                          </w:p>
                          <w:p w14:paraId="7893E6FE" w14:textId="25F55642" w:rsidR="00E514CB" w:rsidRDefault="00E514CB">
                            <w:pPr>
                              <w:pStyle w:val="ColorfulList-Accent11"/>
                              <w:numPr>
                                <w:ilvl w:val="0"/>
                                <w:numId w:val="11"/>
                              </w:numPr>
                              <w:spacing w:after="0" w:line="240" w:lineRule="auto"/>
                              <w:ind w:left="142" w:right="22" w:hanging="142"/>
                              <w:rPr>
                                <w:rFonts w:ascii="Times New Roman" w:eastAsia="Times New Roman" w:hAnsi="Times New Roman"/>
                              </w:rPr>
                            </w:pPr>
                            <w:r>
                              <w:rPr>
                                <w:rFonts w:ascii="Times New Roman" w:hAnsi="Times New Roman"/>
                                <w:b/>
                                <w:bCs/>
                                <w:color w:val="000000"/>
                                <w:kern w:val="24"/>
                                <w:lang w:val="en-US"/>
                              </w:rPr>
                              <w:t>Ukuran Tonsil</w:t>
                            </w:r>
                          </w:p>
                          <w:p w14:paraId="1BA2A46D" w14:textId="77777777" w:rsidR="003B79BC" w:rsidRDefault="003B79BC">
                            <w:pPr>
                              <w:pStyle w:val="ColorfulList-Accent11"/>
                              <w:spacing w:after="0" w:line="240" w:lineRule="auto"/>
                              <w:ind w:left="142" w:right="22"/>
                              <w:rPr>
                                <w:rFonts w:ascii="Times New Roman" w:eastAsia="Times New Roman" w:hAnsi="Times New Roman"/>
                                <w:sz w:val="20"/>
                                <w:szCs w:val="20"/>
                              </w:rPr>
                            </w:pP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16076A5B" id="Rectangle 5" o:spid="_x0000_s1042" style="position:absolute;margin-left:322.6pt;margin-top:1.55pt;width:88.35pt;height:92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" fillcolor="#fbd4b4 [1305]" strokecolor="black [3200]" strokeweight="2pt">
                <v:textbox>
                  <w:txbxContent>
                    <w:p w14:paraId="7AD2E5FF" w14:textId="77777777" w:rsidR="003B79BC" w:rsidRDefault="00000000">
                      <w:pPr>
                        <w:pStyle w:val="ColorfulList-Accent11"/>
                        <w:numPr>
                          <w:ilvl w:val="0"/>
                          <w:numId w:val="11"/>
                        </w:numPr>
                        <w:spacing w:after="0" w:line="240" w:lineRule="auto"/>
                        <w:ind w:left="142" w:right="22" w:hanging="142"/>
                        <w:rPr>
                          <w:rFonts w:ascii="Times New Roman" w:eastAsia="Times New Roman" w:hAnsi="Times New Roman"/>
                        </w:rPr>
                      </w:pPr>
                      <w:r>
                        <w:rPr>
                          <w:rFonts w:ascii="Times New Roman" w:hAnsi="Times New Roman"/>
                          <w:b/>
                          <w:bCs/>
                          <w:color w:val="000000"/>
                          <w:kern w:val="24"/>
                          <w:lang w:val="en-US"/>
                        </w:rPr>
                        <w:t>ASA PS</w:t>
                      </w:r>
                    </w:p>
                    <w:p w14:paraId="07CE5E2D" w14:textId="77777777" w:rsidR="003B79BC" w:rsidRDefault="00000000">
                      <w:pPr>
                        <w:pStyle w:val="ColorfulList-Accent11"/>
                        <w:numPr>
                          <w:ilvl w:val="0"/>
                          <w:numId w:val="11"/>
                        </w:numPr>
                        <w:spacing w:after="0" w:line="240" w:lineRule="auto"/>
                        <w:ind w:left="142" w:right="22" w:hanging="142"/>
                        <w:rPr>
                          <w:rFonts w:ascii="Times New Roman" w:eastAsia="Times New Roman" w:hAnsi="Times New Roman"/>
                        </w:rPr>
                      </w:pPr>
                      <w:r>
                        <w:rPr>
                          <w:rFonts w:ascii="Times New Roman" w:hAnsi="Times New Roman"/>
                          <w:b/>
                          <w:bCs/>
                          <w:color w:val="000000"/>
                          <w:kern w:val="24"/>
                        </w:rPr>
                        <w:t>Umur</w:t>
                      </w:r>
                    </w:p>
                    <w:p w14:paraId="12FFA59D" w14:textId="77777777" w:rsidR="003B79BC" w:rsidRDefault="00000000">
                      <w:pPr>
                        <w:pStyle w:val="ColorfulList-Accent11"/>
                        <w:numPr>
                          <w:ilvl w:val="0"/>
                          <w:numId w:val="11"/>
                        </w:numPr>
                        <w:spacing w:after="0" w:line="240" w:lineRule="auto"/>
                        <w:ind w:left="142" w:right="22" w:hanging="142"/>
                        <w:rPr>
                          <w:rFonts w:ascii="Times New Roman" w:eastAsia="Times New Roman" w:hAnsi="Times New Roman"/>
                        </w:rPr>
                      </w:pPr>
                      <w:r>
                        <w:rPr>
                          <w:rFonts w:ascii="Times New Roman" w:hAnsi="Times New Roman"/>
                          <w:b/>
                          <w:bCs/>
                          <w:color w:val="000000"/>
                          <w:kern w:val="24"/>
                        </w:rPr>
                        <w:t>Status gizi</w:t>
                      </w:r>
                    </w:p>
                    <w:p w14:paraId="74813386" w14:textId="77777777" w:rsidR="003B79BC" w:rsidRPr="00E514CB" w:rsidRDefault="00000000">
                      <w:pPr>
                        <w:pStyle w:val="ColorfulList-Accent11"/>
                        <w:numPr>
                          <w:ilvl w:val="0"/>
                          <w:numId w:val="11"/>
                        </w:numPr>
                        <w:spacing w:after="0" w:line="240" w:lineRule="auto"/>
                        <w:ind w:left="142" w:right="22" w:hanging="142"/>
                        <w:rPr>
                          <w:rFonts w:ascii="Times New Roman" w:eastAsia="Times New Roman" w:hAnsi="Times New Roman"/>
                        </w:rPr>
                      </w:pPr>
                      <w:r>
                        <w:rPr>
                          <w:rFonts w:ascii="Times New Roman" w:hAnsi="Times New Roman"/>
                          <w:b/>
                          <w:bCs/>
                          <w:color w:val="000000"/>
                          <w:kern w:val="24"/>
                        </w:rPr>
                        <w:t>ASA PS</w:t>
                      </w:r>
                    </w:p>
                    <w:p w14:paraId="7893E6FE" w14:textId="25F55642" w:rsidR="00E514CB" w:rsidRDefault="00E514CB">
                      <w:pPr>
                        <w:pStyle w:val="ColorfulList-Accent11"/>
                        <w:numPr>
                          <w:ilvl w:val="0"/>
                          <w:numId w:val="11"/>
                        </w:numPr>
                        <w:spacing w:after="0" w:line="240" w:lineRule="auto"/>
                        <w:ind w:left="142" w:right="22" w:hanging="142"/>
                        <w:rPr>
                          <w:rFonts w:ascii="Times New Roman" w:eastAsia="Times New Roman" w:hAnsi="Times New Roman"/>
                        </w:rPr>
                      </w:pPr>
                      <w:r>
                        <w:rPr>
                          <w:rFonts w:ascii="Times New Roman" w:hAnsi="Times New Roman"/>
                          <w:b/>
                          <w:bCs/>
                          <w:color w:val="000000"/>
                          <w:kern w:val="24"/>
                          <w:lang w:val="en-US"/>
                        </w:rPr>
                        <w:t>Ukuran Tonsil</w:t>
                      </w:r>
                    </w:p>
                    <w:p w14:paraId="1BA2A46D" w14:textId="77777777" w:rsidR="003B79BC" w:rsidRDefault="003B79BC">
                      <w:pPr>
                        <w:pStyle w:val="ColorfulList-Accent11"/>
                        <w:spacing w:after="0" w:line="240" w:lineRule="auto"/>
                        <w:ind w:left="142" w:right="22"/>
                        <w:rPr>
                          <w:rFonts w:ascii="Times New Roman" w:eastAsia="Times New Roman" w:hAnsi="Times New Roman"/>
                          <w:sz w:val="20"/>
                          <w:szCs w:val="20"/>
                        </w:rPr>
                      </w:pPr>
                    </w:p>
                  </w:txbxContent>
                </v:textbox>
              </v:rect>
            </w:pict>
          </mc:Fallback>
        </mc:AlternateContent>
      </w:r>
      <w:r>
        <w:rPr>
          <w:noProof/>
          <w:lang w:val="en-US"/>
        </w:rPr>
        <mc:AlternateContent>
          <mc:Choice Requires="wps">
            <w:drawing>
              <wp:anchor distT="0" distB="0" distL="114300" distR="114300" simplePos="0" relativeHeight="251700224" behindDoc="0" locked="0" layoutInCell="1" allowOverlap="1" wp14:anchorId="37F24CC9" wp14:editId="65789981">
                <wp:simplePos x="0" y="0"/>
                <wp:positionH relativeFrom="column">
                  <wp:posOffset>2790825</wp:posOffset>
                </wp:positionH>
                <wp:positionV relativeFrom="paragraph">
                  <wp:posOffset>70485</wp:posOffset>
                </wp:positionV>
                <wp:extent cx="826770" cy="295275"/>
                <wp:effectExtent l="57150" t="38100" r="68580" b="104775"/>
                <wp:wrapNone/>
                <wp:docPr id="604869588" name="Rectangle 4"/>
                <wp:cNvGraphicFramePr/>
                <a:graphic xmlns:a="http://schemas.openxmlformats.org/drawingml/2006/main">
                  <a:graphicData uri="http://schemas.microsoft.com/office/word/2010/wordprocessingShape">
                    <wps:wsp>
                      <wps:cNvSpPr/>
                      <wps:spPr bwMode="auto">
                        <a:xfrm>
                          <a:off x="0" y="0"/>
                          <a:ext cx="826770" cy="295275"/>
                        </a:xfrm>
                        <a:prstGeom prst="rect">
                          <a:avLst/>
                        </a:prstGeom>
                        <a:solidFill>
                          <a:schemeClr val="accent3">
                            <a:lumMod val="60000"/>
                            <a:lumOff val="40000"/>
                          </a:schemeClr>
                        </a:solidFill>
                        <a:ln w="9525">
                          <a:solidFill>
                            <a:srgbClr val="000000"/>
                          </a:solidFill>
                          <a:miter lim="800000"/>
                        </a:ln>
                        <a:effectLst>
                          <a:outerShdw blurRad="40000" dist="20000" dir="5400000" rotWithShape="0">
                            <a:srgbClr val="808080">
                              <a:alpha val="37999"/>
                            </a:srgbClr>
                          </a:outerShdw>
                        </a:effectLst>
                      </wps:spPr>
                      <wps:txbx>
                        <w:txbxContent>
                          <w:p w14:paraId="6892D2B9"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Inflamasi</w:t>
                            </w:r>
                          </w:p>
                        </w:txbxContent>
                      </wps:txbx>
                      <wps:bodyPr rot="0" vert="horz" wrap="square" lIns="91440" tIns="45720" rIns="91440" bIns="45720" anchor="ctr" anchorCtr="0" upright="1">
                        <a:noAutofit/>
                      </wps:bodyPr>
                    </wps:wsp>
                  </a:graphicData>
                </a:graphic>
              </wp:anchor>
            </w:drawing>
          </mc:Choice>
          <mc:Fallback>
            <w:pict>
              <v:rect w14:anchorId="37F24CC9" id="_x0000_s1043" style="position:absolute;margin-left:219.75pt;margin-top:5.55pt;width:65.1pt;height:23.2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" fillcolor="#c2d69b [1942]">
                <v:shadow on="t" opacity="24903f" origin=",.5" offset="0,.55556mm"/>
                <v:textbox>
                  <w:txbxContent>
                    <w:p w14:paraId="6892D2B9"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Inflamasi</w:t>
                      </w:r>
                    </w:p>
                  </w:txbxContent>
                </v:textbox>
              </v:rect>
            </w:pict>
          </mc:Fallback>
        </mc:AlternateContent>
      </w:r>
    </w:p>
    <w:p w14:paraId="4FC38CD6" w14:textId="77777777" w:rsidR="003B79BC" w:rsidRDefault="00000000">
      <w:pPr>
        <w:rPr>
          <w:rFonts w:eastAsiaTheme="minorEastAsia"/>
          <w:lang w:eastAsia="zh-CN"/>
        </w:rPr>
      </w:pPr>
      <w:r>
        <w:rPr>
          <w:noProof/>
        </w:rPr>
        <mc:AlternateContent>
          <mc:Choice Requires="wps">
            <w:drawing>
              <wp:anchor distT="0" distB="0" distL="114300" distR="114300" simplePos="0" relativeHeight="251695104" behindDoc="0" locked="0" layoutInCell="1" allowOverlap="1" wp14:anchorId="5EA5C593" wp14:editId="18997ED5">
                <wp:simplePos x="0" y="0"/>
                <wp:positionH relativeFrom="margin">
                  <wp:posOffset>-196850</wp:posOffset>
                </wp:positionH>
                <wp:positionV relativeFrom="paragraph">
                  <wp:posOffset>73660</wp:posOffset>
                </wp:positionV>
                <wp:extent cx="1461135" cy="550545"/>
                <wp:effectExtent l="0" t="0" r="24765" b="21590"/>
                <wp:wrapNone/>
                <wp:docPr id="9" name="Rectangle 2"/>
                <wp:cNvGraphicFramePr/>
                <a:graphic xmlns:a="http://schemas.openxmlformats.org/drawingml/2006/main">
                  <a:graphicData uri="http://schemas.microsoft.com/office/word/2010/wordprocessingShape">
                    <wps:wsp>
                      <wps:cNvSpPr/>
                      <wps:spPr bwMode="auto">
                        <a:xfrm>
                          <a:off x="0" y="0"/>
                          <a:ext cx="1461135" cy="550416"/>
                        </a:xfrm>
                        <a:prstGeom prst="rect">
                          <a:avLst/>
                        </a:prstGeom>
                        <a:solidFill>
                          <a:schemeClr val="accent4">
                            <a:lumMod val="40000"/>
                            <a:lumOff val="60000"/>
                          </a:schemeClr>
                        </a:solidFill>
                      </wps:spPr>
                      <wps:style>
                        <a:lnRef idx="2">
                          <a:schemeClr val="dk1"/>
                        </a:lnRef>
                        <a:fillRef idx="1">
                          <a:schemeClr val="lt1"/>
                        </a:fillRef>
                        <a:effectRef idx="0">
                          <a:schemeClr val="dk1"/>
                        </a:effectRef>
                        <a:fontRef idx="minor">
                          <a:schemeClr val="dk1"/>
                        </a:fontRef>
                      </wps:style>
                      <wps:txbx>
                        <w:txbxContent>
                          <w:p w14:paraId="30F9B87A" w14:textId="77777777" w:rsidR="003B79BC" w:rsidRDefault="00000000">
                            <w:pPr>
                              <w:pStyle w:val="NormalWeb"/>
                              <w:spacing w:before="0" w:beforeAutospacing="0" w:after="0" w:afterAutospacing="0"/>
                              <w:ind w:left="142"/>
                              <w:rPr>
                                <w:rFonts w:ascii="Times New Roman" w:hAnsi="Times New Roman"/>
                                <w:sz w:val="24"/>
                                <w:szCs w:val="24"/>
                                <w:lang w:val="id-ID"/>
                              </w:rPr>
                            </w:pPr>
                            <w:r>
                              <w:rPr>
                                <w:rFonts w:ascii="Times New Roman" w:hAnsi="Times New Roman"/>
                                <w:sz w:val="24"/>
                                <w:szCs w:val="24"/>
                                <w:lang w:val="id-ID"/>
                              </w:rPr>
                              <w:t>Levob</w:t>
                            </w:r>
                            <w:r>
                              <w:rPr>
                                <w:rFonts w:ascii="Times New Roman" w:hAnsi="Times New Roman"/>
                                <w:sz w:val="24"/>
                                <w:szCs w:val="24"/>
                              </w:rPr>
                              <w:t>upivacaine</w:t>
                            </w:r>
                          </w:p>
                        </w:txbxContent>
                      </wps:txbx>
                      <wps:bodyPr rot="0" vert="horz" wrap="square" lIns="91440" tIns="45720" rIns="91440" bIns="45720" anchor="ctr" anchorCtr="0" upright="1">
                        <a:noAutofit/>
                      </wps:bodyPr>
                    </wps:wsp>
                  </a:graphicData>
                </a:graphic>
              </wp:anchor>
            </w:drawing>
          </mc:Choice>
          <mc:Fallback>
            <w:pict>
              <v:rect w14:anchorId="5EA5C593" id="Rectangle 2" o:spid="_x0000_s1044" style="position:absolute;margin-left:-15.5pt;margin-top:5.8pt;width:115.05pt;height:43.35pt;z-index:2516951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" fillcolor="#ccc0d9 [1303]" strokecolor="black [3200]" strokeweight="2pt">
                <v:textbox>
                  <w:txbxContent>
                    <w:p w14:paraId="30F9B87A" w14:textId="77777777" w:rsidR="003B79BC" w:rsidRDefault="00000000">
                      <w:pPr>
                        <w:pStyle w:val="NormalWeb"/>
                        <w:spacing w:before="0" w:beforeAutospacing="0" w:after="0" w:afterAutospacing="0"/>
                        <w:ind w:left="142"/>
                        <w:rPr>
                          <w:rFonts w:ascii="Times New Roman" w:hAnsi="Times New Roman"/>
                          <w:sz w:val="24"/>
                          <w:szCs w:val="24"/>
                          <w:lang w:val="id-ID"/>
                        </w:rPr>
                      </w:pPr>
                      <w:r>
                        <w:rPr>
                          <w:rFonts w:ascii="Times New Roman" w:hAnsi="Times New Roman"/>
                          <w:sz w:val="24"/>
                          <w:szCs w:val="24"/>
                          <w:lang w:val="id-ID"/>
                        </w:rPr>
                        <w:t>Levob</w:t>
                      </w:r>
                      <w:r>
                        <w:rPr>
                          <w:rFonts w:ascii="Times New Roman" w:hAnsi="Times New Roman"/>
                          <w:sz w:val="24"/>
                          <w:szCs w:val="24"/>
                        </w:rPr>
                        <w:t>upivacaine</w:t>
                      </w:r>
                    </w:p>
                  </w:txbxContent>
                </v:textbox>
                <w10:wrap anchorx="margin"/>
              </v:rect>
            </w:pict>
          </mc:Fallback>
        </mc:AlternateContent>
      </w:r>
    </w:p>
    <w:p w14:paraId="1BFEE0E9" w14:textId="77777777" w:rsidR="003B79BC" w:rsidRDefault="00000000">
      <w:pPr>
        <w:rPr>
          <w:rFonts w:eastAsiaTheme="minorEastAsia"/>
          <w:lang w:eastAsia="zh-CN"/>
        </w:rPr>
      </w:pPr>
      <w:r>
        <w:rPr>
          <w:rFonts w:eastAsiaTheme="minorEastAsia"/>
          <w:noProof/>
          <w:lang w:eastAsia="zh-CN"/>
        </w:rPr>
        <mc:AlternateContent>
          <mc:Choice Requires="wps">
            <w:drawing>
              <wp:anchor distT="0" distB="0" distL="114300" distR="114300" simplePos="0" relativeHeight="251711488" behindDoc="0" locked="0" layoutInCell="1" allowOverlap="1" wp14:anchorId="53A37078" wp14:editId="401E832F">
                <wp:simplePos x="0" y="0"/>
                <wp:positionH relativeFrom="column">
                  <wp:posOffset>2265045</wp:posOffset>
                </wp:positionH>
                <wp:positionV relativeFrom="paragraph">
                  <wp:posOffset>110490</wp:posOffset>
                </wp:positionV>
                <wp:extent cx="9525" cy="352425"/>
                <wp:effectExtent l="57150" t="19050" r="66675" b="47625"/>
                <wp:wrapNone/>
                <wp:docPr id="1020280120" name="Straight Arrow Connector 5"/>
                <wp:cNvGraphicFramePr/>
                <a:graphic xmlns:a="http://schemas.openxmlformats.org/drawingml/2006/main">
                  <a:graphicData uri="http://schemas.microsoft.com/office/word/2010/wordprocessingShape">
                    <wps:wsp>
                      <wps:cNvCnPr/>
                      <wps:spPr>
                        <a:xfrm>
                          <a:off x="0" y="0"/>
                          <a:ext cx="9525" cy="352425"/>
                        </a:xfrm>
                        <a:prstGeom prst="straightConnector1">
                          <a:avLst/>
                        </a:prstGeom>
                        <a:ln w="28575">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Straight Arrow Connector 5" o:spid="_x0000_s1026" o:spt="32" type="#_x0000_t32" style="position:absolute;left:0pt;margin-left:178.35pt;margin-top:8.7pt;height:27.75pt;width:0.75pt;z-index:251711488;mso-width-relative:page;mso-height-relative:page;" filled="f" stroked="t" coordsize="21600,21600" o:gfxdata="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4su9NgAAAAJAQAADwAA&#10;AAAAAAABACAAAAAiAAAAZHJzL2Rvd25yZXYueG1sUEsBAhQAFAAAAAgAh07iQM3l6rsWAgAASwQA&#10;AA4AAAAAAAAAAQAgAAAAJwEAAGRycy9lMm9Eb2MueG1sUEsFBgAAAAAGAAYAWQEAAK8FAAAAAA==&#10;">
                <v:fill on="f" focussize="0,0"/>
                <v:stroke weight="2.25pt" color="#000000 [3200]" joinstyle="round" endarrow="open"/>
                <v:imagedata o:title=""/>
                <o:lock v:ext="edit" aspectratio="f"/>
              </v:shape>
            </w:pict>
          </mc:Fallback>
        </mc:AlternateContent>
      </w:r>
      <w:r>
        <w:rPr>
          <w:rFonts w:eastAsiaTheme="minorEastAsia"/>
          <w:noProof/>
          <w:lang w:eastAsia="zh-CN"/>
        </w:rPr>
        <mc:AlternateContent>
          <mc:Choice Requires="wps">
            <w:drawing>
              <wp:anchor distT="0" distB="0" distL="114300" distR="114300" simplePos="0" relativeHeight="251710464" behindDoc="0" locked="0" layoutInCell="1" allowOverlap="1" wp14:anchorId="6D9B88E0" wp14:editId="02DEDB4F">
                <wp:simplePos x="0" y="0"/>
                <wp:positionH relativeFrom="column">
                  <wp:posOffset>3265170</wp:posOffset>
                </wp:positionH>
                <wp:positionV relativeFrom="paragraph">
                  <wp:posOffset>24765</wp:posOffset>
                </wp:positionV>
                <wp:extent cx="9525" cy="428625"/>
                <wp:effectExtent l="57150" t="19050" r="66675" b="47625"/>
                <wp:wrapNone/>
                <wp:docPr id="338302484" name="Straight Arrow Connector 4"/>
                <wp:cNvGraphicFramePr/>
                <a:graphic xmlns:a="http://schemas.openxmlformats.org/drawingml/2006/main">
                  <a:graphicData uri="http://schemas.microsoft.com/office/word/2010/wordprocessingShape">
                    <wps:wsp>
                      <wps:cNvCnPr/>
                      <wps:spPr>
                        <a:xfrm>
                          <a:off x="0" y="0"/>
                          <a:ext cx="9525" cy="428625"/>
                        </a:xfrm>
                        <a:prstGeom prst="straightConnector1">
                          <a:avLst/>
                        </a:prstGeom>
                        <a:ln w="28575">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Straight Arrow Connector 4" o:spid="_x0000_s1026" o:spt="32" type="#_x0000_t32" style="position:absolute;left:0pt;margin-left:257.1pt;margin-top:1.95pt;height:33.75pt;width:0.75pt;z-index:251710464;mso-width-relative:page;mso-height-relative:page;" filled="f" stroked="t" coordsize="21600,21600" o:gfxdata="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UGt4W9cAAAAIAQAADwAA&#10;AAAAAAABACAAAAAiAAAAZHJzL2Rvd25yZXYueG1sUEsBAhQAFAAAAAgAh07iQBCn9OgXAgAASgQA&#10;AA4AAAAAAAAAAQAgAAAAJgEAAGRycy9lMm9Eb2MueG1sUEsFBgAAAAAGAAYAWQEAAK8FAAAAAA==&#10;">
                <v:fill on="f" focussize="0,0"/>
                <v:stroke weight="2.25pt" color="#000000 [3200]" joinstyle="round" endarrow="open"/>
                <v:imagedata o:title=""/>
                <o:lock v:ext="edit" aspectratio="f"/>
              </v:shape>
            </w:pict>
          </mc:Fallback>
        </mc:AlternateContent>
      </w:r>
    </w:p>
    <w:p w14:paraId="1C070517" w14:textId="77777777" w:rsidR="003B79BC" w:rsidRDefault="00000000">
      <w:pPr>
        <w:rPr>
          <w:rFonts w:eastAsiaTheme="minorEastAsia"/>
          <w:lang w:eastAsia="zh-CN"/>
        </w:rPr>
      </w:pPr>
      <w:r>
        <w:rPr>
          <w:noProof/>
        </w:rPr>
        <mc:AlternateContent>
          <mc:Choice Requires="wps">
            <w:drawing>
              <wp:anchor distT="0" distB="0" distL="114300" distR="114300" simplePos="0" relativeHeight="251699200" behindDoc="0" locked="0" layoutInCell="1" allowOverlap="1" wp14:anchorId="3A9028C3" wp14:editId="47788A1F">
                <wp:simplePos x="0" y="0"/>
                <wp:positionH relativeFrom="column">
                  <wp:posOffset>3741420</wp:posOffset>
                </wp:positionH>
                <wp:positionV relativeFrom="paragraph">
                  <wp:posOffset>11430</wp:posOffset>
                </wp:positionV>
                <wp:extent cx="371475" cy="0"/>
                <wp:effectExtent l="38100" t="133350" r="0" b="133350"/>
                <wp:wrapNone/>
                <wp:docPr id="1145586613" name="Straight Arrow Connector 2"/>
                <wp:cNvGraphicFramePr/>
                <a:graphic xmlns:a="http://schemas.openxmlformats.org/drawingml/2006/main">
                  <a:graphicData uri="http://schemas.microsoft.com/office/word/2010/wordprocessingShape">
                    <wps:wsp>
                      <wps:cNvCnPr/>
                      <wps:spPr>
                        <a:xfrm flipH="1">
                          <a:off x="0" y="0"/>
                          <a:ext cx="371475" cy="0"/>
                        </a:xfrm>
                        <a:prstGeom prst="straightConnector1">
                          <a:avLst/>
                        </a:prstGeom>
                        <a:ln w="38100">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Straight Arrow Connector 2" o:spid="_x0000_s1026" o:spt="32" type="#_x0000_t32" style="position:absolute;left:0pt;flip:x;margin-left:294.6pt;margin-top:0.9pt;height:0pt;width:29.25pt;z-index:251699200;mso-width-relative:page;mso-height-relative:page;" filled="f" stroked="t" coordsize="21600,21600" o:gfxdata="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gplBGdcAAAAHAQAA&#10;DwAAAAAAAAABACAAAAAiAAAAZHJzL2Rvd25yZXYueG1sUEsBAhQAFAAAAAgAh07iQAUK4q4aAgAA&#10;UgQAAA4AAAAAAAAAAQAgAAAAJgEAAGRycy9lMm9Eb2MueG1sUEsFBgAAAAAGAAYAWQEAALIFAAAA&#10;AA==&#10;">
                <v:fill on="f" focussize="0,0"/>
                <v:stroke weight="3pt" color="#000000 [3200]" joinstyle="round" endarrow="open"/>
                <v:imagedata o:title=""/>
                <o:lock v:ext="edit" aspectratio="f"/>
              </v:shape>
            </w:pict>
          </mc:Fallback>
        </mc:AlternateContent>
      </w:r>
      <w:r>
        <w:rPr>
          <w:noProof/>
        </w:rPr>
        <mc:AlternateContent>
          <mc:Choice Requires="wps">
            <w:drawing>
              <wp:anchor distT="0" distB="0" distL="114300" distR="114300" simplePos="0" relativeHeight="251698176" behindDoc="0" locked="0" layoutInCell="1" allowOverlap="1" wp14:anchorId="7657AA77" wp14:editId="1C3383F4">
                <wp:simplePos x="0" y="0"/>
                <wp:positionH relativeFrom="column">
                  <wp:posOffset>1285875</wp:posOffset>
                </wp:positionH>
                <wp:positionV relativeFrom="paragraph">
                  <wp:posOffset>15240</wp:posOffset>
                </wp:positionV>
                <wp:extent cx="390525" cy="0"/>
                <wp:effectExtent l="0" t="0" r="0" b="0"/>
                <wp:wrapNone/>
                <wp:docPr id="19" name="Straight Arrow Connector 7"/>
                <wp:cNvGraphicFramePr/>
                <a:graphic xmlns:a="http://schemas.openxmlformats.org/drawingml/2006/main">
                  <a:graphicData uri="http://schemas.microsoft.com/office/word/2010/wordprocessingShape">
                    <wps:wsp>
                      <wps:cNvCnPr/>
                      <wps:spPr bwMode="auto">
                        <a:xfrm flipV="1">
                          <a:off x="0" y="0"/>
                          <a:ext cx="390836" cy="45"/>
                        </a:xfrm>
                        <a:prstGeom prst="straightConnector1">
                          <a:avLst/>
                        </a:prstGeom>
                        <a:noFill/>
                        <a:ln w="25400">
                          <a:solidFill>
                            <a:srgbClr val="000000"/>
                          </a:solidFill>
                          <a:round/>
                          <a:tailEnd type="arrow" w="med" len="med"/>
                        </a:ln>
                        <a:effectLst>
                          <a:outerShdw blurRad="40000" dist="20000" dir="5400000" rotWithShape="0">
                            <a:srgbClr val="808080">
                              <a:alpha val="37999"/>
                            </a:srgbClr>
                          </a:outerShdw>
                        </a:effectLst>
                      </wps:spPr>
                      <wps:bodyPr/>
                    </wps:wsp>
                  </a:graphicData>
                </a:graphic>
              </wp:anchor>
            </w:drawing>
          </mc:Choice>
          <mc:Fallback xmlns:wpsCustomData="http://www.wps.cn/officeDocument/2013/wpsCustomData">
            <w:pict>
              <v:shape id="Straight Arrow Connector 7" o:spid="_x0000_s1026" o:spt="32" type="#_x0000_t32" style="position:absolute;left:0pt;flip:y;margin-left:101.25pt;margin-top:1.2pt;height:0pt;width:30.75pt;z-index:251698176;mso-width-relative:page;mso-height-relative:page;" filled="f" stroked="t" coordsize="21600,21600" o:gfxdata="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KGw0CPVAAAABwEAAA8AAAAAAAAAAQAgAAAAIgAAAGRycy9kb3ducmV2LnhtbFBLAQIUABQA&#10;AAAIAIdO4kCTY9mmLAIAAHIEAAAOAAAAAAAAAAEAIAAAACQBAABkcnMvZTJvRG9jLnhtbFBLBQYA&#10;AAAABgAGAFkBAADCBQAAAAA=&#10;">
                <v:fill on="f" focussize="0,0"/>
                <v:stroke weight="2pt" color="#000000" joinstyle="round" endarrow="open"/>
                <v:imagedata o:title=""/>
                <o:lock v:ext="edit" aspectratio="f"/>
                <v:shadow on="t" color="#808080" opacity="24903f" offset="0pt,1.5748031496063pt" origin="0f,32768f" matrix="65536f,0f,0f,65536f"/>
              </v:shape>
            </w:pict>
          </mc:Fallback>
        </mc:AlternateContent>
      </w:r>
    </w:p>
    <w:p w14:paraId="545B10E8" w14:textId="77777777" w:rsidR="003B79BC" w:rsidRDefault="00000000">
      <w:pPr>
        <w:rPr>
          <w:rFonts w:eastAsiaTheme="minorEastAsia"/>
          <w:lang w:eastAsia="zh-CN"/>
        </w:rPr>
      </w:pPr>
      <w:r>
        <w:rPr>
          <w:noProof/>
          <w:lang w:val="en-US"/>
        </w:rPr>
        <mc:AlternateContent>
          <mc:Choice Requires="wps">
            <w:drawing>
              <wp:anchor distT="0" distB="0" distL="114300" distR="114300" simplePos="0" relativeHeight="251663360" behindDoc="0" locked="0" layoutInCell="1" allowOverlap="1" wp14:anchorId="7F59F0B1" wp14:editId="3873BA53">
                <wp:simplePos x="0" y="0"/>
                <wp:positionH relativeFrom="margin">
                  <wp:posOffset>1903095</wp:posOffset>
                </wp:positionH>
                <wp:positionV relativeFrom="paragraph">
                  <wp:posOffset>112395</wp:posOffset>
                </wp:positionV>
                <wp:extent cx="1724025" cy="295275"/>
                <wp:effectExtent l="57150" t="38100" r="85725" b="104775"/>
                <wp:wrapNone/>
                <wp:docPr id="24" name="Rectangle 4"/>
                <wp:cNvGraphicFramePr/>
                <a:graphic xmlns:a="http://schemas.openxmlformats.org/drawingml/2006/main">
                  <a:graphicData uri="http://schemas.microsoft.com/office/word/2010/wordprocessingShape">
                    <wps:wsp>
                      <wps:cNvSpPr/>
                      <wps:spPr bwMode="auto">
                        <a:xfrm>
                          <a:off x="0" y="0"/>
                          <a:ext cx="1724025" cy="295275"/>
                        </a:xfrm>
                        <a:prstGeom prst="rect">
                          <a:avLst/>
                        </a:prstGeom>
                        <a:solidFill>
                          <a:schemeClr val="accent3">
                            <a:lumMod val="60000"/>
                            <a:lumOff val="40000"/>
                          </a:schemeClr>
                        </a:solidFill>
                        <a:ln w="9525">
                          <a:solidFill>
                            <a:srgbClr val="000000"/>
                          </a:solidFill>
                          <a:miter lim="800000"/>
                        </a:ln>
                        <a:effectLst>
                          <a:outerShdw blurRad="40000" dist="20000" dir="5400000" rotWithShape="0">
                            <a:srgbClr val="808080">
                              <a:alpha val="37999"/>
                            </a:srgbClr>
                          </a:outerShdw>
                        </a:effectLst>
                      </wps:spPr>
                      <wps:txbx>
                        <w:txbxContent>
                          <w:p w14:paraId="2969B5D5"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Nosiseptif</w:t>
                            </w:r>
                          </w:p>
                        </w:txbxContent>
                      </wps:txbx>
                      <wps:bodyPr rot="0" vert="horz" wrap="square" lIns="91440" tIns="45720" rIns="91440" bIns="45720" anchor="ctr" anchorCtr="0" upright="1">
                        <a:noAutofit/>
                      </wps:bodyPr>
                    </wps:wsp>
                  </a:graphicData>
                </a:graphic>
              </wp:anchor>
            </w:drawing>
          </mc:Choice>
          <mc:Fallback>
            <w:pict>
              <v:rect w14:anchorId="7F59F0B1" id="_x0000_s1045" style="position:absolute;margin-left:149.85pt;margin-top:8.85pt;width:135.75pt;height:23.25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" fillcolor="#c2d69b [1942]">
                <v:shadow on="t" opacity="24903f" origin=",.5" offset="0,.55556mm"/>
                <v:textbox>
                  <w:txbxContent>
                    <w:p w14:paraId="2969B5D5" w14:textId="77777777" w:rsidR="003B79BC" w:rsidRDefault="00000000">
                      <w:pPr>
                        <w:pStyle w:val="NormalWeb"/>
                        <w:spacing w:before="0" w:beforeAutospacing="0" w:after="0" w:afterAutospacing="0"/>
                        <w:jc w:val="center"/>
                        <w:rPr>
                          <w:rFonts w:ascii="Times New Roman" w:hAnsi="Times New Roman"/>
                          <w:sz w:val="18"/>
                        </w:rPr>
                      </w:pPr>
                      <w:r>
                        <w:rPr>
                          <w:rFonts w:ascii="Times New Roman" w:hAnsi="Times New Roman"/>
                          <w:color w:val="000000"/>
                          <w:kern w:val="24"/>
                          <w:sz w:val="24"/>
                          <w:szCs w:val="28"/>
                          <w:lang w:val="id-ID"/>
                        </w:rPr>
                        <w:t>Nosiseptif</w:t>
                      </w:r>
                    </w:p>
                  </w:txbxContent>
                </v:textbox>
                <w10:wrap anchorx="margin"/>
              </v:rect>
            </w:pict>
          </mc:Fallback>
        </mc:AlternateContent>
      </w:r>
    </w:p>
    <w:p w14:paraId="44A46E0C" w14:textId="77777777" w:rsidR="003B79BC" w:rsidRDefault="003B79BC">
      <w:pPr>
        <w:rPr>
          <w:rFonts w:eastAsiaTheme="minorEastAsia"/>
          <w:lang w:eastAsia="zh-CN"/>
        </w:rPr>
      </w:pPr>
    </w:p>
    <w:p w14:paraId="731E8D0F" w14:textId="77777777" w:rsidR="003B79BC" w:rsidRDefault="003B79BC">
      <w:pPr>
        <w:rPr>
          <w:rFonts w:eastAsiaTheme="minorEastAsia"/>
          <w:lang w:eastAsia="zh-CN"/>
        </w:rPr>
      </w:pPr>
    </w:p>
    <w:p w14:paraId="76167C52" w14:textId="77777777" w:rsidR="003B79BC" w:rsidRDefault="00000000">
      <w:pPr>
        <w:rPr>
          <w:rFonts w:eastAsiaTheme="minorEastAsia"/>
          <w:lang w:eastAsia="zh-CN"/>
        </w:rPr>
      </w:pPr>
      <w:r>
        <w:rPr>
          <w:noProof/>
          <w:lang w:val="en-US"/>
        </w:rPr>
        <mc:AlternateContent>
          <mc:Choice Requires="wps">
            <w:drawing>
              <wp:anchor distT="0" distB="0" distL="114300" distR="114300" simplePos="0" relativeHeight="251676672" behindDoc="0" locked="0" layoutInCell="1" allowOverlap="1" wp14:anchorId="4ABFDE17" wp14:editId="3DB7ED53">
                <wp:simplePos x="0" y="0"/>
                <wp:positionH relativeFrom="column">
                  <wp:posOffset>2790825</wp:posOffset>
                </wp:positionH>
                <wp:positionV relativeFrom="paragraph">
                  <wp:posOffset>156210</wp:posOffset>
                </wp:positionV>
                <wp:extent cx="0" cy="342900"/>
                <wp:effectExtent l="101600" t="0" r="76200" b="63500"/>
                <wp:wrapNone/>
                <wp:docPr id="226" name="Straight Arrow Connector 226"/>
                <wp:cNvGraphicFramePr/>
                <a:graphic xmlns:a="http://schemas.openxmlformats.org/drawingml/2006/main">
                  <a:graphicData uri="http://schemas.microsoft.com/office/word/2010/wordprocessingShape">
                    <wps:wsp>
                      <wps:cNvCnPr/>
                      <wps:spPr>
                        <a:xfrm>
                          <a:off x="0" y="0"/>
                          <a:ext cx="0" cy="342900"/>
                        </a:xfrm>
                        <a:prstGeom prst="straightConnector1">
                          <a:avLst/>
                        </a:prstGeom>
                        <a:ln w="28575">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219.75pt;margin-top:12.3pt;height:27pt;width:0pt;z-index:251676672;mso-width-relative:page;mso-height-relative:page;" filled="f" stroked="t" coordsize="21600,21600" o:gfxdata="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H1y8nvWAAAACQEAAA8AAAAAAAAAAQAgAAAA&#10;IgAAAGRycy9kb3ducmV2LnhtbFBLAQIUABQAAAAIAIdO4kAP0J+1DQIAAEMEAAAOAAAAAAAAAAEA&#10;IAAAACUBAABkcnMvZTJvRG9jLnhtbFBLBQYAAAAABgAGAFkBAACkBQAAAAA=&#10;">
                <v:fill on="f" focussize="0,0"/>
                <v:stroke weight="2.25pt" color="#000000 [3200]" joinstyle="round" endarrow="open"/>
                <v:imagedata o:title=""/>
                <o:lock v:ext="edit" aspectratio="f"/>
              </v:shape>
            </w:pict>
          </mc:Fallback>
        </mc:AlternateContent>
      </w:r>
    </w:p>
    <w:p w14:paraId="57AC4A00" w14:textId="77777777" w:rsidR="003B79BC" w:rsidRDefault="003B79BC">
      <w:pPr>
        <w:rPr>
          <w:rFonts w:eastAsiaTheme="minorEastAsia"/>
          <w:lang w:eastAsia="zh-CN"/>
        </w:rPr>
      </w:pPr>
    </w:p>
    <w:p w14:paraId="079FD7B7" w14:textId="77777777" w:rsidR="003B79BC" w:rsidRDefault="003B79BC">
      <w:pPr>
        <w:rPr>
          <w:rFonts w:eastAsiaTheme="minorEastAsia"/>
          <w:lang w:eastAsia="zh-CN"/>
        </w:rPr>
      </w:pPr>
    </w:p>
    <w:p w14:paraId="1A2348AC" w14:textId="77777777" w:rsidR="003B79BC" w:rsidRDefault="00000000">
      <w:pPr>
        <w:rPr>
          <w:rFonts w:eastAsiaTheme="minorEastAsia"/>
          <w:lang w:eastAsia="zh-CN"/>
        </w:rPr>
      </w:pPr>
      <w:r>
        <w:rPr>
          <w:noProof/>
        </w:rPr>
        <mc:AlternateContent>
          <mc:Choice Requires="wps">
            <w:drawing>
              <wp:anchor distT="0" distB="0" distL="114300" distR="114300" simplePos="0" relativeHeight="251697152" behindDoc="0" locked="0" layoutInCell="1" allowOverlap="1" wp14:anchorId="5418623E" wp14:editId="467DBD3D">
                <wp:simplePos x="0" y="0"/>
                <wp:positionH relativeFrom="column">
                  <wp:posOffset>1703705</wp:posOffset>
                </wp:positionH>
                <wp:positionV relativeFrom="paragraph">
                  <wp:posOffset>17780</wp:posOffset>
                </wp:positionV>
                <wp:extent cx="2343150" cy="975995"/>
                <wp:effectExtent l="0" t="0" r="19050" b="14605"/>
                <wp:wrapNone/>
                <wp:docPr id="18" name="Rectangle 6"/>
                <wp:cNvGraphicFramePr/>
                <a:graphic xmlns:a="http://schemas.openxmlformats.org/drawingml/2006/main">
                  <a:graphicData uri="http://schemas.microsoft.com/office/word/2010/wordprocessingShape">
                    <wps:wsp>
                      <wps:cNvSpPr/>
                      <wps:spPr bwMode="auto">
                        <a:xfrm>
                          <a:off x="0" y="0"/>
                          <a:ext cx="2343150" cy="976045"/>
                        </a:xfrm>
                        <a:prstGeom prst="rect">
                          <a:avLst/>
                        </a:prstGeom>
                        <a:solidFill>
                          <a:schemeClr val="accent2">
                            <a:lumMod val="40000"/>
                            <a:lumOff val="60000"/>
                          </a:schemeClr>
                        </a:solidFill>
                      </wps:spPr>
                      <wps:style>
                        <a:lnRef idx="2">
                          <a:schemeClr val="dk1"/>
                        </a:lnRef>
                        <a:fillRef idx="1">
                          <a:schemeClr val="lt1"/>
                        </a:fillRef>
                        <a:effectRef idx="0">
                          <a:schemeClr val="dk1"/>
                        </a:effectRef>
                        <a:fontRef idx="minor">
                          <a:schemeClr val="dk1"/>
                        </a:fontRef>
                      </wps:style>
                      <wps:txbx>
                        <w:txbxContent>
                          <w:p w14:paraId="36D57F6F" w14:textId="77777777" w:rsidR="003B79BC" w:rsidRDefault="00000000">
                            <w:pPr>
                              <w:pStyle w:val="ColorfulList-Accent11"/>
                              <w:numPr>
                                <w:ilvl w:val="0"/>
                                <w:numId w:val="12"/>
                              </w:numPr>
                              <w:tabs>
                                <w:tab w:val="clear" w:pos="720"/>
                                <w:tab w:val="left" w:pos="426"/>
                              </w:tabs>
                              <w:spacing w:after="0" w:line="240" w:lineRule="auto"/>
                              <w:ind w:left="426"/>
                              <w:jc w:val="both"/>
                              <w:rPr>
                                <w:rFonts w:ascii="Times New Roman" w:eastAsia="Times New Roman" w:hAnsi="Times New Roman"/>
                              </w:rPr>
                            </w:pPr>
                            <w:r>
                              <w:rPr>
                                <w:rFonts w:ascii="Times New Roman" w:hAnsi="Times New Roman"/>
                                <w:color w:val="000000"/>
                                <w:kern w:val="24"/>
                              </w:rPr>
                              <w:t>Nyeri pascabedah (NRS)</w:t>
                            </w:r>
                          </w:p>
                          <w:p w14:paraId="37869606" w14:textId="77777777" w:rsidR="003B79BC" w:rsidRDefault="00000000">
                            <w:pPr>
                              <w:pStyle w:val="ColorfulList-Accent11"/>
                              <w:numPr>
                                <w:ilvl w:val="0"/>
                                <w:numId w:val="12"/>
                              </w:numPr>
                              <w:tabs>
                                <w:tab w:val="clear" w:pos="720"/>
                                <w:tab w:val="left" w:pos="426"/>
                              </w:tabs>
                              <w:spacing w:after="0" w:line="240" w:lineRule="auto"/>
                              <w:ind w:left="426"/>
                              <w:jc w:val="both"/>
                              <w:rPr>
                                <w:rFonts w:ascii="Times New Roman" w:eastAsia="Times New Roman" w:hAnsi="Times New Roman"/>
                              </w:rPr>
                            </w:pPr>
                            <w:r>
                              <w:rPr>
                                <w:rFonts w:ascii="Times New Roman" w:eastAsia="Times New Roman" w:hAnsi="Times New Roman"/>
                              </w:rPr>
                              <w:t>Jumlah opioid</w:t>
                            </w:r>
                          </w:p>
                          <w:p w14:paraId="41362FB5" w14:textId="77777777" w:rsidR="003B79BC" w:rsidRDefault="00000000">
                            <w:pPr>
                              <w:pStyle w:val="ColorfulList-Accent11"/>
                              <w:numPr>
                                <w:ilvl w:val="0"/>
                                <w:numId w:val="12"/>
                              </w:numPr>
                              <w:tabs>
                                <w:tab w:val="clear" w:pos="720"/>
                                <w:tab w:val="left" w:pos="426"/>
                              </w:tabs>
                              <w:spacing w:after="0" w:line="240" w:lineRule="auto"/>
                              <w:ind w:left="426"/>
                              <w:jc w:val="both"/>
                              <w:rPr>
                                <w:rFonts w:ascii="Times New Roman" w:eastAsia="Times New Roman" w:hAnsi="Times New Roman"/>
                              </w:rPr>
                            </w:pPr>
                            <w:r>
                              <w:rPr>
                                <w:rFonts w:ascii="Times New Roman" w:eastAsia="Times New Roman" w:hAnsi="Times New Roman"/>
                              </w:rPr>
                              <w:t>Efek samping</w:t>
                            </w:r>
                          </w:p>
                          <w:p w14:paraId="56D11030" w14:textId="77777777" w:rsidR="003B79BC" w:rsidRDefault="00000000">
                            <w:pPr>
                              <w:pStyle w:val="ColorfulList-Accent11"/>
                              <w:numPr>
                                <w:ilvl w:val="0"/>
                                <w:numId w:val="12"/>
                              </w:numPr>
                              <w:tabs>
                                <w:tab w:val="clear" w:pos="720"/>
                                <w:tab w:val="left" w:pos="426"/>
                              </w:tabs>
                              <w:spacing w:after="0" w:line="240" w:lineRule="auto"/>
                              <w:ind w:left="426"/>
                              <w:jc w:val="both"/>
                              <w:rPr>
                                <w:rFonts w:ascii="Times New Roman" w:eastAsia="Times New Roman" w:hAnsi="Times New Roman"/>
                              </w:rPr>
                            </w:pPr>
                            <w:r>
                              <w:rPr>
                                <w:rFonts w:ascii="Times New Roman" w:hAnsi="Times New Roman"/>
                                <w:lang w:val="en-US"/>
                              </w:rPr>
                              <w:t>IL-6</w:t>
                            </w:r>
                          </w:p>
                        </w:txbxContent>
                      </wps:txbx>
                      <wps:bodyPr rot="0" vert="horz" wrap="square" lIns="91440" tIns="45720" rIns="91440" bIns="45720" anchor="ctr" anchorCtr="0" upright="1">
                        <a:noAutofit/>
                      </wps:bodyPr>
                    </wps:wsp>
                  </a:graphicData>
                </a:graphic>
              </wp:anchor>
            </w:drawing>
          </mc:Choice>
          <mc:Fallback>
            <w:pict>
              <v:rect w14:anchorId="5418623E" id="Rectangle 6" o:spid="_x0000_s1046" style="position:absolute;margin-left:134.15pt;margin-top:1.4pt;width:184.5pt;height:76.8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" fillcolor="#e5b8b7 [1301]" strokecolor="black [3200]" strokeweight="2pt">
                <v:textbox>
                  <w:txbxContent>
                    <w:p w14:paraId="36D57F6F" w14:textId="77777777" w:rsidR="003B79BC" w:rsidRDefault="00000000">
                      <w:pPr>
                        <w:pStyle w:val="ColorfulList-Accent11"/>
                        <w:numPr>
                          <w:ilvl w:val="0"/>
                          <w:numId w:val="12"/>
                        </w:numPr>
                        <w:tabs>
                          <w:tab w:val="clear" w:pos="720"/>
                          <w:tab w:val="left" w:pos="426"/>
                        </w:tabs>
                        <w:spacing w:after="0" w:line="240" w:lineRule="auto"/>
                        <w:ind w:left="426"/>
                        <w:jc w:val="both"/>
                        <w:rPr>
                          <w:rFonts w:ascii="Times New Roman" w:eastAsia="Times New Roman" w:hAnsi="Times New Roman"/>
                        </w:rPr>
                      </w:pPr>
                      <w:r>
                        <w:rPr>
                          <w:rFonts w:ascii="Times New Roman" w:hAnsi="Times New Roman"/>
                          <w:color w:val="000000"/>
                          <w:kern w:val="24"/>
                        </w:rPr>
                        <w:t>Nyeri pascabedah (NRS)</w:t>
                      </w:r>
                    </w:p>
                    <w:p w14:paraId="37869606" w14:textId="77777777" w:rsidR="003B79BC" w:rsidRDefault="00000000">
                      <w:pPr>
                        <w:pStyle w:val="ColorfulList-Accent11"/>
                        <w:numPr>
                          <w:ilvl w:val="0"/>
                          <w:numId w:val="12"/>
                        </w:numPr>
                        <w:tabs>
                          <w:tab w:val="clear" w:pos="720"/>
                          <w:tab w:val="left" w:pos="426"/>
                        </w:tabs>
                        <w:spacing w:after="0" w:line="240" w:lineRule="auto"/>
                        <w:ind w:left="426"/>
                        <w:jc w:val="both"/>
                        <w:rPr>
                          <w:rFonts w:ascii="Times New Roman" w:eastAsia="Times New Roman" w:hAnsi="Times New Roman"/>
                        </w:rPr>
                      </w:pPr>
                      <w:r>
                        <w:rPr>
                          <w:rFonts w:ascii="Times New Roman" w:eastAsia="Times New Roman" w:hAnsi="Times New Roman"/>
                        </w:rPr>
                        <w:t>Jumlah opioid</w:t>
                      </w:r>
                    </w:p>
                    <w:p w14:paraId="41362FB5" w14:textId="77777777" w:rsidR="003B79BC" w:rsidRDefault="00000000">
                      <w:pPr>
                        <w:pStyle w:val="ColorfulList-Accent11"/>
                        <w:numPr>
                          <w:ilvl w:val="0"/>
                          <w:numId w:val="12"/>
                        </w:numPr>
                        <w:tabs>
                          <w:tab w:val="clear" w:pos="720"/>
                          <w:tab w:val="left" w:pos="426"/>
                        </w:tabs>
                        <w:spacing w:after="0" w:line="240" w:lineRule="auto"/>
                        <w:ind w:left="426"/>
                        <w:jc w:val="both"/>
                        <w:rPr>
                          <w:rFonts w:ascii="Times New Roman" w:eastAsia="Times New Roman" w:hAnsi="Times New Roman"/>
                        </w:rPr>
                      </w:pPr>
                      <w:r>
                        <w:rPr>
                          <w:rFonts w:ascii="Times New Roman" w:eastAsia="Times New Roman" w:hAnsi="Times New Roman"/>
                        </w:rPr>
                        <w:t>Efek samping</w:t>
                      </w:r>
                    </w:p>
                    <w:p w14:paraId="56D11030" w14:textId="77777777" w:rsidR="003B79BC" w:rsidRDefault="00000000">
                      <w:pPr>
                        <w:pStyle w:val="ColorfulList-Accent11"/>
                        <w:numPr>
                          <w:ilvl w:val="0"/>
                          <w:numId w:val="12"/>
                        </w:numPr>
                        <w:tabs>
                          <w:tab w:val="clear" w:pos="720"/>
                          <w:tab w:val="left" w:pos="426"/>
                        </w:tabs>
                        <w:spacing w:after="0" w:line="240" w:lineRule="auto"/>
                        <w:ind w:left="426"/>
                        <w:jc w:val="both"/>
                        <w:rPr>
                          <w:rFonts w:ascii="Times New Roman" w:eastAsia="Times New Roman" w:hAnsi="Times New Roman"/>
                        </w:rPr>
                      </w:pPr>
                      <w:r>
                        <w:rPr>
                          <w:rFonts w:ascii="Times New Roman" w:hAnsi="Times New Roman"/>
                          <w:lang w:val="en-US"/>
                        </w:rPr>
                        <w:t>IL-6</w:t>
                      </w:r>
                    </w:p>
                  </w:txbxContent>
                </v:textbox>
              </v:rect>
            </w:pict>
          </mc:Fallback>
        </mc:AlternateContent>
      </w:r>
    </w:p>
    <w:p w14:paraId="56A7A302" w14:textId="77777777" w:rsidR="003B79BC" w:rsidRDefault="003B79BC">
      <w:pPr>
        <w:rPr>
          <w:rFonts w:eastAsiaTheme="minorEastAsia"/>
          <w:lang w:eastAsia="zh-CN"/>
        </w:rPr>
      </w:pPr>
    </w:p>
    <w:p w14:paraId="78256A3A" w14:textId="77777777" w:rsidR="003B79BC" w:rsidRDefault="003B79BC">
      <w:pPr>
        <w:rPr>
          <w:rFonts w:eastAsiaTheme="minorEastAsia"/>
          <w:lang w:eastAsia="zh-CN"/>
        </w:rPr>
      </w:pPr>
    </w:p>
    <w:p w14:paraId="4E691F7E" w14:textId="77777777" w:rsidR="003B79BC" w:rsidRDefault="003B79BC">
      <w:pPr>
        <w:rPr>
          <w:rFonts w:eastAsiaTheme="minorEastAsia"/>
          <w:lang w:eastAsia="zh-CN"/>
        </w:rPr>
      </w:pPr>
    </w:p>
    <w:p w14:paraId="31E9F852" w14:textId="77777777" w:rsidR="003B79BC" w:rsidRDefault="003B79BC">
      <w:pPr>
        <w:rPr>
          <w:rFonts w:eastAsiaTheme="minorEastAsia"/>
          <w:lang w:eastAsia="zh-CN"/>
        </w:rPr>
      </w:pPr>
    </w:p>
    <w:p w14:paraId="77E82991" w14:textId="77777777" w:rsidR="003B79BC" w:rsidRDefault="003B79BC">
      <w:pPr>
        <w:rPr>
          <w:rFonts w:eastAsiaTheme="minorEastAsia"/>
          <w:lang w:eastAsia="zh-CN"/>
        </w:rPr>
      </w:pPr>
    </w:p>
    <w:p w14:paraId="208FA054" w14:textId="77777777" w:rsidR="003B79BC" w:rsidRDefault="003B79BC">
      <w:pPr>
        <w:rPr>
          <w:rFonts w:eastAsiaTheme="minorEastAsia"/>
          <w:lang w:eastAsia="zh-CN"/>
        </w:rPr>
      </w:pPr>
    </w:p>
    <w:p w14:paraId="41068BB6" w14:textId="77777777" w:rsidR="003B79BC" w:rsidRDefault="003B79BC">
      <w:pPr>
        <w:rPr>
          <w:rFonts w:eastAsiaTheme="minorEastAsia"/>
          <w:lang w:eastAsia="zh-CN"/>
        </w:rPr>
      </w:pPr>
    </w:p>
    <w:p w14:paraId="332A8CC0" w14:textId="77777777" w:rsidR="003B79BC" w:rsidRDefault="003B79BC">
      <w:pPr>
        <w:rPr>
          <w:rFonts w:eastAsiaTheme="minorEastAsia"/>
          <w:lang w:eastAsia="zh-CN"/>
        </w:rPr>
      </w:pPr>
    </w:p>
    <w:p w14:paraId="02666E1B" w14:textId="77777777" w:rsidR="003B79BC" w:rsidRDefault="003B79BC">
      <w:pPr>
        <w:rPr>
          <w:rFonts w:eastAsiaTheme="minorEastAsia"/>
          <w:lang w:eastAsia="zh-CN"/>
        </w:rPr>
      </w:pPr>
    </w:p>
    <w:p w14:paraId="2E9AB8CF" w14:textId="77777777" w:rsidR="003B79BC" w:rsidRDefault="003B79BC">
      <w:pPr>
        <w:rPr>
          <w:rFonts w:eastAsiaTheme="minorEastAsia"/>
          <w:lang w:eastAsia="zh-CN"/>
        </w:rPr>
      </w:pPr>
    </w:p>
    <w:p w14:paraId="00B09D1F" w14:textId="77777777" w:rsidR="003B79BC" w:rsidRDefault="00000000">
      <w:pPr>
        <w:rPr>
          <w:rFonts w:eastAsiaTheme="minorEastAsia"/>
          <w:lang w:eastAsia="zh-CN"/>
        </w:rPr>
      </w:pPr>
      <w:r>
        <w:t>Keterangan:</w:t>
      </w:r>
    </w:p>
    <w:p w14:paraId="1288500F" w14:textId="77777777" w:rsidR="003B79BC" w:rsidRDefault="003B79BC">
      <w:pPr>
        <w:rPr>
          <w:rFonts w:eastAsiaTheme="minorEastAsia"/>
          <w:lang w:eastAsia="zh-CN"/>
        </w:rPr>
      </w:pPr>
    </w:p>
    <w:p w14:paraId="1273FFDB" w14:textId="77777777" w:rsidR="003B79BC" w:rsidRDefault="00000000">
      <w:r>
        <w:rPr>
          <w:noProof/>
          <w:lang w:val="en-US"/>
        </w:rPr>
        <mc:AlternateContent>
          <mc:Choice Requires="wpg">
            <w:drawing>
              <wp:inline distT="0" distB="0" distL="0" distR="0" wp14:anchorId="60D1A965" wp14:editId="665C7888">
                <wp:extent cx="4800600" cy="1057275"/>
                <wp:effectExtent l="0" t="0" r="19050" b="28575"/>
                <wp:docPr id="42" name="Group 79"/>
                <wp:cNvGraphicFramePr/>
                <a:graphic xmlns:a="http://schemas.openxmlformats.org/drawingml/2006/main">
                  <a:graphicData uri="http://schemas.microsoft.com/office/word/2010/wordprocessingGroup">
                    <wpg:wgp>
                      <wpg:cNvGrpSpPr/>
                      <wpg:grpSpPr>
                        <a:xfrm>
                          <a:off x="0" y="0"/>
                          <a:ext cx="4800600" cy="1057275"/>
                          <a:chOff x="0" y="0"/>
                          <a:chExt cx="4543425" cy="1057275"/>
                        </a:xfrm>
                      </wpg:grpSpPr>
                      <wps:wsp>
                        <wps:cNvPr id="43" name="Rectangle 80"/>
                        <wps:cNvSpPr/>
                        <wps:spPr bwMode="auto">
                          <a:xfrm>
                            <a:off x="19050" y="0"/>
                            <a:ext cx="2111834" cy="428625"/>
                          </a:xfrm>
                          <a:prstGeom prst="rect">
                            <a:avLst/>
                          </a:prstGeom>
                          <a:solidFill>
                            <a:schemeClr val="accent4">
                              <a:lumMod val="40000"/>
                              <a:lumOff val="60000"/>
                            </a:schemeClr>
                          </a:solidFill>
                        </wps:spPr>
                        <wps:style>
                          <a:lnRef idx="2">
                            <a:schemeClr val="dk1"/>
                          </a:lnRef>
                          <a:fillRef idx="1">
                            <a:schemeClr val="lt1"/>
                          </a:fillRef>
                          <a:effectRef idx="0">
                            <a:schemeClr val="dk1"/>
                          </a:effectRef>
                          <a:fontRef idx="minor">
                            <a:schemeClr val="dk1"/>
                          </a:fontRef>
                        </wps:style>
                        <wps:txbx>
                          <w:txbxContent>
                            <w:p w14:paraId="60DF82F8" w14:textId="77777777" w:rsidR="003B79BC" w:rsidRDefault="00000000">
                              <w:pPr>
                                <w:jc w:val="center"/>
                                <w:rPr>
                                  <w:b/>
                                  <w:bCs/>
                                  <w:szCs w:val="26"/>
                                </w:rPr>
                              </w:pPr>
                              <w:r>
                                <w:rPr>
                                  <w:b/>
                                  <w:bCs/>
                                  <w:szCs w:val="26"/>
                                </w:rPr>
                                <w:t>Variabel bebas</w:t>
                              </w:r>
                            </w:p>
                          </w:txbxContent>
                        </wps:txbx>
                        <wps:bodyPr rot="0" vert="horz" wrap="square" lIns="91440" tIns="45720" rIns="91440" bIns="45720" anchor="ctr" anchorCtr="0" upright="1">
                          <a:noAutofit/>
                        </wps:bodyPr>
                      </wps:wsp>
                      <wps:wsp>
                        <wps:cNvPr id="44" name="Rectangle 81"/>
                        <wps:cNvSpPr/>
                        <wps:spPr bwMode="auto">
                          <a:xfrm>
                            <a:off x="0" y="628650"/>
                            <a:ext cx="2130884" cy="428625"/>
                          </a:xfrm>
                          <a:prstGeom prst="rect">
                            <a:avLst/>
                          </a:prstGeom>
                          <a:solidFill>
                            <a:schemeClr val="accent3">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7A392080" w14:textId="77777777" w:rsidR="003B79BC" w:rsidRDefault="00000000">
                              <w:pPr>
                                <w:jc w:val="center"/>
                                <w:rPr>
                                  <w:b/>
                                  <w:bCs/>
                                  <w:szCs w:val="26"/>
                                </w:rPr>
                              </w:pPr>
                              <w:r>
                                <w:rPr>
                                  <w:b/>
                                  <w:bCs/>
                                  <w:szCs w:val="26"/>
                                </w:rPr>
                                <w:t>Variabel antara</w:t>
                              </w:r>
                            </w:p>
                          </w:txbxContent>
                        </wps:txbx>
                        <wps:bodyPr rot="0" vert="horz" wrap="square" lIns="91440" tIns="45720" rIns="91440" bIns="45720" anchor="ctr" anchorCtr="0" upright="1">
                          <a:noAutofit/>
                        </wps:bodyPr>
                      </wps:wsp>
                      <wps:wsp>
                        <wps:cNvPr id="45" name="Rectangle 82"/>
                        <wps:cNvSpPr/>
                        <wps:spPr bwMode="auto">
                          <a:xfrm>
                            <a:off x="2471598" y="9525"/>
                            <a:ext cx="2062302" cy="428625"/>
                          </a:xfrm>
                          <a:prstGeom prst="rect">
                            <a:avLst/>
                          </a:prstGeom>
                          <a:solidFill>
                            <a:schemeClr val="accent6">
                              <a:lumMod val="40000"/>
                              <a:lumOff val="60000"/>
                            </a:schemeClr>
                          </a:solidFill>
                        </wps:spPr>
                        <wps:style>
                          <a:lnRef idx="2">
                            <a:schemeClr val="dk1"/>
                          </a:lnRef>
                          <a:fillRef idx="1">
                            <a:schemeClr val="lt1"/>
                          </a:fillRef>
                          <a:effectRef idx="0">
                            <a:schemeClr val="dk1"/>
                          </a:effectRef>
                          <a:fontRef idx="minor">
                            <a:schemeClr val="dk1"/>
                          </a:fontRef>
                        </wps:style>
                        <wps:txbx>
                          <w:txbxContent>
                            <w:p w14:paraId="3F57AA73" w14:textId="77777777" w:rsidR="003B79BC" w:rsidRDefault="00000000">
                              <w:pPr>
                                <w:jc w:val="center"/>
                                <w:rPr>
                                  <w:b/>
                                  <w:bCs/>
                                  <w:szCs w:val="26"/>
                                </w:rPr>
                              </w:pPr>
                              <w:r>
                                <w:rPr>
                                  <w:b/>
                                  <w:bCs/>
                                  <w:szCs w:val="26"/>
                                </w:rPr>
                                <w:t>Variabel kendali</w:t>
                              </w:r>
                            </w:p>
                          </w:txbxContent>
                        </wps:txbx>
                        <wps:bodyPr rot="0" vert="horz" wrap="square" lIns="91440" tIns="45720" rIns="91440" bIns="45720" anchor="ctr" anchorCtr="0" upright="1">
                          <a:noAutofit/>
                        </wps:bodyPr>
                      </wps:wsp>
                      <wps:wsp>
                        <wps:cNvPr id="46" name="Rectangle 83"/>
                        <wps:cNvSpPr/>
                        <wps:spPr bwMode="auto">
                          <a:xfrm>
                            <a:off x="2471598" y="628650"/>
                            <a:ext cx="2071827" cy="428625"/>
                          </a:xfrm>
                          <a:prstGeom prst="rect">
                            <a:avLst/>
                          </a:prstGeom>
                          <a:solidFill>
                            <a:schemeClr val="accent2">
                              <a:lumMod val="40000"/>
                              <a:lumOff val="60000"/>
                            </a:schemeClr>
                          </a:solidFill>
                        </wps:spPr>
                        <wps:style>
                          <a:lnRef idx="2">
                            <a:schemeClr val="dk1"/>
                          </a:lnRef>
                          <a:fillRef idx="1">
                            <a:schemeClr val="lt1"/>
                          </a:fillRef>
                          <a:effectRef idx="0">
                            <a:schemeClr val="dk1"/>
                          </a:effectRef>
                          <a:fontRef idx="minor">
                            <a:schemeClr val="dk1"/>
                          </a:fontRef>
                        </wps:style>
                        <wps:txbx>
                          <w:txbxContent>
                            <w:p w14:paraId="35FCA047" w14:textId="77777777" w:rsidR="003B79BC" w:rsidRDefault="00000000">
                              <w:pPr>
                                <w:jc w:val="center"/>
                                <w:rPr>
                                  <w:b/>
                                  <w:bCs/>
                                  <w:szCs w:val="26"/>
                                </w:rPr>
                              </w:pPr>
                              <w:r>
                                <w:rPr>
                                  <w:b/>
                                  <w:bCs/>
                                  <w:szCs w:val="26"/>
                                </w:rPr>
                                <w:t>Variabel tergantung</w:t>
                              </w:r>
                            </w:p>
                          </w:txbxContent>
                        </wps:txbx>
                        <wps:bodyPr rot="0" vert="horz" wrap="square" lIns="91440" tIns="45720" rIns="91440" bIns="45720" anchor="ctr" anchorCtr="0" upright="1">
                          <a:noAutofit/>
                        </wps:bodyPr>
                      </wps:wsp>
                    </wpg:wgp>
                  </a:graphicData>
                </a:graphic>
              </wp:inline>
            </w:drawing>
          </mc:Choice>
          <mc:Fallback>
            <w:pict>
              <v:group w14:anchorId="60D1A965" id="Group 79" o:spid="_x0000_s1047" style="width:378pt;height:83.25pt;mso-position-horizontal-relative:char;mso-position-vertical-relative:line" coordsize="45434,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">
                <v:rect id="Rectangle 80" o:spid="_x0000_s1048" style="position:absolute;left:190;width:21118;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" fillcolor="#ccc0d9 [1303]" strokecolor="black [3200]" strokeweight="2pt">
                  <v:textbox>
                    <w:txbxContent>
                      <w:p w14:paraId="60DF82F8" w14:textId="77777777" w:rsidR="003B79BC" w:rsidRDefault="00000000">
                        <w:pPr>
                          <w:jc w:val="center"/>
                          <w:rPr>
                            <w:b/>
                            <w:bCs/>
                            <w:szCs w:val="26"/>
                          </w:rPr>
                        </w:pPr>
                        <w:r>
                          <w:rPr>
                            <w:b/>
                            <w:bCs/>
                            <w:szCs w:val="26"/>
                          </w:rPr>
                          <w:t>Variabel bebas</w:t>
                        </w:r>
                      </w:p>
                    </w:txbxContent>
                  </v:textbox>
                </v:rect>
                <v:rect id="Rectangle 81" o:spid="_x0000_s1049" style="position:absolute;top:6286;width:21308;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" fillcolor="#c2d69b [1942]" strokecolor="black [3200]" strokeweight="2pt">
                  <v:textbox>
                    <w:txbxContent>
                      <w:p w14:paraId="7A392080" w14:textId="77777777" w:rsidR="003B79BC" w:rsidRDefault="00000000">
                        <w:pPr>
                          <w:jc w:val="center"/>
                          <w:rPr>
                            <w:b/>
                            <w:bCs/>
                            <w:szCs w:val="26"/>
                          </w:rPr>
                        </w:pPr>
                        <w:r>
                          <w:rPr>
                            <w:b/>
                            <w:bCs/>
                            <w:szCs w:val="26"/>
                          </w:rPr>
                          <w:t>Variabel antara</w:t>
                        </w:r>
                      </w:p>
                    </w:txbxContent>
                  </v:textbox>
                </v:rect>
                <v:rect id="Rectangle 82" o:spid="_x0000_s1050" style="position:absolute;left:24715;top:95;width:20624;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" fillcolor="#fbd4b4 [1305]" strokecolor="black [3200]" strokeweight="2pt">
                  <v:textbox>
                    <w:txbxContent>
                      <w:p w14:paraId="3F57AA73" w14:textId="77777777" w:rsidR="003B79BC" w:rsidRDefault="00000000">
                        <w:pPr>
                          <w:jc w:val="center"/>
                          <w:rPr>
                            <w:b/>
                            <w:bCs/>
                            <w:szCs w:val="26"/>
                          </w:rPr>
                        </w:pPr>
                        <w:r>
                          <w:rPr>
                            <w:b/>
                            <w:bCs/>
                            <w:szCs w:val="26"/>
                          </w:rPr>
                          <w:t>Variabel kendali</w:t>
                        </w:r>
                      </w:p>
                    </w:txbxContent>
                  </v:textbox>
                </v:rect>
                <v:rect id="Rectangle 83" o:spid="_x0000_s1051" style="position:absolute;left:24715;top:6286;width:20719;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" fillcolor="#e5b8b7 [1301]" strokecolor="black [3200]" strokeweight="2pt">
                  <v:textbox>
                    <w:txbxContent>
                      <w:p w14:paraId="35FCA047" w14:textId="77777777" w:rsidR="003B79BC" w:rsidRDefault="00000000">
                        <w:pPr>
                          <w:jc w:val="center"/>
                          <w:rPr>
                            <w:b/>
                            <w:bCs/>
                            <w:szCs w:val="26"/>
                          </w:rPr>
                        </w:pPr>
                        <w:r>
                          <w:rPr>
                            <w:b/>
                            <w:bCs/>
                            <w:szCs w:val="26"/>
                          </w:rPr>
                          <w:t>Variabel tergantung</w:t>
                        </w:r>
                      </w:p>
                    </w:txbxContent>
                  </v:textbox>
                </v:rect>
                <w10:anchorlock/>
              </v:group>
            </w:pict>
          </mc:Fallback>
        </mc:AlternateContent>
      </w:r>
    </w:p>
    <w:p w14:paraId="072B4094" w14:textId="77777777" w:rsidR="003B79BC" w:rsidRDefault="003B79BC">
      <w:pPr>
        <w:spacing w:line="480" w:lineRule="auto"/>
        <w:ind w:left="2160" w:firstLine="720"/>
        <w:rPr>
          <w:rFonts w:eastAsiaTheme="minorEastAsia"/>
          <w:bCs/>
          <w:sz w:val="20"/>
          <w:szCs w:val="20"/>
          <w:lang w:eastAsia="zh-CN"/>
        </w:rPr>
      </w:pPr>
    </w:p>
    <w:bookmarkEnd w:id="63"/>
    <w:p w14:paraId="21591897" w14:textId="7FF41D9B" w:rsidR="003B79BC" w:rsidRDefault="00000000">
      <w:pPr>
        <w:pStyle w:val="Caption"/>
        <w:rPr>
          <w:bCs/>
          <w:i w:val="0"/>
          <w:iCs w:val="0"/>
          <w:sz w:val="24"/>
          <w:szCs w:val="24"/>
        </w:rPr>
      </w:pPr>
      <w:r>
        <w:rPr>
          <w:i w:val="0"/>
          <w:iCs w:val="0"/>
          <w:color w:val="000000" w:themeColor="text1"/>
          <w:sz w:val="24"/>
          <w:szCs w:val="24"/>
        </w:rPr>
        <w:t xml:space="preserve">Gambar </w:t>
      </w:r>
      <w:r>
        <w:rPr>
          <w:i w:val="0"/>
          <w:iCs w:val="0"/>
          <w:color w:val="000000" w:themeColor="text1"/>
          <w:sz w:val="24"/>
          <w:szCs w:val="24"/>
        </w:rPr>
        <w:fldChar w:fldCharType="begin"/>
      </w:r>
      <w:r>
        <w:rPr>
          <w:i w:val="0"/>
          <w:iCs w:val="0"/>
          <w:color w:val="000000" w:themeColor="text1"/>
          <w:sz w:val="24"/>
          <w:szCs w:val="24"/>
        </w:rPr>
        <w:instrText xml:space="preserve"> SEQ Gambar \* ARABIC </w:instrText>
      </w:r>
      <w:r>
        <w:rPr>
          <w:i w:val="0"/>
          <w:iCs w:val="0"/>
          <w:color w:val="000000" w:themeColor="text1"/>
          <w:sz w:val="24"/>
          <w:szCs w:val="24"/>
        </w:rPr>
        <w:fldChar w:fldCharType="separate"/>
      </w:r>
      <w:r w:rsidR="00D671E3">
        <w:rPr>
          <w:i w:val="0"/>
          <w:iCs w:val="0"/>
          <w:noProof/>
          <w:color w:val="000000" w:themeColor="text1"/>
          <w:sz w:val="24"/>
          <w:szCs w:val="24"/>
        </w:rPr>
        <w:t>9</w:t>
      </w:r>
      <w:r>
        <w:rPr>
          <w:i w:val="0"/>
          <w:iCs w:val="0"/>
          <w:color w:val="000000" w:themeColor="text1"/>
          <w:sz w:val="24"/>
          <w:szCs w:val="24"/>
        </w:rPr>
        <w:fldChar w:fldCharType="end"/>
      </w:r>
      <w:r>
        <w:rPr>
          <w:i w:val="0"/>
          <w:iCs w:val="0"/>
          <w:color w:val="000000" w:themeColor="text1"/>
          <w:sz w:val="24"/>
          <w:szCs w:val="24"/>
          <w:lang w:val="id-ID"/>
        </w:rPr>
        <w:t>. Kerangka konsep</w:t>
      </w:r>
      <w:r>
        <w:rPr>
          <w:bCs/>
          <w:i w:val="0"/>
          <w:iCs w:val="0"/>
          <w:sz w:val="24"/>
          <w:szCs w:val="24"/>
        </w:rPr>
        <w:br w:type="page"/>
      </w:r>
    </w:p>
    <w:p w14:paraId="72111821" w14:textId="77777777" w:rsidR="003B79BC" w:rsidRDefault="00000000">
      <w:pPr>
        <w:pStyle w:val="Heading1"/>
        <w:spacing w:after="0"/>
        <w:rPr>
          <w:sz w:val="24"/>
          <w:szCs w:val="24"/>
        </w:rPr>
      </w:pPr>
      <w:bookmarkStart w:id="64" w:name="_Toc158290267"/>
      <w:r>
        <w:rPr>
          <w:sz w:val="24"/>
          <w:szCs w:val="24"/>
        </w:rPr>
        <w:lastRenderedPageBreak/>
        <w:t>BAB V</w:t>
      </w:r>
      <w:bookmarkEnd w:id="64"/>
    </w:p>
    <w:p w14:paraId="14D7A62F" w14:textId="77777777" w:rsidR="003B79BC" w:rsidRDefault="00000000">
      <w:pPr>
        <w:pStyle w:val="Heading1"/>
        <w:spacing w:after="0"/>
        <w:ind w:right="49"/>
        <w:rPr>
          <w:rFonts w:cs="Times New Roman"/>
          <w:sz w:val="24"/>
          <w:szCs w:val="24"/>
        </w:rPr>
      </w:pPr>
      <w:bookmarkStart w:id="65" w:name="_Toc97906476"/>
      <w:bookmarkStart w:id="66" w:name="_Toc158290268"/>
      <w:r>
        <w:rPr>
          <w:rFonts w:cs="Times New Roman"/>
          <w:sz w:val="24"/>
          <w:szCs w:val="24"/>
        </w:rPr>
        <w:t>METODOLOGI PENELITIAN</w:t>
      </w:r>
      <w:bookmarkEnd w:id="65"/>
      <w:bookmarkEnd w:id="66"/>
    </w:p>
    <w:p w14:paraId="300F226E" w14:textId="77777777" w:rsidR="003B79BC" w:rsidRDefault="003B79BC">
      <w:pPr>
        <w:spacing w:line="360" w:lineRule="auto"/>
      </w:pPr>
    </w:p>
    <w:p w14:paraId="4FA8A921" w14:textId="77777777" w:rsidR="003B79BC" w:rsidRDefault="00000000">
      <w:pPr>
        <w:pStyle w:val="Heading2"/>
        <w:numPr>
          <w:ilvl w:val="1"/>
          <w:numId w:val="13"/>
        </w:numPr>
        <w:spacing w:after="0"/>
        <w:ind w:left="567" w:hanging="567"/>
        <w:rPr>
          <w:rFonts w:cs="Times New Roman"/>
          <w:szCs w:val="24"/>
        </w:rPr>
      </w:pPr>
      <w:bookmarkStart w:id="67" w:name="_Toc97906477"/>
      <w:bookmarkStart w:id="68" w:name="_Toc158290269"/>
      <w:r>
        <w:rPr>
          <w:rFonts w:cs="Times New Roman"/>
          <w:szCs w:val="24"/>
        </w:rPr>
        <w:t>Desain Penelitian</w:t>
      </w:r>
      <w:bookmarkEnd w:id="67"/>
      <w:bookmarkEnd w:id="68"/>
    </w:p>
    <w:p w14:paraId="146D48A8" w14:textId="77777777" w:rsidR="003B79BC" w:rsidRDefault="00000000">
      <w:pPr>
        <w:tabs>
          <w:tab w:val="left" w:pos="567"/>
        </w:tabs>
        <w:spacing w:line="360" w:lineRule="auto"/>
        <w:ind w:firstLine="567"/>
        <w:jc w:val="both"/>
        <w:rPr>
          <w:lang w:val="id-ID"/>
        </w:rPr>
      </w:pPr>
      <w:r>
        <w:rPr>
          <w:lang w:val="id-ID"/>
        </w:rPr>
        <w:t xml:space="preserve">Penelitian ini merupakan penelitian eksperimental dengan desain uji klinis acak tersamar </w:t>
      </w:r>
      <w:proofErr w:type="spellStart"/>
      <w:r>
        <w:rPr>
          <w:lang w:val="en-US"/>
        </w:rPr>
        <w:t>tunggal</w:t>
      </w:r>
      <w:proofErr w:type="spellEnd"/>
      <w:r>
        <w:rPr>
          <w:lang w:val="id-ID"/>
        </w:rPr>
        <w:t>.</w:t>
      </w:r>
    </w:p>
    <w:p w14:paraId="3F891D90" w14:textId="77777777" w:rsidR="003B79BC" w:rsidRDefault="003B79BC">
      <w:pPr>
        <w:tabs>
          <w:tab w:val="left" w:pos="567"/>
        </w:tabs>
        <w:spacing w:line="360" w:lineRule="auto"/>
        <w:ind w:firstLine="567"/>
        <w:jc w:val="both"/>
        <w:rPr>
          <w:b/>
          <w:bCs/>
        </w:rPr>
      </w:pPr>
    </w:p>
    <w:p w14:paraId="0A3FF090" w14:textId="77777777" w:rsidR="003B79BC" w:rsidRDefault="00000000">
      <w:pPr>
        <w:pStyle w:val="Heading2"/>
        <w:numPr>
          <w:ilvl w:val="1"/>
          <w:numId w:val="13"/>
        </w:numPr>
        <w:spacing w:after="0"/>
        <w:ind w:left="567" w:hanging="567"/>
        <w:rPr>
          <w:rFonts w:cs="Times New Roman"/>
          <w:szCs w:val="24"/>
        </w:rPr>
      </w:pPr>
      <w:bookmarkStart w:id="69" w:name="_Toc97906478"/>
      <w:bookmarkStart w:id="70" w:name="_Toc158290270"/>
      <w:r>
        <w:rPr>
          <w:rFonts w:cs="Times New Roman"/>
          <w:szCs w:val="24"/>
        </w:rPr>
        <w:t>Tempat dan Waktu Penelitian</w:t>
      </w:r>
      <w:bookmarkEnd w:id="69"/>
      <w:bookmarkEnd w:id="70"/>
    </w:p>
    <w:p w14:paraId="51FC7038" w14:textId="77777777" w:rsidR="003B79BC" w:rsidRDefault="00000000">
      <w:pPr>
        <w:pStyle w:val="Heading3"/>
        <w:spacing w:before="0" w:after="0" w:line="360" w:lineRule="auto"/>
        <w:ind w:left="567" w:hanging="567"/>
        <w:rPr>
          <w:rFonts w:cs="Times New Roman"/>
        </w:rPr>
      </w:pPr>
      <w:bookmarkStart w:id="71" w:name="_Toc97906479"/>
      <w:bookmarkStart w:id="72" w:name="_Toc158290271"/>
      <w:r>
        <w:rPr>
          <w:rFonts w:cs="Times New Roman"/>
          <w:lang w:val="id-ID"/>
        </w:rPr>
        <w:t>5</w:t>
      </w:r>
      <w:r>
        <w:rPr>
          <w:rFonts w:cs="Times New Roman"/>
        </w:rPr>
        <w:t>.2.1</w:t>
      </w:r>
      <w:r>
        <w:rPr>
          <w:rFonts w:cs="Times New Roman"/>
        </w:rPr>
        <w:tab/>
        <w:t>Tempat Penelitian</w:t>
      </w:r>
      <w:bookmarkEnd w:id="71"/>
      <w:bookmarkEnd w:id="72"/>
    </w:p>
    <w:p w14:paraId="5C69FF1D" w14:textId="77777777" w:rsidR="003B79BC" w:rsidRDefault="00000000">
      <w:pPr>
        <w:spacing w:line="360" w:lineRule="auto"/>
        <w:ind w:firstLine="567"/>
        <w:jc w:val="both"/>
        <w:rPr>
          <w:lang w:eastAsia="zh-CN"/>
        </w:rPr>
      </w:pPr>
      <w:r>
        <w:t xml:space="preserve">Penelitian </w:t>
      </w:r>
      <w:r>
        <w:rPr>
          <w:lang w:val="id-ID"/>
        </w:rPr>
        <w:t xml:space="preserve">ini </w:t>
      </w:r>
      <w:proofErr w:type="spellStart"/>
      <w:r>
        <w:rPr>
          <w:lang w:val="en-US"/>
        </w:rPr>
        <w:t>akan</w:t>
      </w:r>
      <w:proofErr w:type="spellEnd"/>
      <w:r>
        <w:rPr>
          <w:lang w:val="en-US"/>
        </w:rPr>
        <w:t xml:space="preserve"> </w:t>
      </w:r>
      <w:r>
        <w:t>dilaksanakan di RSUP Wahidin Sudirohusodo dan RS jejaring pendidikan.</w:t>
      </w:r>
    </w:p>
    <w:p w14:paraId="696CF584" w14:textId="77777777" w:rsidR="003B79BC" w:rsidRDefault="00000000">
      <w:pPr>
        <w:pStyle w:val="Heading3"/>
        <w:spacing w:before="0" w:after="0" w:line="360" w:lineRule="auto"/>
        <w:ind w:left="567" w:hanging="567"/>
        <w:rPr>
          <w:rFonts w:cs="Times New Roman"/>
        </w:rPr>
      </w:pPr>
      <w:bookmarkStart w:id="73" w:name="_Toc97906480"/>
      <w:bookmarkStart w:id="74" w:name="_Toc158290272"/>
      <w:r>
        <w:rPr>
          <w:rFonts w:cs="Times New Roman"/>
          <w:lang w:val="id-ID"/>
        </w:rPr>
        <w:t>5</w:t>
      </w:r>
      <w:r>
        <w:rPr>
          <w:rFonts w:cs="Times New Roman"/>
        </w:rPr>
        <w:t>.2.2 Waktu Penelitian</w:t>
      </w:r>
      <w:bookmarkEnd w:id="73"/>
      <w:bookmarkEnd w:id="74"/>
    </w:p>
    <w:p w14:paraId="1413BE12" w14:textId="77777777" w:rsidR="003B79BC" w:rsidRDefault="00000000">
      <w:pPr>
        <w:spacing w:line="360" w:lineRule="auto"/>
        <w:ind w:firstLine="567"/>
        <w:jc w:val="both"/>
        <w:rPr>
          <w:lang w:val="en-US"/>
        </w:rPr>
      </w:pPr>
      <w:r>
        <w:t xml:space="preserve">Penelitian akan dilaksanakan pada bulan </w:t>
      </w:r>
      <w:r>
        <w:rPr>
          <w:lang w:val="en-US"/>
        </w:rPr>
        <w:t xml:space="preserve">November </w:t>
      </w:r>
      <w:r>
        <w:t>202</w:t>
      </w:r>
      <w:r>
        <w:rPr>
          <w:lang w:val="id-ID"/>
        </w:rPr>
        <w:t>3</w:t>
      </w:r>
      <w:r>
        <w:rPr>
          <w:lang w:val="en-US"/>
        </w:rPr>
        <w:t xml:space="preserve"> sampai minimal </w:t>
      </w:r>
      <w:proofErr w:type="spellStart"/>
      <w:r>
        <w:rPr>
          <w:lang w:val="en-US"/>
        </w:rPr>
        <w:t>sampel</w:t>
      </w:r>
      <w:proofErr w:type="spellEnd"/>
      <w:r>
        <w:rPr>
          <w:lang w:val="en-US"/>
        </w:rPr>
        <w:t xml:space="preserve"> </w:t>
      </w:r>
      <w:proofErr w:type="spellStart"/>
      <w:r>
        <w:rPr>
          <w:lang w:val="en-US"/>
        </w:rPr>
        <w:t>terpenuhi</w:t>
      </w:r>
      <w:proofErr w:type="spellEnd"/>
      <w:r>
        <w:rPr>
          <w:lang w:val="en-US"/>
        </w:rPr>
        <w:t>.</w:t>
      </w:r>
    </w:p>
    <w:p w14:paraId="546F6858" w14:textId="77777777" w:rsidR="003B79BC" w:rsidRDefault="003B79BC">
      <w:pPr>
        <w:spacing w:line="360" w:lineRule="auto"/>
        <w:ind w:firstLine="567"/>
        <w:jc w:val="both"/>
        <w:rPr>
          <w:rFonts w:eastAsiaTheme="minorEastAsia"/>
          <w:lang w:val="en-US" w:eastAsia="zh-CN"/>
        </w:rPr>
      </w:pPr>
    </w:p>
    <w:p w14:paraId="5102CD76" w14:textId="77777777" w:rsidR="003B79BC" w:rsidRDefault="00000000">
      <w:pPr>
        <w:pStyle w:val="Heading2"/>
        <w:numPr>
          <w:ilvl w:val="1"/>
          <w:numId w:val="13"/>
        </w:numPr>
        <w:spacing w:after="0"/>
        <w:ind w:left="567" w:hanging="567"/>
        <w:rPr>
          <w:rFonts w:cs="Times New Roman"/>
          <w:szCs w:val="24"/>
          <w:lang w:eastAsia="zh-CN"/>
        </w:rPr>
      </w:pPr>
      <w:bookmarkStart w:id="75" w:name="_Toc97906481"/>
      <w:bookmarkStart w:id="76" w:name="_Toc158290273"/>
      <w:r>
        <w:rPr>
          <w:rFonts w:cs="Times New Roman"/>
          <w:szCs w:val="24"/>
        </w:rPr>
        <w:t>Populasi dan Sampel Penelitian</w:t>
      </w:r>
      <w:bookmarkEnd w:id="75"/>
      <w:bookmarkEnd w:id="76"/>
    </w:p>
    <w:p w14:paraId="73910B5E" w14:textId="77777777" w:rsidR="003B79BC" w:rsidRDefault="00000000">
      <w:pPr>
        <w:pStyle w:val="Heading3"/>
        <w:spacing w:before="0" w:after="0" w:line="360" w:lineRule="auto"/>
        <w:rPr>
          <w:rFonts w:cs="Times New Roman"/>
        </w:rPr>
      </w:pPr>
      <w:bookmarkStart w:id="77" w:name="_Toc97906482"/>
      <w:bookmarkStart w:id="78" w:name="_Toc158290274"/>
      <w:r>
        <w:rPr>
          <w:rFonts w:cs="Times New Roman"/>
          <w:lang w:val="id-ID"/>
        </w:rPr>
        <w:t>5</w:t>
      </w:r>
      <w:r>
        <w:rPr>
          <w:rFonts w:cs="Times New Roman"/>
        </w:rPr>
        <w:t>.3.1 Populasi Penelitian</w:t>
      </w:r>
      <w:bookmarkEnd w:id="77"/>
      <w:bookmarkEnd w:id="78"/>
    </w:p>
    <w:p w14:paraId="1E6E1DBF" w14:textId="4C880716" w:rsidR="003B79BC" w:rsidRDefault="00000000">
      <w:pPr>
        <w:spacing w:line="360" w:lineRule="auto"/>
        <w:ind w:firstLine="567"/>
        <w:jc w:val="both"/>
        <w:rPr>
          <w:rFonts w:eastAsiaTheme="minorEastAsia"/>
          <w:lang w:val="en-US" w:eastAsia="zh-CN"/>
        </w:rPr>
      </w:pPr>
      <w:r>
        <w:rPr>
          <w:lang w:eastAsia="zh-CN"/>
        </w:rPr>
        <w:t xml:space="preserve">Populasi </w:t>
      </w:r>
      <w:r>
        <w:rPr>
          <w:lang w:val="id-ID" w:eastAsia="zh-CN"/>
        </w:rPr>
        <w:t>yang digunakan dalam penelitian ini yaitu</w:t>
      </w:r>
      <w:r>
        <w:rPr>
          <w:lang w:eastAsia="zh-CN"/>
        </w:rPr>
        <w:t xml:space="preserve"> pasien yang </w:t>
      </w:r>
      <w:r>
        <w:rPr>
          <w:lang w:val="id-ID" w:eastAsia="zh-CN"/>
        </w:rPr>
        <w:t xml:space="preserve">akan </w:t>
      </w:r>
      <w:r>
        <w:rPr>
          <w:lang w:eastAsia="zh-CN"/>
        </w:rPr>
        <w:t xml:space="preserve">menjalani prosedur pembedahan </w:t>
      </w:r>
      <w:r>
        <w:rPr>
          <w:lang w:val="id-ID" w:eastAsia="zh-CN"/>
        </w:rPr>
        <w:t xml:space="preserve">tonsilektomi </w:t>
      </w:r>
      <w:r>
        <w:rPr>
          <w:lang w:eastAsia="zh-CN"/>
        </w:rPr>
        <w:t>di RSUP Wahidin Sudirohusodo dan RS jejaring pendidikan</w:t>
      </w:r>
      <w:r>
        <w:rPr>
          <w:lang w:val="en-US" w:eastAsia="zh-CN"/>
        </w:rPr>
        <w:t xml:space="preserve"> di Makassar.</w:t>
      </w:r>
    </w:p>
    <w:p w14:paraId="0177E0F6" w14:textId="77777777" w:rsidR="003B79BC" w:rsidRDefault="00000000">
      <w:pPr>
        <w:pStyle w:val="Heading3"/>
        <w:spacing w:before="0" w:after="0" w:line="360" w:lineRule="auto"/>
        <w:rPr>
          <w:rFonts w:cs="Times New Roman"/>
        </w:rPr>
      </w:pPr>
      <w:bookmarkStart w:id="79" w:name="_Toc97906483"/>
      <w:bookmarkStart w:id="80" w:name="_Toc158290275"/>
      <w:r>
        <w:rPr>
          <w:rFonts w:cs="Times New Roman"/>
          <w:lang w:val="id-ID"/>
        </w:rPr>
        <w:t>5</w:t>
      </w:r>
      <w:r>
        <w:rPr>
          <w:rFonts w:cs="Times New Roman"/>
        </w:rPr>
        <w:t>.3.2 Sampel Penelitian</w:t>
      </w:r>
      <w:bookmarkEnd w:id="79"/>
      <w:bookmarkEnd w:id="80"/>
    </w:p>
    <w:p w14:paraId="6EFDF629" w14:textId="1984AD3D" w:rsidR="003B79BC" w:rsidRDefault="00000000">
      <w:pPr>
        <w:spacing w:line="360" w:lineRule="auto"/>
        <w:ind w:firstLine="567"/>
        <w:jc w:val="both"/>
        <w:rPr>
          <w:lang w:eastAsia="zh-CN"/>
        </w:rPr>
      </w:pPr>
      <w:r>
        <w:t xml:space="preserve">Sampel </w:t>
      </w:r>
      <w:r>
        <w:rPr>
          <w:lang w:val="id-ID"/>
        </w:rPr>
        <w:t>yang digunakan pada penelitian ini yaitu</w:t>
      </w:r>
      <w:r>
        <w:t xml:space="preserve"> pasien yang </w:t>
      </w:r>
      <w:r>
        <w:rPr>
          <w:lang w:val="id-ID"/>
        </w:rPr>
        <w:t xml:space="preserve">akan </w:t>
      </w:r>
      <w:r>
        <w:t xml:space="preserve">menjalani prosedur pembedahan </w:t>
      </w:r>
      <w:r>
        <w:rPr>
          <w:lang w:val="id-ID"/>
        </w:rPr>
        <w:t xml:space="preserve">tonsilektomi </w:t>
      </w:r>
      <w:r>
        <w:t>di RSUP Wahidin Sudirohusodo dan RS jejaring pendidikan yang memenuhi kriteria inklusi dan setuju untuk ikut dalam penelitian.</w:t>
      </w:r>
    </w:p>
    <w:p w14:paraId="1FD976F6" w14:textId="77777777" w:rsidR="003B79BC" w:rsidRDefault="003B79BC">
      <w:pPr>
        <w:spacing w:line="360" w:lineRule="auto"/>
        <w:ind w:firstLine="567"/>
        <w:jc w:val="both"/>
        <w:rPr>
          <w:rFonts w:eastAsiaTheme="minorEastAsia"/>
          <w:lang w:eastAsia="zh-CN"/>
        </w:rPr>
      </w:pPr>
    </w:p>
    <w:p w14:paraId="74B58851" w14:textId="77777777" w:rsidR="003B79BC" w:rsidRDefault="00000000">
      <w:pPr>
        <w:pStyle w:val="Heading2"/>
        <w:numPr>
          <w:ilvl w:val="1"/>
          <w:numId w:val="13"/>
        </w:numPr>
        <w:spacing w:after="0"/>
        <w:ind w:left="567" w:hanging="567"/>
        <w:rPr>
          <w:rFonts w:cs="Times New Roman"/>
          <w:szCs w:val="24"/>
          <w:lang w:eastAsia="zh-CN"/>
        </w:rPr>
      </w:pPr>
      <w:bookmarkStart w:id="81" w:name="_Toc97906484"/>
      <w:bookmarkStart w:id="82" w:name="_Toc158290276"/>
      <w:r>
        <w:rPr>
          <w:rFonts w:cs="Times New Roman"/>
          <w:szCs w:val="24"/>
        </w:rPr>
        <w:t>Perkiraan Besar Sampel</w:t>
      </w:r>
      <w:bookmarkEnd w:id="81"/>
      <w:bookmarkEnd w:id="82"/>
    </w:p>
    <w:p w14:paraId="733B7A2B" w14:textId="77777777" w:rsidR="003B79BC" w:rsidRPr="00602263" w:rsidRDefault="00000000">
      <w:pPr>
        <w:spacing w:line="360" w:lineRule="auto"/>
        <w:ind w:firstLine="567"/>
        <w:jc w:val="both"/>
        <w:rPr>
          <w:color w:val="000000"/>
        </w:rPr>
      </w:pPr>
      <w:bookmarkStart w:id="83" w:name="_Hlk152697543"/>
      <w:r w:rsidRPr="00602263">
        <w:rPr>
          <w:color w:val="000000"/>
          <w:lang w:val="id-ID"/>
        </w:rPr>
        <w:t xml:space="preserve">Jumlah sampel minimal yang diperkirakan dapat dihitung dengan menggunakan rumus untuk analisis perbandingan rata-rata dua kelompok sampel </w:t>
      </w:r>
      <w:r w:rsidRPr="00602263">
        <w:rPr>
          <w:color w:val="000000"/>
        </w:rPr>
        <w:t>sebagai berikut:</w:t>
      </w:r>
    </w:p>
    <w:p w14:paraId="4BCAAF71" w14:textId="025E1299" w:rsidR="003B79BC" w:rsidRPr="00602263" w:rsidRDefault="00602263">
      <w:pPr>
        <w:pStyle w:val="ListParagraph"/>
        <w:spacing w:line="480" w:lineRule="auto"/>
        <w:ind w:left="360"/>
        <w:jc w:val="both"/>
        <w:rPr>
          <w:rFonts w:eastAsiaTheme="minorEastAsia"/>
          <w:i/>
          <w:sz w:val="14"/>
        </w:rPr>
      </w:pPr>
      <w:bookmarkStart w:id="84" w:name="OLE_LINK3"/>
      <w:bookmarkStart w:id="85" w:name="OLE_LINK1"/>
      <m:oMathPara>
        <m:oMath>
          <m:r>
            <w:rPr>
              <w:rFonts w:ascii="Cambria Math" w:hAnsi="Cambria Math"/>
              <w:sz w:val="16"/>
            </w:rPr>
            <w:lastRenderedPageBreak/>
            <m:t xml:space="preserve">n= </m:t>
          </m:r>
          <m:f>
            <m:fPr>
              <m:ctrlPr>
                <w:rPr>
                  <w:rFonts w:ascii="Cambria Math" w:hAnsi="Cambria Math"/>
                  <w:i/>
                  <w:sz w:val="16"/>
                </w:rPr>
              </m:ctrlPr>
            </m:fPr>
            <m:num>
              <m:sSup>
                <m:sSupPr>
                  <m:ctrlPr>
                    <w:rPr>
                      <w:rFonts w:ascii="Cambria Math" w:hAnsi="Cambria Math"/>
                      <w:i/>
                      <w:sz w:val="16"/>
                    </w:rPr>
                  </m:ctrlPr>
                </m:sSupPr>
                <m:e>
                  <m:r>
                    <w:rPr>
                      <w:rFonts w:ascii="Cambria Math" w:hAnsi="Cambria Math"/>
                      <w:sz w:val="16"/>
                    </w:rPr>
                    <m:t>2(</m:t>
                  </m:r>
                  <m:sSub>
                    <m:sSubPr>
                      <m:ctrlPr>
                        <w:rPr>
                          <w:rFonts w:ascii="Cambria Math" w:hAnsi="Cambria Math"/>
                          <w:i/>
                          <w:sz w:val="16"/>
                        </w:rPr>
                      </m:ctrlPr>
                    </m:sSubPr>
                    <m:e>
                      <m:r>
                        <w:rPr>
                          <w:rFonts w:ascii="Cambria Math" w:hAnsi="Cambria Math"/>
                          <w:sz w:val="16"/>
                        </w:rPr>
                        <m:t>Z</m:t>
                      </m:r>
                    </m:e>
                    <m:sub>
                      <m:r>
                        <w:rPr>
                          <w:rFonts w:ascii="Cambria Math" w:hAnsi="Cambria Math"/>
                          <w:sz w:val="16"/>
                        </w:rPr>
                        <m:t>1-α/2</m:t>
                      </m:r>
                    </m:sub>
                  </m:sSub>
                  <m:r>
                    <w:rPr>
                      <w:rFonts w:ascii="Cambria Math" w:hAnsi="Cambria Math"/>
                      <w:sz w:val="16"/>
                    </w:rPr>
                    <m:t>+</m:t>
                  </m:r>
                  <m:sSub>
                    <m:sSubPr>
                      <m:ctrlPr>
                        <w:rPr>
                          <w:rFonts w:ascii="Cambria Math" w:hAnsi="Cambria Math"/>
                          <w:i/>
                          <w:sz w:val="16"/>
                        </w:rPr>
                      </m:ctrlPr>
                    </m:sSubPr>
                    <m:e>
                      <m:r>
                        <w:rPr>
                          <w:rFonts w:ascii="Cambria Math" w:hAnsi="Cambria Math"/>
                          <w:sz w:val="16"/>
                        </w:rPr>
                        <m:t>Z</m:t>
                      </m:r>
                    </m:e>
                    <m:sub>
                      <m:r>
                        <w:rPr>
                          <w:rFonts w:ascii="Cambria Math" w:hAnsi="Cambria Math"/>
                          <w:sz w:val="16"/>
                        </w:rPr>
                        <m:t>β</m:t>
                      </m:r>
                    </m:sub>
                  </m:sSub>
                  <m:r>
                    <w:rPr>
                      <w:rFonts w:ascii="Cambria Math" w:hAnsi="Cambria Math"/>
                      <w:sz w:val="16"/>
                    </w:rPr>
                    <m:t>)</m:t>
                  </m:r>
                </m:e>
                <m:sup>
                  <m:r>
                    <w:rPr>
                      <w:rFonts w:ascii="Cambria Math" w:hAnsi="Cambria Math"/>
                      <w:sz w:val="16"/>
                    </w:rPr>
                    <m:t>2</m:t>
                  </m:r>
                </m:sup>
              </m:sSup>
              <m:sSup>
                <m:sSupPr>
                  <m:ctrlPr>
                    <w:rPr>
                      <w:rFonts w:ascii="Cambria Math" w:hAnsi="Cambria Math"/>
                      <w:i/>
                      <w:sz w:val="16"/>
                    </w:rPr>
                  </m:ctrlPr>
                </m:sSupPr>
                <m:e>
                  <m:r>
                    <w:rPr>
                      <w:rFonts w:ascii="Cambria Math" w:hAnsi="Cambria Math"/>
                      <w:sz w:val="16"/>
                    </w:rPr>
                    <m:t>σ</m:t>
                  </m:r>
                </m:e>
                <m:sup>
                  <m:r>
                    <w:rPr>
                      <w:rFonts w:ascii="Cambria Math" w:hAnsi="Cambria Math"/>
                      <w:sz w:val="16"/>
                    </w:rPr>
                    <m:t>2</m:t>
                  </m:r>
                </m:sup>
              </m:sSup>
            </m:num>
            <m:den>
              <m:sSup>
                <m:sSupPr>
                  <m:ctrlPr>
                    <w:rPr>
                      <w:rFonts w:ascii="Cambria Math" w:hAnsi="Cambria Math"/>
                      <w:i/>
                      <w:sz w:val="16"/>
                    </w:rPr>
                  </m:ctrlPr>
                </m:sSupPr>
                <m:e>
                  <m:r>
                    <w:rPr>
                      <w:rFonts w:ascii="Cambria Math" w:hAnsi="Cambria Math"/>
                      <w:sz w:val="16"/>
                    </w:rPr>
                    <m:t>(</m:t>
                  </m:r>
                  <m:sSub>
                    <m:sSubPr>
                      <m:ctrlPr>
                        <w:rPr>
                          <w:rFonts w:ascii="Cambria Math" w:hAnsi="Cambria Math"/>
                          <w:i/>
                          <w:sz w:val="16"/>
                        </w:rPr>
                      </m:ctrlPr>
                    </m:sSubPr>
                    <m:e>
                      <m:r>
                        <w:rPr>
                          <w:rFonts w:ascii="Cambria Math" w:hAnsi="Cambria Math"/>
                          <w:sz w:val="16"/>
                        </w:rPr>
                        <m:t>U</m:t>
                      </m:r>
                    </m:e>
                    <m:sub>
                      <m:r>
                        <w:rPr>
                          <w:rFonts w:ascii="Cambria Math" w:hAnsi="Cambria Math"/>
                          <w:sz w:val="16"/>
                        </w:rPr>
                        <m:t>1</m:t>
                      </m:r>
                    </m:sub>
                  </m:sSub>
                  <m:r>
                    <w:rPr>
                      <w:rFonts w:ascii="Cambria Math" w:hAnsi="Cambria Math"/>
                      <w:sz w:val="16"/>
                    </w:rPr>
                    <m:t>-</m:t>
                  </m:r>
                  <m:sSub>
                    <m:sSubPr>
                      <m:ctrlPr>
                        <w:rPr>
                          <w:rFonts w:ascii="Cambria Math" w:hAnsi="Cambria Math"/>
                          <w:i/>
                          <w:sz w:val="16"/>
                        </w:rPr>
                      </m:ctrlPr>
                    </m:sSubPr>
                    <m:e>
                      <m:r>
                        <w:rPr>
                          <w:rFonts w:ascii="Cambria Math" w:hAnsi="Cambria Math"/>
                          <w:sz w:val="16"/>
                        </w:rPr>
                        <m:t>U</m:t>
                      </m:r>
                    </m:e>
                    <m:sub>
                      <m:r>
                        <w:rPr>
                          <w:rFonts w:ascii="Cambria Math" w:hAnsi="Cambria Math"/>
                          <w:sz w:val="16"/>
                        </w:rPr>
                        <m:t>2</m:t>
                      </m:r>
                    </m:sub>
                  </m:sSub>
                  <m:r>
                    <w:rPr>
                      <w:rFonts w:ascii="Cambria Math" w:hAnsi="Cambria Math"/>
                      <w:sz w:val="16"/>
                    </w:rPr>
                    <m:t>)</m:t>
                  </m:r>
                </m:e>
                <m:sup>
                  <m:r>
                    <w:rPr>
                      <w:rFonts w:ascii="Cambria Math" w:hAnsi="Cambria Math"/>
                      <w:sz w:val="16"/>
                    </w:rPr>
                    <m:t>2</m:t>
                  </m:r>
                </m:sup>
              </m:sSup>
            </m:den>
          </m:f>
        </m:oMath>
      </m:oMathPara>
      <w:bookmarkEnd w:id="84"/>
    </w:p>
    <w:bookmarkEnd w:id="85"/>
    <w:p w14:paraId="39B96A94" w14:textId="77777777" w:rsidR="003B79BC" w:rsidRPr="00602263" w:rsidRDefault="00000000">
      <w:pPr>
        <w:spacing w:line="360" w:lineRule="auto"/>
        <w:jc w:val="both"/>
        <w:rPr>
          <w:rFonts w:eastAsiaTheme="minorEastAsia"/>
          <w:lang w:eastAsia="zh-CN"/>
        </w:rPr>
      </w:pPr>
      <w:r w:rsidRPr="00602263">
        <w:rPr>
          <w:rFonts w:eastAsiaTheme="minorEastAsia"/>
          <w:lang w:eastAsia="zh-CN"/>
        </w:rPr>
        <w:t>Keterangan:</w:t>
      </w:r>
    </w:p>
    <w:p w14:paraId="193A7228" w14:textId="77777777" w:rsidR="003B79BC" w:rsidRPr="00602263" w:rsidRDefault="00000000">
      <w:pPr>
        <w:spacing w:line="360" w:lineRule="auto"/>
        <w:ind w:left="567" w:hanging="567"/>
        <w:jc w:val="both"/>
        <w:rPr>
          <w:rFonts w:eastAsiaTheme="minorEastAsia"/>
          <w:lang w:val="id-ID" w:eastAsia="zh-CN"/>
        </w:rPr>
      </w:pPr>
      <w:r w:rsidRPr="00602263">
        <w:rPr>
          <w:rFonts w:eastAsiaTheme="minorEastAsia"/>
          <w:lang w:eastAsia="zh-CN"/>
        </w:rPr>
        <w:t xml:space="preserve">n </w:t>
      </w:r>
      <w:r w:rsidRPr="00602263">
        <w:rPr>
          <w:rFonts w:eastAsiaTheme="minorEastAsia"/>
          <w:lang w:eastAsia="zh-CN"/>
        </w:rPr>
        <w:tab/>
        <w:t>=</w:t>
      </w:r>
      <w:r w:rsidRPr="00602263">
        <w:rPr>
          <w:lang w:eastAsia="zh-CN"/>
        </w:rPr>
        <w:t xml:space="preserve"> </w:t>
      </w:r>
      <w:r w:rsidRPr="00602263">
        <w:rPr>
          <w:rFonts w:eastAsiaTheme="minorEastAsia"/>
          <w:lang w:eastAsia="zh-CN"/>
        </w:rPr>
        <w:t>Jumlah sampel</w:t>
      </w:r>
      <w:r w:rsidRPr="00602263">
        <w:rPr>
          <w:rFonts w:eastAsiaTheme="minorEastAsia"/>
          <w:lang w:val="id-ID" w:eastAsia="zh-CN"/>
        </w:rPr>
        <w:t xml:space="preserve"> minimal</w:t>
      </w:r>
      <w:r w:rsidRPr="00602263">
        <w:rPr>
          <w:rFonts w:eastAsiaTheme="minorEastAsia"/>
          <w:lang w:eastAsia="zh-CN"/>
        </w:rPr>
        <w:t xml:space="preserve"> </w:t>
      </w:r>
      <w:r w:rsidRPr="00602263">
        <w:rPr>
          <w:rFonts w:eastAsiaTheme="minorEastAsia"/>
          <w:lang w:val="id-ID" w:eastAsia="zh-CN"/>
        </w:rPr>
        <w:t>tiap kelompok</w:t>
      </w:r>
    </w:p>
    <w:p w14:paraId="723A1975" w14:textId="77777777" w:rsidR="003B79BC" w:rsidRPr="00602263" w:rsidRDefault="00000000">
      <w:pPr>
        <w:spacing w:line="360" w:lineRule="auto"/>
        <w:ind w:left="567" w:hanging="567"/>
        <w:jc w:val="both"/>
        <w:rPr>
          <w:lang w:eastAsia="zh-CN"/>
        </w:rPr>
      </w:pPr>
      <w:r w:rsidRPr="00602263">
        <w:rPr>
          <w:lang w:eastAsia="zh-CN"/>
        </w:rPr>
        <w:t>Z</w:t>
      </w:r>
      <w:r w:rsidRPr="00602263">
        <w:t>α</w:t>
      </w:r>
      <w:r w:rsidRPr="00602263">
        <w:rPr>
          <w:lang w:eastAsia="zh-CN"/>
        </w:rPr>
        <w:tab/>
        <w:t>= Kesalahan tipe I, ditetapkan 5 % dengan hipotesis dua arah (1,9</w:t>
      </w:r>
      <w:r w:rsidRPr="00602263">
        <w:rPr>
          <w:lang w:val="id-ID" w:eastAsia="zh-CN"/>
        </w:rPr>
        <w:t>6</w:t>
      </w:r>
      <w:r w:rsidRPr="00602263">
        <w:rPr>
          <w:lang w:eastAsia="zh-CN"/>
        </w:rPr>
        <w:t>)</w:t>
      </w:r>
    </w:p>
    <w:p w14:paraId="39EF8ECC" w14:textId="77777777" w:rsidR="003B79BC" w:rsidRPr="00602263" w:rsidRDefault="00000000">
      <w:pPr>
        <w:spacing w:line="360" w:lineRule="auto"/>
        <w:ind w:left="567" w:hanging="567"/>
        <w:jc w:val="both"/>
        <w:rPr>
          <w:color w:val="000000" w:themeColor="text1"/>
          <w:lang w:eastAsia="zh-CN"/>
        </w:rPr>
      </w:pPr>
      <w:r w:rsidRPr="00602263">
        <w:rPr>
          <w:lang w:eastAsia="zh-CN"/>
        </w:rPr>
        <w:t>Z</w:t>
      </w:r>
      <w:r w:rsidRPr="00602263">
        <w:t>β</w:t>
      </w:r>
      <w:r w:rsidRPr="00602263">
        <w:rPr>
          <w:lang w:eastAsia="zh-CN"/>
        </w:rPr>
        <w:tab/>
      </w:r>
      <w:r w:rsidRPr="00602263">
        <w:rPr>
          <w:color w:val="000000" w:themeColor="text1"/>
          <w:lang w:eastAsia="zh-CN"/>
        </w:rPr>
        <w:t xml:space="preserve">= Kesalahan tipe II ditetapkan </w:t>
      </w:r>
      <w:r w:rsidRPr="00602263">
        <w:rPr>
          <w:color w:val="000000" w:themeColor="text1"/>
          <w:lang w:val="id-ID" w:eastAsia="zh-CN"/>
        </w:rPr>
        <w:t>2</w:t>
      </w:r>
      <w:r w:rsidRPr="00602263">
        <w:rPr>
          <w:color w:val="000000" w:themeColor="text1"/>
          <w:lang w:eastAsia="zh-CN"/>
        </w:rPr>
        <w:t>0% (</w:t>
      </w:r>
      <w:r w:rsidRPr="00602263">
        <w:rPr>
          <w:color w:val="000000" w:themeColor="text1"/>
          <w:lang w:val="id-ID" w:eastAsia="zh-CN"/>
        </w:rPr>
        <w:t>0,84</w:t>
      </w:r>
      <w:r w:rsidRPr="00602263">
        <w:rPr>
          <w:color w:val="000000" w:themeColor="text1"/>
          <w:lang w:eastAsia="zh-CN"/>
        </w:rPr>
        <w:t>)</w:t>
      </w:r>
    </w:p>
    <w:p w14:paraId="3645F42A" w14:textId="3CC0D43A" w:rsidR="003B79BC" w:rsidRPr="00602263" w:rsidRDefault="00000000">
      <w:pPr>
        <w:spacing w:line="360" w:lineRule="auto"/>
        <w:ind w:left="567" w:hanging="567"/>
        <w:jc w:val="both"/>
        <w:rPr>
          <w:color w:val="000000" w:themeColor="text1"/>
          <w:lang w:val="id-ID" w:eastAsia="zh-CN"/>
        </w:rPr>
      </w:pPr>
      <w:r w:rsidRPr="00602263">
        <w:rPr>
          <w:color w:val="000000" w:themeColor="text1"/>
          <w:lang w:eastAsia="zh-CN"/>
        </w:rPr>
        <w:t>U</w:t>
      </w:r>
      <w:r w:rsidRPr="00602263">
        <w:rPr>
          <w:color w:val="000000" w:themeColor="text1"/>
          <w:vertAlign w:val="subscript"/>
          <w:lang w:val="id-ID" w:eastAsia="zh-CN"/>
        </w:rPr>
        <w:t>2</w:t>
      </w:r>
      <w:r w:rsidRPr="00602263">
        <w:rPr>
          <w:color w:val="000000" w:themeColor="text1"/>
          <w:lang w:eastAsia="zh-CN"/>
        </w:rPr>
        <w:tab/>
        <w:t xml:space="preserve">= Mean rata-rata </w:t>
      </w:r>
      <w:r w:rsidRPr="00602263">
        <w:rPr>
          <w:color w:val="000000" w:themeColor="text1"/>
          <w:lang w:val="id-ID" w:eastAsia="zh-CN"/>
        </w:rPr>
        <w:t xml:space="preserve">jumlah </w:t>
      </w:r>
      <w:r w:rsidRPr="00602263">
        <w:rPr>
          <w:i/>
          <w:iCs/>
          <w:color w:val="000000" w:themeColor="text1"/>
          <w:lang w:val="id-ID" w:eastAsia="zh-CN"/>
        </w:rPr>
        <w:t>rescue opioid</w:t>
      </w:r>
      <w:r w:rsidRPr="00602263">
        <w:rPr>
          <w:color w:val="000000" w:themeColor="text1"/>
          <w:lang w:val="id-ID" w:eastAsia="zh-CN"/>
        </w:rPr>
        <w:t xml:space="preserve"> pada kelompok intervensi</w:t>
      </w:r>
      <w:r w:rsidRPr="00602263">
        <w:rPr>
          <w:color w:val="000000" w:themeColor="text1"/>
          <w:lang w:eastAsia="zh-CN"/>
        </w:rPr>
        <w:t xml:space="preserve"> = </w:t>
      </w:r>
      <w:r w:rsidRPr="00602263">
        <w:rPr>
          <w:color w:val="000000" w:themeColor="text1"/>
          <w:lang w:val="id-ID" w:eastAsia="zh-CN"/>
        </w:rPr>
        <w:t>8,0</w:t>
      </w:r>
      <w:r w:rsidRPr="00602263">
        <w:rPr>
          <w:color w:val="000000" w:themeColor="text1"/>
          <w:lang w:val="id-ID"/>
        </w:rPr>
        <w:fldChar w:fldCharType="begin" w:fldLock="1"/>
      </w:r>
      <w:r w:rsidR="003360E7">
        <w:rPr>
          <w:color w:val="000000" w:themeColor="text1"/>
          <w:lang w:val="id-ID" w:eastAsia="zh-CN"/>
        </w:rPr>
        <w:instrText>ADDIN CSL_CITATION {"citationItems":[{"id":"ITEM-1","itemData":{"DOI":"10.1097/AJP.0000000000000065","ISBN":"0000000000000","ISSN":"15365409","PMID":"24366001","abstract":"Objective: Arthroscopic subacromial decompression may cause substantial postoperative pain. We undertook a randomized controlled trial to examine whether adding dexmedetomidine to the local anesthetic in an interscalene brachial plexus block and subsequent patient-controlled interscalene analgesia (PCIA) regime improved postoperative pain scores, patient satisfaction, rescue analgesic requirement, and local anesthetic consumption. Methods: A total of 48 patients aged between 18 and 65 years undergoing arthroscopic subacromial decompression were enrolled and randomized into 1 of the 2 groups. Group L (n=25) received levobupivacaine and epinephrine, whereas Group LD (n=23) received levobupivacaine, epinephrine, and dexmedetomidine through an interscalene catheter. Four hours after surgery, a PCIA regime was commenced. In Group L patients were administered levobupivacaine and in Group LD levobupivacaine and dexmedetomidine. Demographic and hemodynamic data, duration of motor and sensory blocks, pain VAS, side effects, PCIA demand and delivery values, consumption of lornoxicam as a rescue analgesic, and patient satisfaction were recorded for 24 hours after surgery. Results: PCIA demand and delivery, and pain VAS values were significantly lower, and patient satisfaction was significantly higher in the dexmedetomidine group (P=0.004, 0.001, 0.004, and 0.002, respectively). The side effect profile was similar between the groups. Levobupivacaine consumption was significantly lower in Group LD (P=0.009). In the first 24 postoperative hours, Group LD consumed significantly less lornoxicam (P=0.01). Discussion: Addition of dexmedetomidine to levobupivacaine for interscalene brachial plexus block decreases pain scores and increases patient satisfaction after arthroscopic subacromial decompression.","author":[{"dropping-particle":"","family":"Bengisun","given":"Züleyha K.","non-dropping-particle":"","parse-names":false,"suffix":""},{"dropping-particle":"","family":"Ekmekçi","given":"Perihan","non-dropping-particle":"","parse-names":false,"suffix":""},{"dropping-particle":"","family":"Akan","given":"Burak","non-dropping-particle":"","parse-names":false,"suffix":""},{"dropping-particle":"","family":"Köroʇlu","given":"Ayşegül","non-dropping-particle":"","parse-names":false,"suffix":""},{"dropping-particle":"","family":"Tüzüner","given":"Filiz","non-dropping-particle":"","parse-names":false,"suffix":""}],"container-title":"Clinical Journal of Pain","id":"ITEM-1","issue":"12","issued":{"date-parts":[["2014"]]},"page":"1057-1061","title":"The effect of adding dexmedetomidine to levobupivacaine for interscalene block for postoperative pain management after arthroscopic shoulder surgery","type":"article-journal","volume":"30"},"uris":["http://www.mendeley.com/documents/?uuid=804f7b94-294f-440a-977f-b8f415a29f46"]}],"mendeley":{"formattedCitation":"&lt;sup&gt;67&lt;/sup&gt;","plainTextFormattedCitation":"67","previouslyFormattedCitation":"&lt;sup&gt;67&lt;/sup&gt;"},"properties":{"noteIndex":0},"schema":"https://github.com/citation-style-language/schema/raw/master/csl-citation.json"}</w:instrText>
      </w:r>
      <w:r w:rsidRPr="00602263">
        <w:rPr>
          <w:color w:val="000000" w:themeColor="text1"/>
          <w:lang w:val="id-ID"/>
        </w:rPr>
        <w:fldChar w:fldCharType="separate"/>
      </w:r>
      <w:r w:rsidRPr="00602263">
        <w:rPr>
          <w:noProof/>
          <w:color w:val="000000" w:themeColor="text1"/>
          <w:vertAlign w:val="superscript"/>
          <w:lang w:val="id-ID" w:eastAsia="zh-CN"/>
        </w:rPr>
        <w:t>67</w:t>
      </w:r>
      <w:r w:rsidRPr="00602263">
        <w:rPr>
          <w:color w:val="000000" w:themeColor="text1"/>
          <w:lang w:val="id-ID"/>
        </w:rPr>
        <w:fldChar w:fldCharType="end"/>
      </w:r>
    </w:p>
    <w:p w14:paraId="34B4B0BF" w14:textId="76B89F59" w:rsidR="003B79BC" w:rsidRPr="00602263" w:rsidRDefault="00000000">
      <w:pPr>
        <w:spacing w:line="360" w:lineRule="auto"/>
        <w:ind w:left="567" w:hanging="567"/>
        <w:jc w:val="both"/>
        <w:rPr>
          <w:color w:val="000000" w:themeColor="text1"/>
        </w:rPr>
      </w:pPr>
      <w:r w:rsidRPr="00602263">
        <w:rPr>
          <w:color w:val="000000" w:themeColor="text1"/>
          <w:lang w:eastAsia="zh-CN"/>
        </w:rPr>
        <w:t>U</w:t>
      </w:r>
      <w:r w:rsidRPr="00602263">
        <w:rPr>
          <w:color w:val="000000" w:themeColor="text1"/>
          <w:vertAlign w:val="subscript"/>
          <w:lang w:eastAsia="zh-CN"/>
        </w:rPr>
        <w:t>1</w:t>
      </w:r>
      <w:r w:rsidRPr="00602263">
        <w:rPr>
          <w:color w:val="000000" w:themeColor="text1"/>
          <w:lang w:eastAsia="zh-CN"/>
        </w:rPr>
        <w:tab/>
        <w:t xml:space="preserve">= Mean rata-rata </w:t>
      </w:r>
      <w:r w:rsidRPr="00602263">
        <w:rPr>
          <w:color w:val="000000" w:themeColor="text1"/>
          <w:lang w:val="id-ID" w:eastAsia="zh-CN"/>
        </w:rPr>
        <w:t xml:space="preserve">jumlah </w:t>
      </w:r>
      <w:r w:rsidRPr="00602263">
        <w:rPr>
          <w:i/>
          <w:iCs/>
          <w:color w:val="000000" w:themeColor="text1"/>
          <w:lang w:val="id-ID" w:eastAsia="zh-CN"/>
        </w:rPr>
        <w:t>rescue opioid</w:t>
      </w:r>
      <w:r w:rsidRPr="00602263">
        <w:rPr>
          <w:color w:val="000000" w:themeColor="text1"/>
          <w:lang w:val="id-ID" w:eastAsia="zh-CN"/>
        </w:rPr>
        <w:t xml:space="preserve"> pada kelompok kontrol</w:t>
      </w:r>
      <w:r w:rsidRPr="00602263">
        <w:rPr>
          <w:color w:val="000000" w:themeColor="text1"/>
          <w:lang w:eastAsia="zh-CN"/>
        </w:rPr>
        <w:t xml:space="preserve"> = </w:t>
      </w:r>
      <w:r w:rsidRPr="00602263">
        <w:rPr>
          <w:color w:val="000000" w:themeColor="text1"/>
          <w:lang w:val="id-ID" w:eastAsia="zh-CN"/>
        </w:rPr>
        <w:t>20,2</w:t>
      </w:r>
      <w:r w:rsidRPr="00602263">
        <w:rPr>
          <w:color w:val="000000" w:themeColor="text1"/>
          <w:lang w:val="id-ID"/>
        </w:rPr>
        <w:fldChar w:fldCharType="begin" w:fldLock="1"/>
      </w:r>
      <w:r w:rsidR="003360E7">
        <w:rPr>
          <w:color w:val="000000" w:themeColor="text1"/>
          <w:lang w:val="id-ID" w:eastAsia="zh-CN"/>
        </w:rPr>
        <w:instrText>ADDIN CSL_CITATION {"citationItems":[{"id":"ITEM-1","itemData":{"DOI":"10.1097/AJP.0000000000000065","ISBN":"0000000000000","ISSN":"15365409","PMID":"24366001","abstract":"Objective: Arthroscopic subacromial decompression may cause substantial postoperative pain. We undertook a randomized controlled trial to examine whether adding dexmedetomidine to the local anesthetic in an interscalene brachial plexus block and subsequent patient-controlled interscalene analgesia (PCIA) regime improved postoperative pain scores, patient satisfaction, rescue analgesic requirement, and local anesthetic consumption. Methods: A total of 48 patients aged between 18 and 65 years undergoing arthroscopic subacromial decompression were enrolled and randomized into 1 of the 2 groups. Group L (n=25) received levobupivacaine and epinephrine, whereas Group LD (n=23) received levobupivacaine, epinephrine, and dexmedetomidine through an interscalene catheter. Four hours after surgery, a PCIA regime was commenced. In Group L patients were administered levobupivacaine and in Group LD levobupivacaine and dexmedetomidine. Demographic and hemodynamic data, duration of motor and sensory blocks, pain VAS, side effects, PCIA demand and delivery values, consumption of lornoxicam as a rescue analgesic, and patient satisfaction were recorded for 24 hours after surgery. Results: PCIA demand and delivery, and pain VAS values were significantly lower, and patient satisfaction was significantly higher in the dexmedetomidine group (P=0.004, 0.001, 0.004, and 0.002, respectively). The side effect profile was similar between the groups. Levobupivacaine consumption was significantly lower in Group LD (P=0.009). In the first 24 postoperative hours, Group LD consumed significantly less lornoxicam (P=0.01). Discussion: Addition of dexmedetomidine to levobupivacaine for interscalene brachial plexus block decreases pain scores and increases patient satisfaction after arthroscopic subacromial decompression.","author":[{"dropping-particle":"","family":"Bengisun","given":"Züleyha K.","non-dropping-particle":"","parse-names":false,"suffix":""},{"dropping-particle":"","family":"Ekmekçi","given":"Perihan","non-dropping-particle":"","parse-names":false,"suffix":""},{"dropping-particle":"","family":"Akan","given":"Burak","non-dropping-particle":"","parse-names":false,"suffix":""},{"dropping-particle":"","family":"Köroʇlu","given":"Ayşegül","non-dropping-particle":"","parse-names":false,"suffix":""},{"dropping-particle":"","family":"Tüzüner","given":"Filiz","non-dropping-particle":"","parse-names":false,"suffix":""}],"container-title":"Clinical Journal of Pain","id":"ITEM-1","issue":"12","issued":{"date-parts":[["2014"]]},"page":"1057-1061","title":"The effect of adding dexmedetomidine to levobupivacaine for interscalene block for postoperative pain management after arthroscopic shoulder surgery","type":"article-journal","volume":"30"},"u</w:instrText>
      </w:r>
      <w:r w:rsidR="003360E7">
        <w:rPr>
          <w:color w:val="000000" w:themeColor="text1"/>
          <w:lang w:val="id-ID"/>
        </w:rPr>
        <w:instrText>ris":["http://www.mendeley.com/documents/?uuid=804f7b94-294f-440a-977f-b8f415a29f46"]}],"mendeley":{"formattedCitation":"&lt;sup&gt;67&lt;/sup&gt;","plainTextFormattedCitation":"67","previouslyFormattedCitation":"&lt;sup&gt;67&lt;/sup&gt;"},"properties":{"noteIndex":0},"schema":"https://github.com/citation-style-language/schema/raw/master/csl-citation.json"}</w:instrText>
      </w:r>
      <w:r w:rsidRPr="00602263">
        <w:rPr>
          <w:color w:val="000000" w:themeColor="text1"/>
          <w:lang w:val="id-ID"/>
        </w:rPr>
        <w:fldChar w:fldCharType="separate"/>
      </w:r>
      <w:r w:rsidRPr="00602263">
        <w:rPr>
          <w:noProof/>
          <w:color w:val="000000" w:themeColor="text1"/>
          <w:vertAlign w:val="superscript"/>
          <w:lang w:val="id-ID"/>
        </w:rPr>
        <w:t>67</w:t>
      </w:r>
      <w:r w:rsidRPr="00602263">
        <w:rPr>
          <w:color w:val="000000" w:themeColor="text1"/>
          <w:lang w:val="id-ID"/>
        </w:rPr>
        <w:fldChar w:fldCharType="end"/>
      </w:r>
    </w:p>
    <w:p w14:paraId="12ED5FCA" w14:textId="5EE891B1" w:rsidR="003B79BC" w:rsidRPr="00602263" w:rsidRDefault="00602263">
      <w:pPr>
        <w:spacing w:line="360" w:lineRule="auto"/>
        <w:ind w:left="567" w:hanging="567"/>
        <w:jc w:val="both"/>
        <w:rPr>
          <w:color w:val="000000" w:themeColor="text1"/>
          <w:lang w:val="id-ID"/>
        </w:rPr>
      </w:pPr>
      <m:oMath>
        <m:r>
          <w:rPr>
            <w:rFonts w:ascii="Cambria Math" w:hAnsi="Cambria Math"/>
            <w:color w:val="000000" w:themeColor="text1"/>
          </w:rPr>
          <m:t>σ</m:t>
        </m:r>
      </m:oMath>
      <w:r w:rsidRPr="00602263">
        <w:rPr>
          <w:color w:val="000000" w:themeColor="text1"/>
        </w:rPr>
        <w:tab/>
        <w:t xml:space="preserve">= </w:t>
      </w:r>
      <w:r w:rsidRPr="00602263">
        <w:rPr>
          <w:color w:val="000000" w:themeColor="text1"/>
          <w:lang w:val="id-ID"/>
        </w:rPr>
        <w:t xml:space="preserve">perkiraan </w:t>
      </w:r>
      <w:r w:rsidRPr="00602263">
        <w:rPr>
          <w:color w:val="000000" w:themeColor="text1"/>
        </w:rPr>
        <w:t xml:space="preserve">standar deviasi = </w:t>
      </w:r>
      <w:r w:rsidRPr="00602263">
        <w:rPr>
          <w:color w:val="000000" w:themeColor="text1"/>
          <w:lang w:val="id-ID"/>
        </w:rPr>
        <w:t>11,8</w:t>
      </w:r>
      <w:r w:rsidRPr="00602263">
        <w:rPr>
          <w:color w:val="000000" w:themeColor="text1"/>
          <w:lang w:val="id-ID"/>
        </w:rPr>
        <w:fldChar w:fldCharType="begin" w:fldLock="1"/>
      </w:r>
      <w:r w:rsidR="003360E7">
        <w:rPr>
          <w:color w:val="000000" w:themeColor="text1"/>
          <w:lang w:val="id-ID"/>
        </w:rPr>
        <w:instrText>ADDIN CSL_CITATION {"citationItems":[{"id":"ITEM-1","itemData":{"DOI":"10.1097/AJP.0000000000000065","ISBN":"0000000000000","ISSN":"15365409","PMID":"24366001","abstract":"Objective: Arthroscopic subacromial decompression may cause substantial postoperative pain. We undertook a randomized controlled trial to examine whether adding dexmedetomidine to the local anesthetic in an interscalene brachial plexus block and subsequent patient-controlled interscalene analgesia (PCIA) regime improved postoperative pain scores, patient satisfaction, rescue analgesic requirement, and local anesthetic consumption. Methods: A total of 48 patients aged between 18 and 65 years undergoing arthroscopic subacromial decompression were enrolled and randomized into 1 of the 2 groups. Group L (n=25) received levobupivacaine and epinephrine, whereas Group LD (n=23) received levobupivacaine, epinephrine, and dexmedetomidine through an interscalene catheter. Four hours after surgery, a PCIA regime was commenced. In Group L patients were administered levobupivacaine and in Group LD levobupivacaine and dexmedetomidine. Demographic and hemodynamic data, duration of motor and sensory blocks, pain VAS, side effects, PCIA demand and delivery values, consumption of lornoxicam as a rescue analgesic, and patient satisfaction were recorded for 24 hours after surgery. Results: PCIA demand and delivery, and pain VAS values were significantly lower, and patient satisfaction was significantly higher in the dexmedetomidine group (P=0.004, 0.001, 0.004, and 0.002, respectively). The side effect profile was similar between the groups. Levobupivacaine consumption was significantly lower in Group LD (P=0.009). In the first 24 postoperative hours, Group LD consumed significantly less lornoxicam (P=0.01). Discussion: Addition of dexmedetomidine to levobupivacaine for interscalene brachial plexus block decreases pain scores and increases patient satisfaction after arthroscopic subacromial decompression.","author":[{"dropping-particle":"","family":"Bengisun","given":"Züleyha K.","non-dropping-particle":"","parse-names":false,"suffix":""},{"dropping-particle":"","family":"Ekmekçi","given":"Perihan","non-dropping-particle":"","parse-names":false,"suffix":""},{"dropping-particle":"","family":"Akan","given":"Burak","non-dropping-particle":"","parse-names":false,"suffix":""},{"dropping-particle":"","family":"Köroʇlu","given":"Ayşegül","non-dropping-particle":"","parse-names":false,"suffix":""},{"dropping-particle":"","family":"Tüzüner","given":"Filiz","non-dropping-particle":"","parse-names":false,"suffix":""}],"container-title":"Clinical Journal of Pain","id":"ITEM-1","issue":"12","issued":{"date-parts":[["2014"]]},"page":"1057-1061","title":"The effect of adding dexmedetomidine to levobupivacaine for interscalene block for postoperative pain management after arthroscopic shoulder surgery","type":"article-journal","volume":"30"},"uris":["http://www.mendeley.com/documents/?uuid=804f7b94-294f-440a-977f-b8f415a29f46"]}],"mendeley":{"formattedCitation":"&lt;sup&gt;67&lt;/sup&gt;","plainTextFormattedCitation":"67","previouslyFormattedCitation":"&lt;sup&gt;67&lt;/sup&gt;"},"properties":{"noteIndex":0},"schema":"https://github.com/citation-style-language/schema/raw/master/csl-citation.json"}</w:instrText>
      </w:r>
      <w:r w:rsidRPr="00602263">
        <w:rPr>
          <w:color w:val="000000" w:themeColor="text1"/>
          <w:lang w:val="id-ID"/>
        </w:rPr>
        <w:fldChar w:fldCharType="separate"/>
      </w:r>
      <w:r w:rsidRPr="00602263">
        <w:rPr>
          <w:noProof/>
          <w:color w:val="000000" w:themeColor="text1"/>
          <w:vertAlign w:val="superscript"/>
          <w:lang w:val="id-ID"/>
        </w:rPr>
        <w:t>67</w:t>
      </w:r>
      <w:r w:rsidRPr="00602263">
        <w:rPr>
          <w:color w:val="000000" w:themeColor="text1"/>
          <w:lang w:val="id-ID"/>
        </w:rPr>
        <w:fldChar w:fldCharType="end"/>
      </w:r>
    </w:p>
    <w:p w14:paraId="3780780A" w14:textId="77777777" w:rsidR="003B79BC" w:rsidRPr="00F426C1" w:rsidRDefault="00000000">
      <w:pPr>
        <w:spacing w:line="480" w:lineRule="auto"/>
        <w:jc w:val="both"/>
        <w:rPr>
          <w:color w:val="000000" w:themeColor="text1"/>
          <w:lang w:val="id-ID"/>
        </w:rPr>
      </w:pPr>
      <w:r w:rsidRPr="00602263">
        <w:rPr>
          <w:color w:val="000000" w:themeColor="text1"/>
        </w:rPr>
        <w:t>Sehingga nilai n pada penelitian ini adalah:</w:t>
      </w:r>
      <w:r w:rsidRPr="00F426C1">
        <w:rPr>
          <w:color w:val="000000" w:themeColor="text1"/>
          <w:lang w:val="id-ID"/>
        </w:rPr>
        <w:t xml:space="preserve"> </w:t>
      </w:r>
    </w:p>
    <w:p w14:paraId="5689DF30" w14:textId="1735314E" w:rsidR="003B79BC" w:rsidRPr="00602263" w:rsidRDefault="00602263">
      <w:pPr>
        <w:pStyle w:val="ListParagraph"/>
        <w:spacing w:line="480" w:lineRule="auto"/>
        <w:ind w:left="360"/>
        <w:jc w:val="center"/>
        <w:rPr>
          <w:rFonts w:eastAsiaTheme="minorEastAsia"/>
          <w:i/>
          <w:color w:val="000000" w:themeColor="text1"/>
        </w:rPr>
      </w:pPr>
      <w:bookmarkStart w:id="86" w:name="OLE_LINK2"/>
      <m:oMath>
        <m:r>
          <w:rPr>
            <w:rFonts w:ascii="Cambria Math" w:hAnsi="Cambria Math"/>
            <w:color w:val="000000" w:themeColor="text1"/>
          </w:rPr>
          <m:t xml:space="preserve">n= </m:t>
        </m:r>
        <m:f>
          <m:fPr>
            <m:ctrlPr>
              <w:rPr>
                <w:rFonts w:ascii="Cambria Math" w:hAnsi="Cambria Math"/>
                <w:i/>
                <w:color w:val="000000" w:themeColor="text1"/>
              </w:rPr>
            </m:ctrlPr>
          </m:fPr>
          <m:num>
            <m:r>
              <w:rPr>
                <w:rFonts w:ascii="Cambria Math" w:hAnsi="Cambria Math"/>
                <w:color w:val="000000" w:themeColor="text1"/>
              </w:rPr>
              <m:t>2</m:t>
            </m:r>
            <m:r>
              <w:rPr>
                <w:rFonts w:ascii="Cambria Math" w:eastAsiaTheme="minorEastAsia" w:hAnsi="Cambria Math"/>
                <w:color w:val="000000" w:themeColor="text1"/>
                <w:lang w:eastAsia="zh-CN"/>
              </w:rPr>
              <m:t>x</m:t>
            </m:r>
            <m:sSup>
              <m:sSupPr>
                <m:ctrlPr>
                  <w:rPr>
                    <w:rFonts w:ascii="Cambria Math" w:hAnsi="Cambria Math"/>
                    <w:i/>
                    <w:color w:val="000000" w:themeColor="text1"/>
                  </w:rPr>
                </m:ctrlPr>
              </m:sSupPr>
              <m:e>
                <m:r>
                  <w:rPr>
                    <w:rFonts w:ascii="Cambria Math" w:hAnsi="Cambria Math"/>
                    <w:color w:val="000000" w:themeColor="text1"/>
                  </w:rPr>
                  <m:t>(1,96+0,84)</m:t>
                </m:r>
              </m:e>
              <m:sup>
                <m:r>
                  <w:rPr>
                    <w:rFonts w:ascii="Cambria Math" w:hAnsi="Cambria Math"/>
                    <w:color w:val="000000" w:themeColor="text1"/>
                  </w:rPr>
                  <m:t>2</m:t>
                </m:r>
              </m:sup>
            </m:sSup>
            <m:sSup>
              <m:sSupPr>
                <m:ctrlPr>
                  <w:rPr>
                    <w:rFonts w:ascii="Cambria Math" w:hAnsi="Cambria Math"/>
                    <w:i/>
                    <w:color w:val="000000" w:themeColor="text1"/>
                  </w:rPr>
                </m:ctrlPr>
              </m:sSupPr>
              <m:e>
                <m:r>
                  <w:rPr>
                    <w:rFonts w:ascii="Cambria Math" w:hAnsi="Cambria Math"/>
                    <w:color w:val="000000" w:themeColor="text1"/>
                  </w:rPr>
                  <m:t>(1</m:t>
                </m:r>
                <m:r>
                  <w:rPr>
                    <w:rFonts w:ascii="Cambria Math" w:eastAsiaTheme="minorEastAsia" w:hAnsi="Cambria Math"/>
                    <w:color w:val="000000" w:themeColor="text1"/>
                    <w:lang w:eastAsia="zh-CN"/>
                  </w:rPr>
                  <m:t>1,8</m:t>
                </m:r>
                <m:r>
                  <w:rPr>
                    <w:rFonts w:ascii="Cambria Math" w:hAnsi="Cambria Math"/>
                    <w:color w:val="000000" w:themeColor="text1"/>
                  </w:rPr>
                  <m:t>)</m:t>
                </m:r>
              </m:e>
              <m:sup>
                <m:r>
                  <w:rPr>
                    <w:rFonts w:ascii="Cambria Math" w:hAnsi="Cambria Math"/>
                    <w:color w:val="000000" w:themeColor="text1"/>
                  </w:rPr>
                  <m:t>2</m:t>
                </m:r>
              </m:sup>
            </m:sSup>
          </m:num>
          <m:den>
            <m:sSup>
              <m:sSupPr>
                <m:ctrlPr>
                  <w:rPr>
                    <w:rFonts w:ascii="Cambria Math" w:hAnsi="Cambria Math"/>
                    <w:i/>
                    <w:color w:val="000000" w:themeColor="text1"/>
                  </w:rPr>
                </m:ctrlPr>
              </m:sSupPr>
              <m:e>
                <m:r>
                  <w:rPr>
                    <w:rFonts w:ascii="Cambria Math" w:hAnsi="Cambria Math"/>
                    <w:color w:val="000000" w:themeColor="text1"/>
                  </w:rPr>
                  <m:t>(2</m:t>
                </m:r>
                <m:r>
                  <w:rPr>
                    <w:rFonts w:ascii="Cambria Math" w:eastAsiaTheme="minorEastAsia" w:hAnsi="Cambria Math"/>
                    <w:color w:val="000000" w:themeColor="text1"/>
                    <w:lang w:eastAsia="zh-CN"/>
                  </w:rPr>
                  <m:t>0,2</m:t>
                </m:r>
                <m:r>
                  <w:rPr>
                    <w:rFonts w:ascii="Cambria Math" w:hAnsi="Cambria Math"/>
                    <w:color w:val="000000" w:themeColor="text1"/>
                  </w:rPr>
                  <m:t>-8</m:t>
                </m:r>
                <m:r>
                  <w:rPr>
                    <w:rFonts w:ascii="Cambria Math" w:eastAsiaTheme="minorEastAsia" w:hAnsi="Cambria Math"/>
                    <w:color w:val="000000" w:themeColor="text1"/>
                    <w:lang w:eastAsia="zh-CN"/>
                  </w:rPr>
                  <m:t>,0</m:t>
                </m:r>
                <m:r>
                  <w:rPr>
                    <w:rFonts w:ascii="Cambria Math" w:hAnsi="Cambria Math"/>
                    <w:color w:val="000000" w:themeColor="text1"/>
                  </w:rPr>
                  <m:t>)</m:t>
                </m:r>
              </m:e>
              <m:sup>
                <m:r>
                  <w:rPr>
                    <w:rFonts w:ascii="Cambria Math" w:hAnsi="Cambria Math"/>
                    <w:color w:val="000000" w:themeColor="text1"/>
                  </w:rPr>
                  <m:t>2</m:t>
                </m:r>
              </m:sup>
            </m:sSup>
          </m:den>
        </m:f>
        <m:r>
          <w:rPr>
            <w:rFonts w:ascii="Cambria Math" w:eastAsiaTheme="minorEastAsia" w:hAnsi="Cambria Math"/>
            <w:color w:val="000000" w:themeColor="text1"/>
          </w:rPr>
          <m:t>=14,67</m:t>
        </m:r>
        <m:r>
          <w:rPr>
            <w:rFonts w:ascii="Cambria Math" w:hAnsi="Cambria Math"/>
            <w:color w:val="000000" w:themeColor="text1"/>
          </w:rPr>
          <m:t xml:space="preserve"> </m:t>
        </m:r>
      </m:oMath>
      <w:bookmarkEnd w:id="86"/>
      <w:r w:rsidRPr="00602263">
        <w:rPr>
          <w:color w:val="000000" w:themeColor="text1"/>
        </w:rPr>
        <w:t xml:space="preserve">(dibulatkan menjadi </w:t>
      </w:r>
      <w:r w:rsidRPr="00602263">
        <w:rPr>
          <w:color w:val="000000" w:themeColor="text1"/>
          <w:lang w:val="id-ID"/>
        </w:rPr>
        <w:t>15</w:t>
      </w:r>
      <w:r w:rsidRPr="00602263">
        <w:rPr>
          <w:color w:val="000000" w:themeColor="text1"/>
        </w:rPr>
        <w:t>)</w:t>
      </w:r>
    </w:p>
    <w:p w14:paraId="02442030" w14:textId="77777777" w:rsidR="003B79BC" w:rsidRPr="00602263" w:rsidRDefault="00000000">
      <w:pPr>
        <w:pStyle w:val="Title"/>
        <w:spacing w:line="480" w:lineRule="auto"/>
        <w:jc w:val="both"/>
        <w:rPr>
          <w:b w:val="0"/>
          <w:bCs w:val="0"/>
          <w:color w:val="000000"/>
          <w:lang w:val="id-ID"/>
        </w:rPr>
      </w:pPr>
      <w:r w:rsidRPr="00602263">
        <w:rPr>
          <w:b w:val="0"/>
          <w:bCs w:val="0"/>
          <w:color w:val="000000" w:themeColor="text1"/>
          <w:lang w:val="id-ID"/>
        </w:rPr>
        <w:t>Berda</w:t>
      </w:r>
      <w:r w:rsidRPr="00602263">
        <w:rPr>
          <w:b w:val="0"/>
          <w:bCs w:val="0"/>
          <w:color w:val="000000"/>
          <w:lang w:val="id-ID"/>
        </w:rPr>
        <w:t>sarkan</w:t>
      </w:r>
      <w:r w:rsidRPr="00602263">
        <w:rPr>
          <w:b w:val="0"/>
          <w:bCs w:val="0"/>
          <w:color w:val="000000"/>
          <w:lang w:val="fr-FR"/>
        </w:rPr>
        <w:t xml:space="preserve"> </w:t>
      </w:r>
      <w:proofErr w:type="spellStart"/>
      <w:r w:rsidRPr="00602263">
        <w:rPr>
          <w:b w:val="0"/>
          <w:bCs w:val="0"/>
          <w:color w:val="000000"/>
          <w:lang w:val="fr-FR"/>
        </w:rPr>
        <w:t>rumus</w:t>
      </w:r>
      <w:proofErr w:type="spellEnd"/>
      <w:r w:rsidRPr="00602263">
        <w:rPr>
          <w:b w:val="0"/>
          <w:bCs w:val="0"/>
          <w:color w:val="000000"/>
          <w:lang w:val="fr-FR"/>
        </w:rPr>
        <w:t xml:space="preserve"> di </w:t>
      </w:r>
      <w:proofErr w:type="spellStart"/>
      <w:r w:rsidRPr="00602263">
        <w:rPr>
          <w:b w:val="0"/>
          <w:bCs w:val="0"/>
          <w:color w:val="000000"/>
          <w:lang w:val="fr-FR"/>
        </w:rPr>
        <w:t>atas</w:t>
      </w:r>
      <w:proofErr w:type="spellEnd"/>
      <w:r w:rsidRPr="00602263">
        <w:rPr>
          <w:b w:val="0"/>
          <w:bCs w:val="0"/>
          <w:color w:val="000000"/>
          <w:lang w:val="id-ID"/>
        </w:rPr>
        <w:t>,</w:t>
      </w:r>
      <w:r w:rsidRPr="00602263">
        <w:rPr>
          <w:b w:val="0"/>
          <w:bCs w:val="0"/>
          <w:color w:val="000000"/>
          <w:lang w:val="fr-FR"/>
        </w:rPr>
        <w:t xml:space="preserve"> </w:t>
      </w:r>
      <w:proofErr w:type="spellStart"/>
      <w:r w:rsidRPr="00602263">
        <w:rPr>
          <w:b w:val="0"/>
          <w:bCs w:val="0"/>
          <w:color w:val="000000"/>
          <w:lang w:val="fr-FR"/>
        </w:rPr>
        <w:t>didapatkan</w:t>
      </w:r>
      <w:proofErr w:type="spellEnd"/>
      <w:r w:rsidRPr="00602263">
        <w:rPr>
          <w:b w:val="0"/>
          <w:bCs w:val="0"/>
          <w:color w:val="000000"/>
          <w:lang w:val="fr-FR"/>
        </w:rPr>
        <w:t xml:space="preserve"> </w:t>
      </w:r>
      <w:proofErr w:type="spellStart"/>
      <w:r w:rsidRPr="00602263">
        <w:rPr>
          <w:b w:val="0"/>
          <w:bCs w:val="0"/>
          <w:color w:val="000000"/>
          <w:lang w:val="fr-FR"/>
        </w:rPr>
        <w:t>besar</w:t>
      </w:r>
      <w:proofErr w:type="spellEnd"/>
      <w:r w:rsidRPr="00602263">
        <w:rPr>
          <w:b w:val="0"/>
          <w:bCs w:val="0"/>
          <w:color w:val="000000"/>
          <w:lang w:val="fr-FR"/>
        </w:rPr>
        <w:t xml:space="preserve"> </w:t>
      </w:r>
      <w:proofErr w:type="spellStart"/>
      <w:r w:rsidRPr="00602263">
        <w:rPr>
          <w:b w:val="0"/>
          <w:bCs w:val="0"/>
          <w:color w:val="000000"/>
          <w:lang w:val="fr-FR"/>
        </w:rPr>
        <w:t>sampel</w:t>
      </w:r>
      <w:proofErr w:type="spellEnd"/>
      <w:r w:rsidRPr="00602263">
        <w:rPr>
          <w:b w:val="0"/>
          <w:bCs w:val="0"/>
          <w:color w:val="000000"/>
          <w:lang w:val="fr-FR"/>
        </w:rPr>
        <w:t xml:space="preserve"> </w:t>
      </w:r>
      <w:r w:rsidRPr="00602263">
        <w:rPr>
          <w:b w:val="0"/>
          <w:bCs w:val="0"/>
          <w:color w:val="000000"/>
          <w:lang w:val="id-ID"/>
        </w:rPr>
        <w:t xml:space="preserve">minimal tiap kelompok </w:t>
      </w:r>
      <w:proofErr w:type="spellStart"/>
      <w:r w:rsidRPr="00602263">
        <w:rPr>
          <w:b w:val="0"/>
          <w:bCs w:val="0"/>
          <w:color w:val="000000"/>
          <w:lang w:val="fr-FR"/>
        </w:rPr>
        <w:t>adalah</w:t>
      </w:r>
      <w:proofErr w:type="spellEnd"/>
      <w:r w:rsidRPr="00602263">
        <w:rPr>
          <w:b w:val="0"/>
          <w:bCs w:val="0"/>
          <w:color w:val="000000"/>
          <w:lang w:val="fr-FR"/>
        </w:rPr>
        <w:t xml:space="preserve"> </w:t>
      </w:r>
      <w:r w:rsidRPr="00602263">
        <w:rPr>
          <w:b w:val="0"/>
          <w:bCs w:val="0"/>
          <w:color w:val="000000"/>
          <w:lang w:val="id-ID"/>
        </w:rPr>
        <w:t>15.</w:t>
      </w:r>
    </w:p>
    <w:bookmarkEnd w:id="83"/>
    <w:p w14:paraId="0A938C8F" w14:textId="77777777" w:rsidR="003B79BC" w:rsidRDefault="003B79BC">
      <w:pPr>
        <w:pStyle w:val="Title"/>
        <w:spacing w:line="480" w:lineRule="auto"/>
        <w:jc w:val="both"/>
        <w:rPr>
          <w:b w:val="0"/>
          <w:color w:val="000000"/>
          <w:lang w:val="id-ID"/>
        </w:rPr>
      </w:pPr>
    </w:p>
    <w:p w14:paraId="5984097D" w14:textId="77777777" w:rsidR="003B79BC" w:rsidRDefault="00000000">
      <w:pPr>
        <w:pStyle w:val="Heading2"/>
        <w:numPr>
          <w:ilvl w:val="1"/>
          <w:numId w:val="13"/>
        </w:numPr>
        <w:spacing w:after="0"/>
        <w:ind w:left="567" w:hanging="567"/>
        <w:rPr>
          <w:rFonts w:cs="Times New Roman"/>
          <w:szCs w:val="24"/>
        </w:rPr>
      </w:pPr>
      <w:bookmarkStart w:id="87" w:name="_Toc97906485"/>
      <w:bookmarkStart w:id="88" w:name="_Toc158290277"/>
      <w:r>
        <w:rPr>
          <w:rFonts w:cs="Times New Roman"/>
          <w:szCs w:val="24"/>
        </w:rPr>
        <w:t>Kriteria Inklusi, Ekslusi Dan Drop Out</w:t>
      </w:r>
      <w:bookmarkEnd w:id="87"/>
      <w:bookmarkEnd w:id="88"/>
    </w:p>
    <w:p w14:paraId="396CF271" w14:textId="77777777" w:rsidR="003B79BC" w:rsidRDefault="00000000">
      <w:pPr>
        <w:pStyle w:val="Heading3"/>
        <w:spacing w:before="0" w:after="0" w:line="360" w:lineRule="auto"/>
        <w:rPr>
          <w:rFonts w:cs="Times New Roman"/>
        </w:rPr>
      </w:pPr>
      <w:bookmarkStart w:id="89" w:name="_Toc97906486"/>
      <w:bookmarkStart w:id="90" w:name="_Toc158290278"/>
      <w:r>
        <w:rPr>
          <w:rFonts w:cs="Times New Roman"/>
          <w:lang w:val="id-ID"/>
        </w:rPr>
        <w:t>5</w:t>
      </w:r>
      <w:r>
        <w:rPr>
          <w:rFonts w:cs="Times New Roman"/>
        </w:rPr>
        <w:t>.5.1 Kriteria Inklusi</w:t>
      </w:r>
      <w:bookmarkEnd w:id="89"/>
      <w:bookmarkEnd w:id="90"/>
    </w:p>
    <w:p w14:paraId="239DB524" w14:textId="77777777" w:rsidR="003B79BC" w:rsidRDefault="00000000">
      <w:pPr>
        <w:spacing w:line="360" w:lineRule="auto"/>
        <w:ind w:firstLine="567"/>
        <w:jc w:val="both"/>
      </w:pPr>
      <w:r>
        <w:t>Kriteria inklusi dalam penelitian ini adalah :</w:t>
      </w:r>
    </w:p>
    <w:p w14:paraId="743AE29E" w14:textId="77777777" w:rsidR="003B79BC" w:rsidRDefault="00000000">
      <w:pPr>
        <w:pStyle w:val="ListParagraph"/>
        <w:numPr>
          <w:ilvl w:val="0"/>
          <w:numId w:val="14"/>
        </w:numPr>
        <w:tabs>
          <w:tab w:val="left" w:pos="567"/>
        </w:tabs>
        <w:spacing w:line="360" w:lineRule="auto"/>
        <w:ind w:left="567" w:hanging="567"/>
        <w:contextualSpacing w:val="0"/>
        <w:jc w:val="both"/>
      </w:pPr>
      <w:r w:rsidRPr="00F426C1">
        <w:rPr>
          <w:lang w:val="id-ID" w:eastAsia="zh-CN"/>
        </w:rPr>
        <w:t xml:space="preserve">Pasien </w:t>
      </w:r>
      <w:r>
        <w:rPr>
          <w:lang w:val="id-ID" w:eastAsia="zh-CN"/>
        </w:rPr>
        <w:t>yang diindikasikan menjalani bedah tonsilektomi</w:t>
      </w:r>
      <w:r>
        <w:rPr>
          <w:lang w:val="id-ID"/>
        </w:rPr>
        <w:t>.</w:t>
      </w:r>
    </w:p>
    <w:p w14:paraId="1214BE9D" w14:textId="77777777" w:rsidR="003B79BC" w:rsidRDefault="00000000">
      <w:pPr>
        <w:pStyle w:val="ListParagraph"/>
        <w:numPr>
          <w:ilvl w:val="0"/>
          <w:numId w:val="14"/>
        </w:numPr>
        <w:tabs>
          <w:tab w:val="left" w:pos="567"/>
        </w:tabs>
        <w:spacing w:line="360" w:lineRule="auto"/>
        <w:ind w:left="567" w:hanging="567"/>
        <w:contextualSpacing w:val="0"/>
        <w:jc w:val="both"/>
      </w:pPr>
      <w:r>
        <w:t xml:space="preserve">Umur </w:t>
      </w:r>
      <w:r>
        <w:rPr>
          <w:lang w:val="id-ID"/>
        </w:rPr>
        <w:t>≥ 1</w:t>
      </w:r>
      <w:r w:rsidRPr="00F426C1">
        <w:rPr>
          <w:lang w:val="id-ID"/>
        </w:rPr>
        <w:t>5</w:t>
      </w:r>
      <w:r>
        <w:rPr>
          <w:lang w:val="id-ID"/>
        </w:rPr>
        <w:t xml:space="preserve"> </w:t>
      </w:r>
      <w:r>
        <w:t>tahun.</w:t>
      </w:r>
    </w:p>
    <w:p w14:paraId="40E14036" w14:textId="77777777" w:rsidR="003B79BC" w:rsidRDefault="00000000">
      <w:pPr>
        <w:pStyle w:val="ListParagraph"/>
        <w:numPr>
          <w:ilvl w:val="0"/>
          <w:numId w:val="14"/>
        </w:numPr>
        <w:tabs>
          <w:tab w:val="left" w:pos="567"/>
        </w:tabs>
        <w:spacing w:line="360" w:lineRule="auto"/>
        <w:ind w:left="567" w:hanging="567"/>
        <w:contextualSpacing w:val="0"/>
        <w:jc w:val="both"/>
      </w:pPr>
      <w:r>
        <w:rPr>
          <w:lang w:val="id-ID"/>
        </w:rPr>
        <w:t>Status gizi per umur dalam kategori normal.</w:t>
      </w:r>
    </w:p>
    <w:p w14:paraId="1C6933C8" w14:textId="77777777" w:rsidR="003B79BC" w:rsidRDefault="00000000">
      <w:pPr>
        <w:pStyle w:val="ListParagraph"/>
        <w:numPr>
          <w:ilvl w:val="0"/>
          <w:numId w:val="14"/>
        </w:numPr>
        <w:tabs>
          <w:tab w:val="left" w:pos="567"/>
        </w:tabs>
        <w:spacing w:line="360" w:lineRule="auto"/>
        <w:ind w:left="567" w:hanging="567"/>
        <w:contextualSpacing w:val="0"/>
        <w:jc w:val="both"/>
      </w:pPr>
      <w:r>
        <w:t>Status fisik</w:t>
      </w:r>
      <w:r w:rsidRPr="00F426C1">
        <w:rPr>
          <w:lang w:val="id-ID"/>
        </w:rPr>
        <w:t xml:space="preserve"> </w:t>
      </w:r>
      <w:r>
        <w:t xml:space="preserve">ASA </w:t>
      </w:r>
      <w:r w:rsidRPr="00F426C1">
        <w:rPr>
          <w:lang w:val="id-ID"/>
        </w:rPr>
        <w:t xml:space="preserve">I dan </w:t>
      </w:r>
      <w:r>
        <w:t>II.</w:t>
      </w:r>
    </w:p>
    <w:p w14:paraId="57C19559" w14:textId="7EDFA0F9" w:rsidR="003B79BC" w:rsidRPr="00034502" w:rsidRDefault="00034502" w:rsidP="00034502">
      <w:pPr>
        <w:pStyle w:val="ListParagraph"/>
        <w:numPr>
          <w:ilvl w:val="0"/>
          <w:numId w:val="14"/>
        </w:numPr>
        <w:tabs>
          <w:tab w:val="left" w:pos="567"/>
        </w:tabs>
        <w:spacing w:line="360" w:lineRule="auto"/>
        <w:ind w:left="567" w:hanging="567"/>
        <w:contextualSpacing w:val="0"/>
        <w:jc w:val="both"/>
      </w:pPr>
      <w:r w:rsidRPr="00F426C1">
        <w:rPr>
          <w:lang w:val="id-ID"/>
        </w:rPr>
        <w:t>Subjek s</w:t>
      </w:r>
      <w:r>
        <w:t>etuju ikut serta dalam penelitian</w:t>
      </w:r>
      <w:r w:rsidRPr="00F426C1">
        <w:rPr>
          <w:lang w:val="id-ID"/>
        </w:rPr>
        <w:t>.</w:t>
      </w:r>
    </w:p>
    <w:p w14:paraId="4B45F18C" w14:textId="4017755A" w:rsidR="00034502" w:rsidRPr="00034502" w:rsidRDefault="00034502" w:rsidP="00034502">
      <w:pPr>
        <w:pStyle w:val="ListParagraph"/>
        <w:numPr>
          <w:ilvl w:val="0"/>
          <w:numId w:val="14"/>
        </w:numPr>
        <w:tabs>
          <w:tab w:val="left" w:pos="567"/>
        </w:tabs>
        <w:spacing w:line="360" w:lineRule="auto"/>
        <w:ind w:left="567" w:hanging="567"/>
        <w:contextualSpacing w:val="0"/>
        <w:jc w:val="both"/>
      </w:pPr>
      <w:r w:rsidRPr="00F426C1">
        <w:rPr>
          <w:lang w:val="id-ID"/>
        </w:rPr>
        <w:t>Operator bedah THT setuju untuk mengikutsertakan subjek dalam penelitian.</w:t>
      </w:r>
    </w:p>
    <w:p w14:paraId="09DDC349" w14:textId="77777777" w:rsidR="00034502" w:rsidRDefault="00034502" w:rsidP="00034502">
      <w:pPr>
        <w:pStyle w:val="ListParagraph"/>
        <w:tabs>
          <w:tab w:val="left" w:pos="567"/>
        </w:tabs>
        <w:spacing w:line="360" w:lineRule="auto"/>
        <w:ind w:left="567"/>
        <w:contextualSpacing w:val="0"/>
        <w:jc w:val="both"/>
      </w:pPr>
    </w:p>
    <w:p w14:paraId="388B512C" w14:textId="77777777" w:rsidR="003B79BC" w:rsidRDefault="00000000">
      <w:pPr>
        <w:pStyle w:val="Heading3"/>
        <w:spacing w:before="0" w:after="0" w:line="360" w:lineRule="auto"/>
        <w:rPr>
          <w:rFonts w:cs="Times New Roman"/>
        </w:rPr>
      </w:pPr>
      <w:bookmarkStart w:id="91" w:name="_Toc97906487"/>
      <w:bookmarkStart w:id="92" w:name="_Toc158290279"/>
      <w:r>
        <w:rPr>
          <w:rFonts w:cs="Times New Roman"/>
          <w:lang w:val="id-ID"/>
        </w:rPr>
        <w:t>5</w:t>
      </w:r>
      <w:r>
        <w:rPr>
          <w:rFonts w:cs="Times New Roman"/>
        </w:rPr>
        <w:t>.5.2 Kriteria Eksklusi</w:t>
      </w:r>
      <w:bookmarkEnd w:id="91"/>
      <w:bookmarkEnd w:id="92"/>
    </w:p>
    <w:p w14:paraId="53B5D6A8" w14:textId="77777777" w:rsidR="003B79BC" w:rsidRDefault="00000000">
      <w:pPr>
        <w:spacing w:line="360" w:lineRule="auto"/>
        <w:ind w:firstLine="567"/>
        <w:jc w:val="both"/>
      </w:pPr>
      <w:r>
        <w:t>Kriteria eksklusi dalam penelitian ini adalah :</w:t>
      </w:r>
    </w:p>
    <w:p w14:paraId="01F8C46D" w14:textId="77777777" w:rsidR="003B79BC" w:rsidRDefault="00000000">
      <w:pPr>
        <w:pStyle w:val="ListParagraph"/>
        <w:numPr>
          <w:ilvl w:val="0"/>
          <w:numId w:val="15"/>
        </w:numPr>
        <w:tabs>
          <w:tab w:val="left" w:pos="567"/>
        </w:tabs>
        <w:spacing w:line="360" w:lineRule="auto"/>
        <w:ind w:left="567" w:hanging="567"/>
        <w:contextualSpacing w:val="0"/>
        <w:jc w:val="both"/>
        <w:rPr>
          <w:rStyle w:val="rynqvb"/>
        </w:rPr>
      </w:pPr>
      <w:r>
        <w:rPr>
          <w:rStyle w:val="rynqvb"/>
          <w:lang w:val="id-ID"/>
        </w:rPr>
        <w:t>Pasien dengan pembesaran abses peritonsil</w:t>
      </w:r>
      <w:r w:rsidRPr="00F426C1">
        <w:rPr>
          <w:rStyle w:val="rynqvb"/>
          <w:lang w:val="id-ID"/>
        </w:rPr>
        <w:t>e</w:t>
      </w:r>
      <w:r>
        <w:rPr>
          <w:rStyle w:val="rynqvb"/>
          <w:lang w:val="id-ID"/>
        </w:rPr>
        <w:t>r.</w:t>
      </w:r>
    </w:p>
    <w:p w14:paraId="3F943176" w14:textId="77777777" w:rsidR="003B79BC" w:rsidRDefault="00000000">
      <w:pPr>
        <w:pStyle w:val="ListParagraph"/>
        <w:numPr>
          <w:ilvl w:val="0"/>
          <w:numId w:val="15"/>
        </w:numPr>
        <w:tabs>
          <w:tab w:val="left" w:pos="567"/>
        </w:tabs>
        <w:spacing w:line="360" w:lineRule="auto"/>
        <w:ind w:left="567" w:hanging="567"/>
        <w:contextualSpacing w:val="0"/>
        <w:jc w:val="both"/>
        <w:rPr>
          <w:rStyle w:val="rynqvb"/>
        </w:rPr>
      </w:pPr>
      <w:r>
        <w:rPr>
          <w:rStyle w:val="rynqvb"/>
          <w:lang w:val="id-ID"/>
        </w:rPr>
        <w:t>Pasien dengan penyakit kardiovaskular, pernapasan, hati atau ginjal.</w:t>
      </w:r>
    </w:p>
    <w:p w14:paraId="333A47A0" w14:textId="77777777" w:rsidR="003B79BC" w:rsidRDefault="00000000">
      <w:pPr>
        <w:pStyle w:val="ListParagraph"/>
        <w:numPr>
          <w:ilvl w:val="0"/>
          <w:numId w:val="15"/>
        </w:numPr>
        <w:tabs>
          <w:tab w:val="left" w:pos="567"/>
        </w:tabs>
        <w:spacing w:line="360" w:lineRule="auto"/>
        <w:ind w:left="567" w:hanging="567"/>
        <w:contextualSpacing w:val="0"/>
        <w:jc w:val="both"/>
        <w:rPr>
          <w:rStyle w:val="rynqvb"/>
        </w:rPr>
      </w:pPr>
      <w:r>
        <w:rPr>
          <w:rStyle w:val="rynqvb"/>
          <w:lang w:val="id-ID"/>
        </w:rPr>
        <w:lastRenderedPageBreak/>
        <w:t>Pasien dengan riwayat alergi terhadap anestesi lokal atau agonis adrenergik α-2.</w:t>
      </w:r>
    </w:p>
    <w:p w14:paraId="5DDA81BE" w14:textId="77777777" w:rsidR="003B79BC" w:rsidRDefault="00000000">
      <w:pPr>
        <w:pStyle w:val="ListParagraph"/>
        <w:numPr>
          <w:ilvl w:val="0"/>
          <w:numId w:val="15"/>
        </w:numPr>
        <w:tabs>
          <w:tab w:val="left" w:pos="567"/>
        </w:tabs>
        <w:spacing w:line="360" w:lineRule="auto"/>
        <w:ind w:left="567" w:hanging="567"/>
        <w:contextualSpacing w:val="0"/>
        <w:jc w:val="both"/>
        <w:rPr>
          <w:lang w:eastAsia="zh-CN"/>
        </w:rPr>
      </w:pPr>
      <w:r>
        <w:rPr>
          <w:rStyle w:val="rynqvb"/>
          <w:lang w:val="id-ID" w:eastAsia="zh-CN"/>
        </w:rPr>
        <w:t>Pasien dengan gangguan jumlah trombosit, waktu perdarahan atau pembekuan.</w:t>
      </w:r>
    </w:p>
    <w:p w14:paraId="5BDB6673" w14:textId="77777777" w:rsidR="003B79BC" w:rsidRDefault="003B79BC">
      <w:pPr>
        <w:pStyle w:val="ListParagraph"/>
        <w:spacing w:line="360" w:lineRule="auto"/>
        <w:contextualSpacing w:val="0"/>
        <w:jc w:val="both"/>
        <w:rPr>
          <w:lang w:eastAsia="zh-CN"/>
        </w:rPr>
      </w:pPr>
    </w:p>
    <w:p w14:paraId="0AF61F59" w14:textId="77777777" w:rsidR="003B79BC" w:rsidRDefault="00000000">
      <w:pPr>
        <w:pStyle w:val="Heading2"/>
        <w:numPr>
          <w:ilvl w:val="1"/>
          <w:numId w:val="13"/>
        </w:numPr>
        <w:spacing w:after="0"/>
        <w:ind w:left="567" w:hanging="567"/>
        <w:rPr>
          <w:rFonts w:cs="Times New Roman"/>
          <w:szCs w:val="24"/>
        </w:rPr>
      </w:pPr>
      <w:bookmarkStart w:id="93" w:name="_Toc97906488"/>
      <w:bookmarkStart w:id="94" w:name="_Toc158290280"/>
      <w:r>
        <w:rPr>
          <w:rFonts w:cs="Times New Roman"/>
          <w:szCs w:val="24"/>
        </w:rPr>
        <w:t>Kriteria Drop Out</w:t>
      </w:r>
      <w:bookmarkEnd w:id="93"/>
      <w:bookmarkEnd w:id="94"/>
    </w:p>
    <w:p w14:paraId="1F1D5D72" w14:textId="77777777" w:rsidR="003B79BC" w:rsidRDefault="00000000">
      <w:pPr>
        <w:spacing w:line="360" w:lineRule="auto"/>
        <w:ind w:firstLine="567"/>
        <w:jc w:val="both"/>
      </w:pPr>
      <w:r>
        <w:t>Kriteria drop out dalam penelitian ini adalah :</w:t>
      </w:r>
    </w:p>
    <w:p w14:paraId="44969629" w14:textId="7EDE67ED" w:rsidR="003B79BC" w:rsidRDefault="00000000">
      <w:pPr>
        <w:pStyle w:val="ListParagraph"/>
        <w:numPr>
          <w:ilvl w:val="0"/>
          <w:numId w:val="16"/>
        </w:numPr>
        <w:tabs>
          <w:tab w:val="left" w:pos="567"/>
        </w:tabs>
        <w:spacing w:line="360" w:lineRule="auto"/>
        <w:ind w:left="567" w:hanging="567"/>
        <w:contextualSpacing w:val="0"/>
        <w:jc w:val="both"/>
      </w:pPr>
      <w:bookmarkStart w:id="95" w:name="_Hlk152705080"/>
      <w:r>
        <w:rPr>
          <w:lang w:val="id-ID"/>
        </w:rPr>
        <w:t xml:space="preserve">Pasien yang mengalami </w:t>
      </w:r>
      <w:r w:rsidR="005F760D" w:rsidRPr="00F426C1">
        <w:rPr>
          <w:lang w:val="id-ID"/>
        </w:rPr>
        <w:t>penyulit,</w:t>
      </w:r>
      <w:r>
        <w:rPr>
          <w:lang w:val="id-ID"/>
        </w:rPr>
        <w:t xml:space="preserve"> </w:t>
      </w:r>
      <w:r w:rsidR="005F760D" w:rsidRPr="00F426C1">
        <w:rPr>
          <w:lang w:val="id-ID"/>
        </w:rPr>
        <w:t xml:space="preserve">perdarahan intraoperasi, dan komplikasi </w:t>
      </w:r>
      <w:r>
        <w:rPr>
          <w:lang w:val="id-ID"/>
        </w:rPr>
        <w:t>selama penelitian</w:t>
      </w:r>
      <w:r w:rsidR="005F760D" w:rsidRPr="00F426C1">
        <w:rPr>
          <w:lang w:val="id-ID"/>
        </w:rPr>
        <w:t>.</w:t>
      </w:r>
    </w:p>
    <w:p w14:paraId="600B8220" w14:textId="77777777" w:rsidR="003B79BC" w:rsidRDefault="00000000">
      <w:pPr>
        <w:pStyle w:val="ListParagraph"/>
        <w:numPr>
          <w:ilvl w:val="0"/>
          <w:numId w:val="16"/>
        </w:numPr>
        <w:tabs>
          <w:tab w:val="left" w:pos="567"/>
        </w:tabs>
        <w:spacing w:line="360" w:lineRule="auto"/>
        <w:ind w:left="567" w:hanging="567"/>
        <w:contextualSpacing w:val="0"/>
        <w:jc w:val="both"/>
      </w:pPr>
      <w:bookmarkStart w:id="96" w:name="_Hlk152705146"/>
      <w:bookmarkEnd w:id="95"/>
      <w:r>
        <w:t>Pasien mengundurkan diri dari penelitian.</w:t>
      </w:r>
    </w:p>
    <w:bookmarkEnd w:id="96"/>
    <w:p w14:paraId="348C00A9" w14:textId="77777777" w:rsidR="003B79BC" w:rsidRDefault="003B79BC">
      <w:pPr>
        <w:spacing w:line="360" w:lineRule="auto"/>
        <w:ind w:left="360"/>
        <w:jc w:val="both"/>
      </w:pPr>
    </w:p>
    <w:p w14:paraId="7A02109C" w14:textId="77777777" w:rsidR="003B79BC" w:rsidRDefault="00000000">
      <w:pPr>
        <w:pStyle w:val="Heading2"/>
        <w:numPr>
          <w:ilvl w:val="1"/>
          <w:numId w:val="13"/>
        </w:numPr>
        <w:spacing w:after="0"/>
        <w:ind w:left="567" w:hanging="567"/>
        <w:rPr>
          <w:rFonts w:cs="Times New Roman"/>
          <w:szCs w:val="24"/>
        </w:rPr>
      </w:pPr>
      <w:bookmarkStart w:id="97" w:name="_Toc97906489"/>
      <w:bookmarkStart w:id="98" w:name="_Toc158290281"/>
      <w:r>
        <w:rPr>
          <w:rFonts w:cs="Times New Roman"/>
          <w:szCs w:val="24"/>
        </w:rPr>
        <w:t xml:space="preserve">Ijin Penelitian </w:t>
      </w:r>
      <w:r>
        <w:rPr>
          <w:rFonts w:cs="Times New Roman"/>
          <w:szCs w:val="24"/>
          <w:lang w:val="id-ID"/>
        </w:rPr>
        <w:t>d</w:t>
      </w:r>
      <w:r>
        <w:rPr>
          <w:rFonts w:cs="Times New Roman"/>
          <w:szCs w:val="24"/>
        </w:rPr>
        <w:t>an Kelaikan Etik</w:t>
      </w:r>
      <w:bookmarkEnd w:id="97"/>
      <w:bookmarkEnd w:id="98"/>
    </w:p>
    <w:p w14:paraId="3C4419DF" w14:textId="77777777" w:rsidR="003B79BC" w:rsidRDefault="00000000">
      <w:pPr>
        <w:spacing w:line="360" w:lineRule="auto"/>
        <w:ind w:firstLine="567"/>
        <w:jc w:val="both"/>
        <w:rPr>
          <w:lang w:eastAsia="zh-CN"/>
        </w:rPr>
      </w:pPr>
      <w:r>
        <w:rPr>
          <w:lang w:val="id-ID" w:eastAsia="zh-CN"/>
        </w:rPr>
        <w:t>Sebelum penelitian dilakukan, p</w:t>
      </w:r>
      <w:r>
        <w:rPr>
          <w:lang w:eastAsia="zh-CN"/>
        </w:rPr>
        <w:t>eneliti</w:t>
      </w:r>
      <w:r>
        <w:rPr>
          <w:lang w:val="id-ID" w:eastAsia="zh-CN"/>
        </w:rPr>
        <w:t xml:space="preserve"> </w:t>
      </w:r>
      <w:r>
        <w:rPr>
          <w:lang w:eastAsia="zh-CN"/>
        </w:rPr>
        <w:t>meminta keterangan kelaikan etik (</w:t>
      </w:r>
      <w:r>
        <w:rPr>
          <w:i/>
          <w:lang w:eastAsia="zh-CN"/>
        </w:rPr>
        <w:t>ethical clearance</w:t>
      </w:r>
      <w:r>
        <w:rPr>
          <w:lang w:eastAsia="zh-CN"/>
        </w:rPr>
        <w:t>) dari Komisi Etik Penelitian Biomedis pada manusia Fakultas Kedokteran Universitas Hasanuddin dan Bagian Pendidikan dan Penelitian RS jejaring</w:t>
      </w:r>
      <w:r>
        <w:rPr>
          <w:lang w:val="id-ID" w:eastAsia="zh-CN"/>
        </w:rPr>
        <w:t xml:space="preserve"> sebelum dilakukan penelitian</w:t>
      </w:r>
      <w:r>
        <w:rPr>
          <w:lang w:eastAsia="zh-CN"/>
        </w:rPr>
        <w:t xml:space="preserve">. </w:t>
      </w:r>
      <w:r>
        <w:t>Semua pasien yang memenuhi kriteria inklusi diberi penjelasan secara lisan dan menandatangani lembar persetujuan untuk ikut dalam penelitian secara sukarela.</w:t>
      </w:r>
    </w:p>
    <w:p w14:paraId="1BA15AC1" w14:textId="77777777" w:rsidR="003B79BC" w:rsidRDefault="003B79BC">
      <w:pPr>
        <w:spacing w:line="360" w:lineRule="auto"/>
        <w:ind w:firstLine="567"/>
        <w:jc w:val="both"/>
        <w:rPr>
          <w:lang w:eastAsia="zh-CN"/>
        </w:rPr>
      </w:pPr>
    </w:p>
    <w:p w14:paraId="18235051" w14:textId="77777777" w:rsidR="003B79BC" w:rsidRDefault="00000000">
      <w:pPr>
        <w:pStyle w:val="Heading2"/>
        <w:numPr>
          <w:ilvl w:val="1"/>
          <w:numId w:val="13"/>
        </w:numPr>
        <w:spacing w:after="0"/>
        <w:ind w:left="567" w:hanging="567"/>
        <w:rPr>
          <w:rFonts w:cs="Times New Roman"/>
          <w:szCs w:val="24"/>
        </w:rPr>
      </w:pPr>
      <w:bookmarkStart w:id="99" w:name="_Toc97906490"/>
      <w:bookmarkStart w:id="100" w:name="_Toc158290282"/>
      <w:r>
        <w:rPr>
          <w:rFonts w:cs="Times New Roman"/>
          <w:szCs w:val="24"/>
        </w:rPr>
        <w:t>Metode Kerja</w:t>
      </w:r>
      <w:bookmarkEnd w:id="99"/>
      <w:bookmarkEnd w:id="100"/>
    </w:p>
    <w:p w14:paraId="1DCD01BA" w14:textId="77777777" w:rsidR="003B79BC" w:rsidRDefault="00000000">
      <w:pPr>
        <w:pStyle w:val="Heading3"/>
        <w:spacing w:before="0" w:after="0" w:line="360" w:lineRule="auto"/>
        <w:rPr>
          <w:rFonts w:cs="Times New Roman"/>
        </w:rPr>
      </w:pPr>
      <w:bookmarkStart w:id="101" w:name="_Toc97906491"/>
      <w:bookmarkStart w:id="102" w:name="_Toc158290283"/>
      <w:r>
        <w:rPr>
          <w:rFonts w:cs="Times New Roman"/>
          <w:lang w:val="id-ID"/>
        </w:rPr>
        <w:t>5</w:t>
      </w:r>
      <w:r>
        <w:rPr>
          <w:rFonts w:cs="Times New Roman"/>
        </w:rPr>
        <w:t>.8.1 Alokasi sampel</w:t>
      </w:r>
      <w:bookmarkEnd w:id="101"/>
      <w:bookmarkEnd w:id="102"/>
    </w:p>
    <w:p w14:paraId="5CC80F4A" w14:textId="77777777" w:rsidR="003B79BC" w:rsidRDefault="00000000">
      <w:pPr>
        <w:spacing w:line="360" w:lineRule="auto"/>
        <w:ind w:firstLine="567"/>
        <w:jc w:val="both"/>
      </w:pPr>
      <w:r>
        <w:t>Alokasi sampel penelitian terdiri dari :</w:t>
      </w:r>
    </w:p>
    <w:p w14:paraId="01FF781B" w14:textId="0DB24C7D" w:rsidR="003B79BC" w:rsidRDefault="00000000">
      <w:pPr>
        <w:pStyle w:val="ListParagraph"/>
        <w:numPr>
          <w:ilvl w:val="0"/>
          <w:numId w:val="17"/>
        </w:numPr>
        <w:tabs>
          <w:tab w:val="left" w:pos="567"/>
        </w:tabs>
        <w:spacing w:line="360" w:lineRule="auto"/>
        <w:ind w:left="567" w:hanging="567"/>
        <w:contextualSpacing w:val="0"/>
        <w:jc w:val="both"/>
        <w:rPr>
          <w:lang w:eastAsia="zh-CN"/>
        </w:rPr>
      </w:pPr>
      <w:r>
        <w:rPr>
          <w:lang w:eastAsia="zh-CN"/>
        </w:rPr>
        <w:t xml:space="preserve">Kelompok intervensi </w:t>
      </w:r>
      <w:r>
        <w:rPr>
          <w:lang w:val="id-ID" w:eastAsia="zh-CN"/>
        </w:rPr>
        <w:t xml:space="preserve">(I) </w:t>
      </w:r>
      <w:r>
        <w:rPr>
          <w:lang w:eastAsia="zh-CN"/>
        </w:rPr>
        <w:t xml:space="preserve">yaitu kelompok yang mendapatkan </w:t>
      </w:r>
      <w:r>
        <w:rPr>
          <w:lang w:val="id-ID" w:eastAsia="zh-CN"/>
        </w:rPr>
        <w:t>levo</w:t>
      </w:r>
      <w:r>
        <w:rPr>
          <w:lang w:eastAsia="zh-CN"/>
        </w:rPr>
        <w:t xml:space="preserve">bupivacaine isobarik infiltrasi </w:t>
      </w:r>
      <w:proofErr w:type="spellStart"/>
      <w:r>
        <w:rPr>
          <w:lang w:val="en-US" w:eastAsia="zh-CN"/>
        </w:rPr>
        <w:t>pascabedah</w:t>
      </w:r>
      <w:proofErr w:type="spellEnd"/>
      <w:r>
        <w:rPr>
          <w:color w:val="000000" w:themeColor="text1"/>
          <w:lang w:val="id-ID" w:eastAsia="zh-CN"/>
        </w:rPr>
        <w:t>.</w:t>
      </w:r>
    </w:p>
    <w:p w14:paraId="40AF5EB4" w14:textId="0C2D11B5" w:rsidR="003B79BC" w:rsidRDefault="00000000">
      <w:pPr>
        <w:pStyle w:val="ListParagraph"/>
        <w:numPr>
          <w:ilvl w:val="0"/>
          <w:numId w:val="17"/>
        </w:numPr>
        <w:tabs>
          <w:tab w:val="left" w:pos="567"/>
        </w:tabs>
        <w:spacing w:line="360" w:lineRule="auto"/>
        <w:ind w:left="567" w:hanging="567"/>
        <w:contextualSpacing w:val="0"/>
        <w:jc w:val="both"/>
        <w:rPr>
          <w:lang w:eastAsia="zh-CN"/>
        </w:rPr>
      </w:pPr>
      <w:r>
        <w:rPr>
          <w:lang w:eastAsia="zh-CN"/>
        </w:rPr>
        <w:t xml:space="preserve">Kelompok kontrol </w:t>
      </w:r>
      <w:r>
        <w:rPr>
          <w:lang w:val="id-ID" w:eastAsia="zh-CN"/>
        </w:rPr>
        <w:t xml:space="preserve">(K) </w:t>
      </w:r>
      <w:r>
        <w:rPr>
          <w:lang w:eastAsia="zh-CN"/>
        </w:rPr>
        <w:t>yaitu kelompok yang</w:t>
      </w:r>
      <w:r>
        <w:rPr>
          <w:lang w:val="en-US" w:eastAsia="zh-CN"/>
        </w:rPr>
        <w:t xml:space="preserve"> </w:t>
      </w:r>
      <w:r>
        <w:rPr>
          <w:lang w:val="id-ID" w:eastAsia="zh-CN"/>
        </w:rPr>
        <w:t>tidak mendapatkan</w:t>
      </w:r>
      <w:r>
        <w:rPr>
          <w:lang w:eastAsia="zh-CN"/>
        </w:rPr>
        <w:t xml:space="preserve"> </w:t>
      </w:r>
      <w:r>
        <w:rPr>
          <w:lang w:val="id-ID" w:eastAsia="zh-CN"/>
        </w:rPr>
        <w:t>levo</w:t>
      </w:r>
      <w:r>
        <w:rPr>
          <w:lang w:eastAsia="zh-CN"/>
        </w:rPr>
        <w:t xml:space="preserve">bupivacaine isobarik infiltrasi </w:t>
      </w:r>
      <w:proofErr w:type="spellStart"/>
      <w:r>
        <w:rPr>
          <w:lang w:val="en-US" w:eastAsia="zh-CN"/>
        </w:rPr>
        <w:t>pascabedah</w:t>
      </w:r>
      <w:proofErr w:type="spellEnd"/>
      <w:r>
        <w:rPr>
          <w:color w:val="000000" w:themeColor="text1"/>
          <w:lang w:val="id-ID" w:eastAsia="zh-CN"/>
        </w:rPr>
        <w:t>.</w:t>
      </w:r>
      <w:r>
        <w:rPr>
          <w:lang w:eastAsia="zh-CN"/>
        </w:rPr>
        <w:t xml:space="preserve"> </w:t>
      </w:r>
    </w:p>
    <w:p w14:paraId="22D0F064" w14:textId="77777777" w:rsidR="003B79BC" w:rsidRDefault="003B79BC">
      <w:pPr>
        <w:tabs>
          <w:tab w:val="left" w:pos="567"/>
        </w:tabs>
        <w:spacing w:line="360" w:lineRule="auto"/>
        <w:jc w:val="both"/>
        <w:rPr>
          <w:lang w:eastAsia="zh-CN"/>
        </w:rPr>
      </w:pPr>
    </w:p>
    <w:p w14:paraId="44A3045E" w14:textId="77777777" w:rsidR="003B79BC" w:rsidRDefault="00000000">
      <w:pPr>
        <w:pStyle w:val="Heading3"/>
        <w:numPr>
          <w:ilvl w:val="2"/>
          <w:numId w:val="18"/>
        </w:numPr>
        <w:spacing w:before="0" w:after="0" w:line="360" w:lineRule="auto"/>
        <w:rPr>
          <w:rFonts w:cs="Times New Roman"/>
          <w:lang w:eastAsia="zh-CN"/>
        </w:rPr>
      </w:pPr>
      <w:bookmarkStart w:id="103" w:name="_Toc97906492"/>
      <w:bookmarkStart w:id="104" w:name="_Toc158290284"/>
      <w:r>
        <w:rPr>
          <w:rFonts w:cs="Times New Roman"/>
        </w:rPr>
        <w:t>Cara kerja</w:t>
      </w:r>
      <w:bookmarkStart w:id="105" w:name="_Toc97906493"/>
      <w:bookmarkEnd w:id="103"/>
      <w:bookmarkEnd w:id="104"/>
    </w:p>
    <w:p w14:paraId="3CEB7466" w14:textId="77777777" w:rsidR="003B79BC" w:rsidRDefault="00000000">
      <w:pPr>
        <w:pStyle w:val="ListParagraph"/>
        <w:numPr>
          <w:ilvl w:val="0"/>
          <w:numId w:val="19"/>
        </w:numPr>
        <w:spacing w:line="360" w:lineRule="auto"/>
        <w:contextualSpacing w:val="0"/>
        <w:jc w:val="both"/>
        <w:rPr>
          <w:color w:val="000000" w:themeColor="text1"/>
          <w:lang w:eastAsia="zh-CN"/>
        </w:rPr>
      </w:pPr>
      <w:bookmarkStart w:id="106" w:name="_Hlk152707152"/>
      <w:r>
        <w:rPr>
          <w:color w:val="000000" w:themeColor="text1"/>
          <w:lang w:val="id-ID" w:eastAsia="zh-CN"/>
        </w:rPr>
        <w:t xml:space="preserve">Mengumpulkan pasien yang memenuhi kriteria inklusi yang kemudian diberi penjelasan tentang tujuan penelitian, selanjutnya dilakukan penandatangan </w:t>
      </w:r>
      <w:r>
        <w:rPr>
          <w:i/>
          <w:iCs/>
          <w:color w:val="000000" w:themeColor="text1"/>
          <w:lang w:val="id-ID" w:eastAsia="zh-CN"/>
        </w:rPr>
        <w:t>informed consent</w:t>
      </w:r>
      <w:r>
        <w:rPr>
          <w:color w:val="000000" w:themeColor="text1"/>
          <w:lang w:val="id-ID" w:eastAsia="zh-CN"/>
        </w:rPr>
        <w:t xml:space="preserve"> bagi yang mau mengikuti penelitian.</w:t>
      </w:r>
    </w:p>
    <w:p w14:paraId="2FDD3643" w14:textId="77777777" w:rsidR="003B79BC" w:rsidRDefault="00000000">
      <w:pPr>
        <w:pStyle w:val="ListParagraph"/>
        <w:numPr>
          <w:ilvl w:val="0"/>
          <w:numId w:val="19"/>
        </w:numPr>
        <w:spacing w:line="360" w:lineRule="auto"/>
        <w:contextualSpacing w:val="0"/>
        <w:jc w:val="both"/>
        <w:rPr>
          <w:color w:val="000000" w:themeColor="text1"/>
        </w:rPr>
      </w:pPr>
      <w:proofErr w:type="spellStart"/>
      <w:r>
        <w:rPr>
          <w:color w:val="000000" w:themeColor="text1"/>
          <w:lang w:val="en-US"/>
        </w:rPr>
        <w:lastRenderedPageBreak/>
        <w:t>Dilakukan</w:t>
      </w:r>
      <w:proofErr w:type="spellEnd"/>
      <w:r>
        <w:rPr>
          <w:color w:val="000000" w:themeColor="text1"/>
          <w:lang w:val="en-US"/>
        </w:rPr>
        <w:t xml:space="preserve"> </w:t>
      </w:r>
      <w:proofErr w:type="spellStart"/>
      <w:r>
        <w:rPr>
          <w:color w:val="000000" w:themeColor="text1"/>
          <w:lang w:val="en-US"/>
        </w:rPr>
        <w:t>randomisasi</w:t>
      </w:r>
      <w:proofErr w:type="spellEnd"/>
      <w:r>
        <w:rPr>
          <w:color w:val="000000" w:themeColor="text1"/>
          <w:lang w:val="en-US"/>
        </w:rPr>
        <w:t xml:space="preserve"> </w:t>
      </w:r>
      <w:proofErr w:type="spellStart"/>
      <w:r>
        <w:rPr>
          <w:color w:val="000000" w:themeColor="text1"/>
          <w:lang w:val="en-US"/>
        </w:rPr>
        <w:t>kelompok</w:t>
      </w:r>
      <w:proofErr w:type="spellEnd"/>
      <w:r>
        <w:rPr>
          <w:color w:val="000000" w:themeColor="text1"/>
          <w:lang w:val="en-US"/>
        </w:rPr>
        <w:t xml:space="preserve"> dan </w:t>
      </w:r>
      <w:proofErr w:type="spellStart"/>
      <w:r>
        <w:rPr>
          <w:color w:val="000000" w:themeColor="text1"/>
          <w:lang w:val="en-US"/>
        </w:rPr>
        <w:t>pengambilan</w:t>
      </w:r>
      <w:proofErr w:type="spellEnd"/>
      <w:r>
        <w:rPr>
          <w:color w:val="000000" w:themeColor="text1"/>
          <w:lang w:val="en-US"/>
        </w:rPr>
        <w:t xml:space="preserve"> </w:t>
      </w:r>
      <w:proofErr w:type="spellStart"/>
      <w:r>
        <w:rPr>
          <w:color w:val="000000" w:themeColor="text1"/>
          <w:lang w:val="en-US"/>
        </w:rPr>
        <w:t>sampel</w:t>
      </w:r>
      <w:proofErr w:type="spellEnd"/>
      <w:r>
        <w:rPr>
          <w:color w:val="000000" w:themeColor="text1"/>
          <w:lang w:val="en-US"/>
        </w:rPr>
        <w:t xml:space="preserve"> darah untuk </w:t>
      </w:r>
      <w:proofErr w:type="spellStart"/>
      <w:r>
        <w:rPr>
          <w:color w:val="000000" w:themeColor="text1"/>
          <w:lang w:val="en-US"/>
        </w:rPr>
        <w:t>pemeriksaan</w:t>
      </w:r>
      <w:proofErr w:type="spellEnd"/>
      <w:r>
        <w:rPr>
          <w:color w:val="000000" w:themeColor="text1"/>
          <w:lang w:val="en-US"/>
        </w:rPr>
        <w:t xml:space="preserve"> IL-6.</w:t>
      </w:r>
    </w:p>
    <w:p w14:paraId="54776D93" w14:textId="77777777" w:rsidR="003B79BC" w:rsidRDefault="00000000">
      <w:pPr>
        <w:pStyle w:val="ListParagraph"/>
        <w:numPr>
          <w:ilvl w:val="0"/>
          <w:numId w:val="19"/>
        </w:numPr>
        <w:spacing w:line="360" w:lineRule="auto"/>
        <w:contextualSpacing w:val="0"/>
        <w:jc w:val="both"/>
        <w:rPr>
          <w:rStyle w:val="rynqvb"/>
        </w:rPr>
      </w:pPr>
      <w:r>
        <w:rPr>
          <w:rStyle w:val="rynqvb"/>
          <w:lang w:val="id-ID" w:eastAsia="zh-CN"/>
        </w:rPr>
        <w:t xml:space="preserve">Premedikasi </w:t>
      </w:r>
      <w:r>
        <w:rPr>
          <w:rStyle w:val="rynqvb"/>
          <w:lang w:val="en-US" w:eastAsia="zh-CN"/>
        </w:rPr>
        <w:t xml:space="preserve">di </w:t>
      </w:r>
      <w:proofErr w:type="spellStart"/>
      <w:r>
        <w:rPr>
          <w:rStyle w:val="rynqvb"/>
          <w:lang w:val="en-US" w:eastAsia="zh-CN"/>
        </w:rPr>
        <w:t>ruang</w:t>
      </w:r>
      <w:proofErr w:type="spellEnd"/>
      <w:r>
        <w:rPr>
          <w:rStyle w:val="rynqvb"/>
          <w:lang w:val="en-US" w:eastAsia="zh-CN"/>
        </w:rPr>
        <w:t xml:space="preserve"> </w:t>
      </w:r>
      <w:proofErr w:type="spellStart"/>
      <w:r>
        <w:rPr>
          <w:rStyle w:val="rynqvb"/>
          <w:lang w:val="en-US" w:eastAsia="zh-CN"/>
        </w:rPr>
        <w:t>persiapan</w:t>
      </w:r>
      <w:proofErr w:type="spellEnd"/>
      <w:r>
        <w:rPr>
          <w:rStyle w:val="rynqvb"/>
          <w:lang w:val="en-US" w:eastAsia="zh-CN"/>
        </w:rPr>
        <w:t xml:space="preserve"> prabedah </w:t>
      </w:r>
      <w:r>
        <w:rPr>
          <w:rStyle w:val="rynqvb"/>
          <w:lang w:val="id-ID" w:eastAsia="zh-CN"/>
        </w:rPr>
        <w:t>dengan</w:t>
      </w:r>
      <w:r>
        <w:rPr>
          <w:rStyle w:val="rynqvb"/>
          <w:lang w:val="en-US" w:eastAsia="zh-CN"/>
        </w:rPr>
        <w:t xml:space="preserve"> </w:t>
      </w:r>
      <w:r>
        <w:rPr>
          <w:rStyle w:val="rynqvb"/>
          <w:lang w:val="id-ID" w:eastAsia="zh-CN"/>
        </w:rPr>
        <w:t>deksametason intravena dosis tunggal (0,5 mg/kg, dosis maksimum 10 mg), ondansetron (0,1 mg/kg), dan acetaminophen intravena (15 mg/kg)</w:t>
      </w:r>
      <w:r>
        <w:rPr>
          <w:rStyle w:val="rynqvb"/>
          <w:color w:val="FF0000"/>
          <w:lang w:val="en-US" w:eastAsia="zh-CN"/>
        </w:rPr>
        <w:t xml:space="preserve">. </w:t>
      </w:r>
      <w:r w:rsidRPr="00F426C1">
        <w:rPr>
          <w:rStyle w:val="rynqvb"/>
          <w:lang w:val="pt-BR"/>
        </w:rPr>
        <w:t>Pada pasien juga diberikan</w:t>
      </w:r>
      <w:r w:rsidRPr="00F426C1">
        <w:rPr>
          <w:rStyle w:val="rynqvb"/>
          <w:color w:val="FF0000"/>
          <w:lang w:val="pt-BR"/>
        </w:rPr>
        <w:t xml:space="preserve"> </w:t>
      </w:r>
      <w:r w:rsidRPr="00F426C1">
        <w:rPr>
          <w:rStyle w:val="rynqvb"/>
          <w:lang w:val="pt-BR"/>
        </w:rPr>
        <w:t xml:space="preserve">midazolam 0,05-0,1 mg/kg/IV sebelum ditransfer ke ruang bedah. </w:t>
      </w:r>
      <w:r>
        <w:rPr>
          <w:rStyle w:val="rynqvb"/>
          <w:lang w:val="en-US"/>
        </w:rPr>
        <w:t xml:space="preserve">Di </w:t>
      </w:r>
      <w:proofErr w:type="spellStart"/>
      <w:r>
        <w:rPr>
          <w:rStyle w:val="rynqvb"/>
          <w:lang w:val="en-US"/>
        </w:rPr>
        <w:t>ruang</w:t>
      </w:r>
      <w:proofErr w:type="spellEnd"/>
      <w:r>
        <w:rPr>
          <w:rStyle w:val="rynqvb"/>
          <w:lang w:val="en-US"/>
        </w:rPr>
        <w:t xml:space="preserve"> </w:t>
      </w:r>
      <w:proofErr w:type="spellStart"/>
      <w:r>
        <w:rPr>
          <w:rStyle w:val="rynqvb"/>
          <w:lang w:val="en-US"/>
        </w:rPr>
        <w:t>bedah</w:t>
      </w:r>
      <w:proofErr w:type="spellEnd"/>
      <w:r>
        <w:rPr>
          <w:rStyle w:val="rynqvb"/>
          <w:lang w:val="en-US"/>
        </w:rPr>
        <w:t xml:space="preserve"> </w:t>
      </w:r>
      <w:proofErr w:type="spellStart"/>
      <w:r>
        <w:rPr>
          <w:rStyle w:val="rynqvb"/>
          <w:lang w:val="en-US"/>
        </w:rPr>
        <w:t>diberikan</w:t>
      </w:r>
      <w:proofErr w:type="spellEnd"/>
      <w:r>
        <w:rPr>
          <w:rStyle w:val="rynqvb"/>
          <w:lang w:val="en-US"/>
        </w:rPr>
        <w:t xml:space="preserve"> fentanyl 2 mcg/kg/IV. </w:t>
      </w:r>
    </w:p>
    <w:p w14:paraId="04B373F4" w14:textId="77777777" w:rsidR="003B79BC" w:rsidRDefault="00000000">
      <w:pPr>
        <w:pStyle w:val="ColorfulList-Accent11"/>
        <w:numPr>
          <w:ilvl w:val="0"/>
          <w:numId w:val="19"/>
        </w:numPr>
        <w:tabs>
          <w:tab w:val="left" w:pos="709"/>
        </w:tabs>
        <w:spacing w:after="0" w:line="360" w:lineRule="auto"/>
        <w:jc w:val="both"/>
        <w:rPr>
          <w:rFonts w:ascii="Times New Roman" w:hAnsi="Times New Roman"/>
        </w:rPr>
      </w:pPr>
      <w:proofErr w:type="spellStart"/>
      <w:r>
        <w:rPr>
          <w:rFonts w:ascii="Times New Roman" w:hAnsi="Times New Roman"/>
          <w:lang w:val="en-US"/>
        </w:rPr>
        <w:t>Induksi</w:t>
      </w:r>
      <w:proofErr w:type="spellEnd"/>
      <w:r>
        <w:rPr>
          <w:rFonts w:ascii="Times New Roman" w:hAnsi="Times New Roman"/>
          <w:lang w:val="en-US"/>
        </w:rPr>
        <w:t xml:space="preserve"> </w:t>
      </w:r>
      <w:proofErr w:type="spellStart"/>
      <w:r>
        <w:rPr>
          <w:rFonts w:ascii="Times New Roman" w:hAnsi="Times New Roman"/>
          <w:lang w:val="en-US"/>
        </w:rPr>
        <w:t>anestesi</w:t>
      </w:r>
      <w:proofErr w:type="spellEnd"/>
      <w:r>
        <w:rPr>
          <w:rFonts w:ascii="Times New Roman" w:hAnsi="Times New Roman"/>
          <w:lang w:val="en-US"/>
        </w:rPr>
        <w:t xml:space="preserve"> pada </w:t>
      </w:r>
      <w:proofErr w:type="spellStart"/>
      <w:r>
        <w:rPr>
          <w:rFonts w:ascii="Times New Roman" w:hAnsi="Times New Roman"/>
          <w:lang w:val="en-US"/>
        </w:rPr>
        <w:t>kedua</w:t>
      </w:r>
      <w:proofErr w:type="spellEnd"/>
      <w:r>
        <w:rPr>
          <w:rFonts w:ascii="Times New Roman" w:hAnsi="Times New Roman"/>
          <w:lang w:val="en-US"/>
        </w:rPr>
        <w:t xml:space="preserve"> </w:t>
      </w:r>
      <w:proofErr w:type="spellStart"/>
      <w:r>
        <w:rPr>
          <w:rFonts w:ascii="Times New Roman" w:hAnsi="Times New Roman"/>
          <w:lang w:val="en-US"/>
        </w:rPr>
        <w:t>kelompok</w:t>
      </w:r>
      <w:proofErr w:type="spellEnd"/>
      <w:r>
        <w:rPr>
          <w:rFonts w:ascii="Times New Roman" w:hAnsi="Times New Roman"/>
          <w:lang w:val="en-US"/>
        </w:rPr>
        <w:t xml:space="preserve"> dengan propofol 1-2,5 mg/kg/IV dosis </w:t>
      </w:r>
      <w:proofErr w:type="spellStart"/>
      <w:r>
        <w:rPr>
          <w:rFonts w:ascii="Times New Roman" w:hAnsi="Times New Roman"/>
          <w:lang w:val="en-US"/>
        </w:rPr>
        <w:t>titrasi</w:t>
      </w:r>
      <w:proofErr w:type="spellEnd"/>
      <w:r>
        <w:rPr>
          <w:rFonts w:ascii="Times New Roman" w:hAnsi="Times New Roman"/>
          <w:lang w:val="en-US"/>
        </w:rPr>
        <w:t>.</w:t>
      </w:r>
    </w:p>
    <w:p w14:paraId="7373F90E" w14:textId="77777777" w:rsidR="003B79BC" w:rsidRDefault="00000000">
      <w:pPr>
        <w:pStyle w:val="ColorfulList-Accent11"/>
        <w:numPr>
          <w:ilvl w:val="0"/>
          <w:numId w:val="19"/>
        </w:numPr>
        <w:tabs>
          <w:tab w:val="left" w:pos="709"/>
        </w:tabs>
        <w:spacing w:after="0" w:line="360" w:lineRule="auto"/>
        <w:jc w:val="both"/>
        <w:rPr>
          <w:rStyle w:val="hwtze"/>
          <w:rFonts w:ascii="Times New Roman" w:hAnsi="Times New Roman"/>
        </w:rPr>
      </w:pPr>
      <w:r w:rsidRPr="00F426C1">
        <w:rPr>
          <w:rFonts w:ascii="Times New Roman" w:hAnsi="Times New Roman"/>
        </w:rPr>
        <w:t>Pelumpuh otot menggunakan atracurium 0,5 mg/kg/IV, kemudian dilakukan intubasi orotrakeal.</w:t>
      </w:r>
    </w:p>
    <w:p w14:paraId="43268EBD" w14:textId="77B05EAC" w:rsidR="003B79BC" w:rsidRDefault="00000000">
      <w:pPr>
        <w:pStyle w:val="ColorfulList-Accent11"/>
        <w:numPr>
          <w:ilvl w:val="0"/>
          <w:numId w:val="19"/>
        </w:numPr>
        <w:tabs>
          <w:tab w:val="left" w:pos="709"/>
        </w:tabs>
        <w:spacing w:after="0" w:line="360" w:lineRule="auto"/>
        <w:jc w:val="both"/>
        <w:rPr>
          <w:rFonts w:ascii="Times New Roman" w:hAnsi="Times New Roman"/>
        </w:rPr>
      </w:pPr>
      <w:r w:rsidRPr="00F426C1">
        <w:rPr>
          <w:rFonts w:ascii="Times New Roman" w:hAnsi="Times New Roman"/>
        </w:rPr>
        <w:t xml:space="preserve">Pemeliharan anestesi pada kedua kelompok diberikan dexmedetomidin 0,2-0,7 mcg/kgBB/jam/intravena, propofol </w:t>
      </w:r>
      <w:r>
        <w:rPr>
          <w:rFonts w:ascii="Times New Roman" w:hAnsi="Times New Roman"/>
        </w:rPr>
        <w:t>50 − 200 µg/kg</w:t>
      </w:r>
      <w:r w:rsidRPr="00F426C1">
        <w:rPr>
          <w:rFonts w:ascii="Times New Roman" w:hAnsi="Times New Roman"/>
        </w:rPr>
        <w:t>/menit/ IV dosis titrasi</w:t>
      </w:r>
      <w:r w:rsidR="00477134" w:rsidRPr="00F426C1">
        <w:rPr>
          <w:rFonts w:ascii="Times New Roman" w:hAnsi="Times New Roman"/>
        </w:rPr>
        <w:t xml:space="preserve"> dan fentanyl 0,5mcg/kgBB/intravena secara intermiten.</w:t>
      </w:r>
    </w:p>
    <w:p w14:paraId="37064231" w14:textId="77777777" w:rsidR="003B79BC" w:rsidRDefault="00000000">
      <w:pPr>
        <w:pStyle w:val="ListParagraph"/>
        <w:numPr>
          <w:ilvl w:val="0"/>
          <w:numId w:val="19"/>
        </w:numPr>
        <w:spacing w:line="360" w:lineRule="auto"/>
        <w:contextualSpacing w:val="0"/>
        <w:jc w:val="both"/>
      </w:pPr>
      <w:r>
        <w:t xml:space="preserve">Selama </w:t>
      </w:r>
      <w:r w:rsidRPr="00F426C1">
        <w:rPr>
          <w:lang w:val="id-ID"/>
        </w:rPr>
        <w:t>pem</w:t>
      </w:r>
      <w:r>
        <w:t>bedah</w:t>
      </w:r>
      <w:r w:rsidRPr="00F426C1">
        <w:rPr>
          <w:lang w:val="id-ID"/>
        </w:rPr>
        <w:t>an</w:t>
      </w:r>
      <w:r>
        <w:t xml:space="preserve">, dilakukan pencatatan tekanan darah dan </w:t>
      </w:r>
      <w:r w:rsidRPr="00F426C1">
        <w:rPr>
          <w:lang w:val="id-ID"/>
        </w:rPr>
        <w:t>frekuensi nadi</w:t>
      </w:r>
      <w:r>
        <w:t xml:space="preserve"> setiap 1 menit selama 20 menit dan selanjutnya setiap 5 menit hingga pembedahan berakhir. Jika hipotensi diberi efedrin </w:t>
      </w:r>
      <w:r w:rsidRPr="00F426C1">
        <w:rPr>
          <w:lang w:val="pt-BR"/>
        </w:rPr>
        <w:t>0,1-0,2</w:t>
      </w:r>
      <w:r>
        <w:t xml:space="preserve"> mg/</w:t>
      </w:r>
      <w:r w:rsidRPr="00F426C1">
        <w:rPr>
          <w:lang w:val="pt-BR"/>
        </w:rPr>
        <w:t>kg/</w:t>
      </w:r>
      <w:r>
        <w:t xml:space="preserve">IV; jika bradikardi diberi atropine sulfat </w:t>
      </w:r>
      <w:r w:rsidRPr="00F426C1">
        <w:rPr>
          <w:lang w:val="pt-BR"/>
        </w:rPr>
        <w:t>0,01</w:t>
      </w:r>
      <w:r>
        <w:t xml:space="preserve"> mg/</w:t>
      </w:r>
      <w:r w:rsidRPr="00F426C1">
        <w:rPr>
          <w:lang w:val="pt-BR"/>
        </w:rPr>
        <w:t>kg/</w:t>
      </w:r>
      <w:r>
        <w:t>IV</w:t>
      </w:r>
      <w:r w:rsidRPr="00F426C1">
        <w:rPr>
          <w:lang w:val="pt-BR"/>
        </w:rPr>
        <w:t>(minimal 0,1 mg/IV)</w:t>
      </w:r>
      <w:r>
        <w:t>.</w:t>
      </w:r>
    </w:p>
    <w:p w14:paraId="06261E28" w14:textId="049AB874" w:rsidR="003B79BC" w:rsidRDefault="00F60847">
      <w:pPr>
        <w:pStyle w:val="ListParagraph"/>
        <w:numPr>
          <w:ilvl w:val="0"/>
          <w:numId w:val="19"/>
        </w:numPr>
        <w:spacing w:line="360" w:lineRule="auto"/>
        <w:contextualSpacing w:val="0"/>
        <w:jc w:val="both"/>
        <w:rPr>
          <w:color w:val="000000" w:themeColor="text1"/>
        </w:rPr>
      </w:pPr>
      <w:r w:rsidRPr="00F426C1">
        <w:rPr>
          <w:color w:val="000000" w:themeColor="text1"/>
          <w:lang w:val="pt-BR"/>
        </w:rPr>
        <w:t>Setelah selesai operasi dan sebelum dilakukan ekstubasi pipa endotrakeal :</w:t>
      </w:r>
    </w:p>
    <w:p w14:paraId="7F5F9B86" w14:textId="3E64F728" w:rsidR="003B79BC" w:rsidRDefault="00000000">
      <w:pPr>
        <w:pStyle w:val="ListParagraph"/>
        <w:spacing w:line="360" w:lineRule="auto"/>
        <w:ind w:leftChars="410" w:left="3542" w:hangingChars="1066" w:hanging="2558"/>
        <w:contextualSpacing w:val="0"/>
        <w:jc w:val="both"/>
        <w:rPr>
          <w:rFonts w:eastAsiaTheme="minorEastAsia"/>
          <w:lang w:val="en-US" w:eastAsia="zh-CN"/>
        </w:rPr>
      </w:pPr>
      <w:r>
        <w:rPr>
          <w:color w:val="000000" w:themeColor="text1"/>
          <w:lang w:val="en-US" w:eastAsia="zh-CN"/>
        </w:rPr>
        <w:t>-</w:t>
      </w:r>
      <w:r>
        <w:rPr>
          <w:color w:val="000000" w:themeColor="text1"/>
          <w:lang w:eastAsia="zh-CN"/>
        </w:rPr>
        <w:t xml:space="preserve"> Kelompok </w:t>
      </w:r>
      <w:r>
        <w:rPr>
          <w:color w:val="000000" w:themeColor="text1"/>
          <w:lang w:val="en-US" w:eastAsia="zh-CN"/>
        </w:rPr>
        <w:t>I</w:t>
      </w:r>
      <w:r>
        <w:rPr>
          <w:color w:val="000000" w:themeColor="text1"/>
          <w:lang w:val="id-ID" w:eastAsia="zh-CN"/>
        </w:rPr>
        <w:t>ntervensi (I)</w:t>
      </w:r>
      <w:r>
        <w:rPr>
          <w:color w:val="000000" w:themeColor="text1"/>
          <w:lang w:val="en-US" w:eastAsia="zh-CN"/>
        </w:rPr>
        <w:t xml:space="preserve">: </w:t>
      </w:r>
      <w:r>
        <w:rPr>
          <w:color w:val="000000" w:themeColor="text1"/>
          <w:lang w:val="en-US" w:eastAsia="zh-CN"/>
        </w:rPr>
        <w:tab/>
      </w:r>
      <w:proofErr w:type="spellStart"/>
      <w:r>
        <w:rPr>
          <w:color w:val="000000" w:themeColor="text1"/>
          <w:lang w:val="en-US" w:eastAsia="zh-CN"/>
        </w:rPr>
        <w:t>dilakukan</w:t>
      </w:r>
      <w:proofErr w:type="spellEnd"/>
      <w:r>
        <w:rPr>
          <w:color w:val="000000" w:themeColor="text1"/>
          <w:lang w:val="en-US" w:eastAsia="zh-CN"/>
        </w:rPr>
        <w:t xml:space="preserve"> </w:t>
      </w:r>
      <w:proofErr w:type="spellStart"/>
      <w:r>
        <w:rPr>
          <w:color w:val="000000" w:themeColor="text1"/>
          <w:lang w:val="en-US" w:eastAsia="zh-CN"/>
        </w:rPr>
        <w:t>blok</w:t>
      </w:r>
      <w:proofErr w:type="spellEnd"/>
      <w:r>
        <w:rPr>
          <w:color w:val="000000" w:themeColor="text1"/>
          <w:lang w:val="en-US" w:eastAsia="zh-CN"/>
        </w:rPr>
        <w:t xml:space="preserve"> </w:t>
      </w:r>
      <w:proofErr w:type="spellStart"/>
      <w:r>
        <w:rPr>
          <w:color w:val="000000" w:themeColor="text1"/>
          <w:lang w:val="en-US" w:eastAsia="zh-CN"/>
        </w:rPr>
        <w:t>peritonsiler</w:t>
      </w:r>
      <w:proofErr w:type="spellEnd"/>
      <w:r>
        <w:rPr>
          <w:color w:val="000000" w:themeColor="text1"/>
          <w:lang w:val="en-US" w:eastAsia="zh-CN"/>
        </w:rPr>
        <w:t xml:space="preserve"> dengan </w:t>
      </w:r>
      <w:r>
        <w:rPr>
          <w:color w:val="000000" w:themeColor="text1"/>
          <w:lang w:val="id-ID" w:eastAsia="zh-CN"/>
        </w:rPr>
        <w:t>levo</w:t>
      </w:r>
      <w:r>
        <w:rPr>
          <w:color w:val="000000" w:themeColor="text1"/>
          <w:lang w:val="en-US" w:eastAsia="zh-CN"/>
        </w:rPr>
        <w:t xml:space="preserve">bupivacaine </w:t>
      </w:r>
      <w:proofErr w:type="spellStart"/>
      <w:r>
        <w:rPr>
          <w:color w:val="000000" w:themeColor="text1"/>
          <w:lang w:val="en-US" w:eastAsia="zh-CN"/>
        </w:rPr>
        <w:t>isobarik</w:t>
      </w:r>
      <w:proofErr w:type="spellEnd"/>
      <w:r>
        <w:rPr>
          <w:color w:val="000000" w:themeColor="text1"/>
          <w:lang w:val="en-US" w:eastAsia="zh-CN"/>
        </w:rPr>
        <w:t xml:space="preserve"> 0,125% </w:t>
      </w:r>
      <w:proofErr w:type="spellStart"/>
      <w:r>
        <w:rPr>
          <w:color w:val="000000" w:themeColor="text1"/>
          <w:lang w:val="en-US" w:eastAsia="zh-CN"/>
        </w:rPr>
        <w:t>sebanyak</w:t>
      </w:r>
      <w:proofErr w:type="spellEnd"/>
      <w:r>
        <w:rPr>
          <w:color w:val="000000" w:themeColor="text1"/>
          <w:lang w:val="en-US" w:eastAsia="zh-CN"/>
        </w:rPr>
        <w:t xml:space="preserve"> 2 ml untuk masing-masing </w:t>
      </w:r>
      <w:proofErr w:type="spellStart"/>
      <w:r>
        <w:rPr>
          <w:color w:val="000000" w:themeColor="text1"/>
          <w:lang w:val="en-US" w:eastAsia="zh-CN"/>
        </w:rPr>
        <w:t>sisi</w:t>
      </w:r>
      <w:proofErr w:type="spellEnd"/>
      <w:r w:rsidR="00E015FB">
        <w:rPr>
          <w:color w:val="000000" w:themeColor="text1"/>
          <w:lang w:val="en-US" w:eastAsia="zh-CN"/>
        </w:rPr>
        <w:t xml:space="preserve"> pada regio pilar anterior tonsil. </w:t>
      </w:r>
    </w:p>
    <w:p w14:paraId="11DE7053" w14:textId="77777777" w:rsidR="003B79BC" w:rsidRDefault="00000000">
      <w:pPr>
        <w:pStyle w:val="ListParagraph"/>
        <w:spacing w:line="360" w:lineRule="auto"/>
        <w:ind w:leftChars="410" w:left="3542" w:hangingChars="1066" w:hanging="2558"/>
        <w:contextualSpacing w:val="0"/>
        <w:jc w:val="both"/>
        <w:rPr>
          <w:color w:val="000000" w:themeColor="text1"/>
          <w:lang w:val="en-US"/>
        </w:rPr>
      </w:pPr>
      <w:r>
        <w:rPr>
          <w:rFonts w:eastAsiaTheme="minorEastAsia"/>
          <w:lang w:val="id-ID" w:eastAsia="zh-CN"/>
        </w:rPr>
        <w:t xml:space="preserve">- </w:t>
      </w:r>
      <w:proofErr w:type="spellStart"/>
      <w:r>
        <w:rPr>
          <w:color w:val="000000" w:themeColor="text1"/>
          <w:lang w:val="en-US"/>
        </w:rPr>
        <w:t>Kelompok</w:t>
      </w:r>
      <w:proofErr w:type="spellEnd"/>
      <w:r>
        <w:rPr>
          <w:color w:val="000000" w:themeColor="text1"/>
          <w:lang w:val="en-US"/>
        </w:rPr>
        <w:t xml:space="preserve"> </w:t>
      </w:r>
      <w:r>
        <w:rPr>
          <w:color w:val="000000" w:themeColor="text1"/>
          <w:lang w:val="id-ID"/>
        </w:rPr>
        <w:t>Kontrol (K)</w:t>
      </w:r>
      <w:r>
        <w:rPr>
          <w:color w:val="000000" w:themeColor="text1"/>
          <w:lang w:val="en-US"/>
        </w:rPr>
        <w:t xml:space="preserve">: </w:t>
      </w:r>
      <w:r>
        <w:rPr>
          <w:color w:val="000000" w:themeColor="text1"/>
          <w:lang w:val="id-ID"/>
        </w:rPr>
        <w:t xml:space="preserve">pasien yang tidak </w:t>
      </w:r>
      <w:proofErr w:type="spellStart"/>
      <w:r>
        <w:rPr>
          <w:color w:val="000000" w:themeColor="text1"/>
          <w:lang w:val="en-US"/>
        </w:rPr>
        <w:t>dilakukan</w:t>
      </w:r>
      <w:proofErr w:type="spellEnd"/>
      <w:r>
        <w:rPr>
          <w:color w:val="000000" w:themeColor="text1"/>
          <w:lang w:val="en-US"/>
        </w:rPr>
        <w:t xml:space="preserve"> </w:t>
      </w:r>
      <w:proofErr w:type="spellStart"/>
      <w:r>
        <w:rPr>
          <w:color w:val="000000" w:themeColor="text1"/>
          <w:lang w:val="en-US"/>
        </w:rPr>
        <w:t>blok</w:t>
      </w:r>
      <w:proofErr w:type="spellEnd"/>
      <w:r>
        <w:rPr>
          <w:color w:val="000000" w:themeColor="text1"/>
          <w:lang w:val="en-US"/>
        </w:rPr>
        <w:t xml:space="preserve"> </w:t>
      </w:r>
      <w:proofErr w:type="spellStart"/>
      <w:r>
        <w:rPr>
          <w:color w:val="000000" w:themeColor="text1"/>
          <w:lang w:val="en-US"/>
        </w:rPr>
        <w:t>peritonsiler</w:t>
      </w:r>
      <w:proofErr w:type="spellEnd"/>
      <w:r>
        <w:rPr>
          <w:color w:val="000000" w:themeColor="text1"/>
          <w:lang w:val="en-US"/>
        </w:rPr>
        <w:t>.</w:t>
      </w:r>
    </w:p>
    <w:p w14:paraId="59694C64" w14:textId="27D24B00" w:rsidR="00CF03CF" w:rsidRDefault="00CF03CF" w:rsidP="00CF03CF">
      <w:pPr>
        <w:pStyle w:val="ListParagraph"/>
        <w:spacing w:line="360" w:lineRule="auto"/>
        <w:ind w:leftChars="296" w:left="710" w:firstLine="1"/>
        <w:contextualSpacing w:val="0"/>
        <w:jc w:val="both"/>
        <w:rPr>
          <w:rFonts w:eastAsiaTheme="minorEastAsia"/>
          <w:lang w:val="en-US" w:eastAsia="zh-CN"/>
        </w:rPr>
      </w:pPr>
      <w:proofErr w:type="spellStart"/>
      <w:r>
        <w:rPr>
          <w:rFonts w:eastAsiaTheme="minorEastAsia"/>
          <w:color w:val="000000" w:themeColor="text1"/>
          <w:lang w:val="en-US" w:eastAsia="zh-CN"/>
        </w:rPr>
        <w:t>Prosedur</w:t>
      </w:r>
      <w:proofErr w:type="spellEnd"/>
      <w:r>
        <w:rPr>
          <w:rFonts w:eastAsiaTheme="minorEastAsia"/>
          <w:color w:val="000000" w:themeColor="text1"/>
          <w:lang w:val="en-US" w:eastAsia="zh-CN"/>
        </w:rPr>
        <w:t xml:space="preserve"> </w:t>
      </w:r>
      <w:proofErr w:type="spellStart"/>
      <w:r>
        <w:rPr>
          <w:rFonts w:eastAsiaTheme="minorEastAsia"/>
          <w:color w:val="000000" w:themeColor="text1"/>
          <w:lang w:val="en-US" w:eastAsia="zh-CN"/>
        </w:rPr>
        <w:t>blok</w:t>
      </w:r>
      <w:proofErr w:type="spellEnd"/>
      <w:r>
        <w:rPr>
          <w:rFonts w:eastAsiaTheme="minorEastAsia"/>
          <w:color w:val="000000" w:themeColor="text1"/>
          <w:lang w:val="en-US" w:eastAsia="zh-CN"/>
        </w:rPr>
        <w:t xml:space="preserve"> </w:t>
      </w:r>
      <w:proofErr w:type="spellStart"/>
      <w:r>
        <w:rPr>
          <w:rFonts w:eastAsiaTheme="minorEastAsia"/>
          <w:color w:val="000000" w:themeColor="text1"/>
          <w:lang w:val="en-US" w:eastAsia="zh-CN"/>
        </w:rPr>
        <w:t>dilakukan</w:t>
      </w:r>
      <w:proofErr w:type="spellEnd"/>
      <w:r>
        <w:rPr>
          <w:rFonts w:eastAsiaTheme="minorEastAsia"/>
          <w:color w:val="000000" w:themeColor="text1"/>
          <w:lang w:val="en-US" w:eastAsia="zh-CN"/>
        </w:rPr>
        <w:t xml:space="preserve"> dengan </w:t>
      </w:r>
      <w:proofErr w:type="spellStart"/>
      <w:r>
        <w:rPr>
          <w:rFonts w:eastAsiaTheme="minorEastAsia"/>
          <w:color w:val="000000" w:themeColor="text1"/>
          <w:lang w:val="en-US" w:eastAsia="zh-CN"/>
        </w:rPr>
        <w:t>menggunakan</w:t>
      </w:r>
      <w:proofErr w:type="spellEnd"/>
      <w:r>
        <w:rPr>
          <w:rFonts w:eastAsiaTheme="minorEastAsia"/>
          <w:color w:val="000000" w:themeColor="text1"/>
          <w:lang w:val="en-US" w:eastAsia="zh-CN"/>
        </w:rPr>
        <w:t xml:space="preserve"> </w:t>
      </w:r>
      <w:proofErr w:type="spellStart"/>
      <w:r>
        <w:rPr>
          <w:rFonts w:eastAsiaTheme="minorEastAsia"/>
          <w:color w:val="000000" w:themeColor="text1"/>
          <w:lang w:val="en-US" w:eastAsia="zh-CN"/>
        </w:rPr>
        <w:t>spinocan</w:t>
      </w:r>
      <w:proofErr w:type="spellEnd"/>
      <w:r>
        <w:rPr>
          <w:rFonts w:eastAsiaTheme="minorEastAsia"/>
          <w:color w:val="000000" w:themeColor="text1"/>
          <w:lang w:val="en-US" w:eastAsia="zh-CN"/>
        </w:rPr>
        <w:t xml:space="preserve"> 25G yang </w:t>
      </w:r>
      <w:proofErr w:type="spellStart"/>
      <w:r>
        <w:rPr>
          <w:rFonts w:eastAsiaTheme="minorEastAsia"/>
          <w:color w:val="000000" w:themeColor="text1"/>
          <w:lang w:val="en-US" w:eastAsia="zh-CN"/>
        </w:rPr>
        <w:t>dihubungkan</w:t>
      </w:r>
      <w:proofErr w:type="spellEnd"/>
      <w:r>
        <w:rPr>
          <w:rFonts w:eastAsiaTheme="minorEastAsia"/>
          <w:color w:val="000000" w:themeColor="text1"/>
          <w:lang w:val="en-US" w:eastAsia="zh-CN"/>
        </w:rPr>
        <w:t xml:space="preserve"> dengan </w:t>
      </w:r>
      <w:proofErr w:type="spellStart"/>
      <w:r>
        <w:rPr>
          <w:rFonts w:eastAsiaTheme="minorEastAsia"/>
          <w:color w:val="000000" w:themeColor="text1"/>
          <w:lang w:val="en-US" w:eastAsia="zh-CN"/>
        </w:rPr>
        <w:t>spuit</w:t>
      </w:r>
      <w:proofErr w:type="spellEnd"/>
      <w:r>
        <w:rPr>
          <w:rFonts w:eastAsiaTheme="minorEastAsia"/>
          <w:color w:val="000000" w:themeColor="text1"/>
          <w:lang w:val="en-US" w:eastAsia="zh-CN"/>
        </w:rPr>
        <w:t xml:space="preserve"> 5mL. Dalam </w:t>
      </w:r>
      <w:proofErr w:type="spellStart"/>
      <w:r>
        <w:rPr>
          <w:rFonts w:eastAsiaTheme="minorEastAsia"/>
          <w:color w:val="000000" w:themeColor="text1"/>
          <w:lang w:val="en-US" w:eastAsia="zh-CN"/>
        </w:rPr>
        <w:t>keadaan</w:t>
      </w:r>
      <w:proofErr w:type="spellEnd"/>
      <w:r>
        <w:rPr>
          <w:rFonts w:eastAsiaTheme="minorEastAsia"/>
          <w:color w:val="000000" w:themeColor="text1"/>
          <w:lang w:val="en-US" w:eastAsia="zh-CN"/>
        </w:rPr>
        <w:t xml:space="preserve"> </w:t>
      </w:r>
      <w:proofErr w:type="spellStart"/>
      <w:r>
        <w:rPr>
          <w:rFonts w:eastAsiaTheme="minorEastAsia"/>
          <w:color w:val="000000" w:themeColor="text1"/>
          <w:lang w:val="en-US" w:eastAsia="zh-CN"/>
        </w:rPr>
        <w:t>steril</w:t>
      </w:r>
      <w:proofErr w:type="spellEnd"/>
      <w:r>
        <w:rPr>
          <w:rFonts w:eastAsiaTheme="minorEastAsia"/>
          <w:color w:val="000000" w:themeColor="text1"/>
          <w:lang w:val="en-US" w:eastAsia="zh-CN"/>
        </w:rPr>
        <w:t xml:space="preserve"> </w:t>
      </w:r>
      <w:proofErr w:type="spellStart"/>
      <w:r w:rsidRPr="00134116">
        <w:rPr>
          <w:color w:val="000000" w:themeColor="text1"/>
          <w:lang w:val="en-US"/>
        </w:rPr>
        <w:t>dilakukan</w:t>
      </w:r>
      <w:proofErr w:type="spellEnd"/>
      <w:r w:rsidRPr="00134116">
        <w:rPr>
          <w:color w:val="000000" w:themeColor="text1"/>
          <w:lang w:val="en-US"/>
        </w:rPr>
        <w:t xml:space="preserve"> </w:t>
      </w:r>
      <w:proofErr w:type="spellStart"/>
      <w:r w:rsidRPr="00134116">
        <w:rPr>
          <w:color w:val="000000" w:themeColor="text1"/>
          <w:lang w:val="en-US"/>
        </w:rPr>
        <w:t>blok</w:t>
      </w:r>
      <w:proofErr w:type="spellEnd"/>
      <w:r w:rsidRPr="00F44717">
        <w:rPr>
          <w:b/>
          <w:bCs/>
          <w:color w:val="000000" w:themeColor="text1"/>
          <w:lang w:val="en-US"/>
        </w:rPr>
        <w:t xml:space="preserve"> </w:t>
      </w:r>
      <w:proofErr w:type="spellStart"/>
      <w:r w:rsidRPr="00CF03CF">
        <w:rPr>
          <w:color w:val="000000" w:themeColor="text1"/>
          <w:lang w:val="en-US"/>
        </w:rPr>
        <w:t>peritonsiler</w:t>
      </w:r>
      <w:proofErr w:type="spellEnd"/>
      <w:r w:rsidRPr="00F44717">
        <w:rPr>
          <w:b/>
          <w:bCs/>
          <w:color w:val="000000" w:themeColor="text1"/>
          <w:lang w:val="en-US"/>
        </w:rPr>
        <w:t xml:space="preserve"> </w:t>
      </w:r>
      <w:r w:rsidRPr="00F44717">
        <w:rPr>
          <w:color w:val="000000" w:themeColor="text1"/>
          <w:lang w:val="en-US"/>
        </w:rPr>
        <w:t xml:space="preserve">dengan </w:t>
      </w:r>
      <w:r w:rsidRPr="00F44717">
        <w:rPr>
          <w:color w:val="000000" w:themeColor="text1"/>
          <w:lang w:val="id-ID"/>
        </w:rPr>
        <w:t>levo</w:t>
      </w:r>
      <w:r w:rsidRPr="00F44717">
        <w:rPr>
          <w:color w:val="000000" w:themeColor="text1"/>
          <w:lang w:val="en-US"/>
        </w:rPr>
        <w:t xml:space="preserve">bupivacaine </w:t>
      </w:r>
      <w:proofErr w:type="spellStart"/>
      <w:r w:rsidRPr="00F44717">
        <w:rPr>
          <w:color w:val="000000" w:themeColor="text1"/>
          <w:lang w:val="en-US"/>
        </w:rPr>
        <w:t>isobarik</w:t>
      </w:r>
      <w:proofErr w:type="spellEnd"/>
      <w:r w:rsidRPr="00F44717">
        <w:rPr>
          <w:color w:val="000000" w:themeColor="text1"/>
          <w:lang w:val="en-US"/>
        </w:rPr>
        <w:t xml:space="preserve"> 0,125% </w:t>
      </w:r>
      <w:proofErr w:type="spellStart"/>
      <w:r w:rsidRPr="00F44717">
        <w:rPr>
          <w:color w:val="000000" w:themeColor="text1"/>
          <w:lang w:val="en-US"/>
        </w:rPr>
        <w:t>sebanyak</w:t>
      </w:r>
      <w:proofErr w:type="spellEnd"/>
      <w:r w:rsidRPr="00F44717">
        <w:rPr>
          <w:color w:val="000000" w:themeColor="text1"/>
          <w:lang w:val="en-US"/>
        </w:rPr>
        <w:t xml:space="preserve"> 2 ml untuk masing-masing </w:t>
      </w:r>
      <w:proofErr w:type="spellStart"/>
      <w:r w:rsidRPr="00F44717">
        <w:rPr>
          <w:color w:val="000000" w:themeColor="text1"/>
          <w:lang w:val="en-US"/>
        </w:rPr>
        <w:t>sisi</w:t>
      </w:r>
      <w:proofErr w:type="spellEnd"/>
      <w:r w:rsidRPr="00F44717">
        <w:rPr>
          <w:color w:val="000000" w:themeColor="text1"/>
          <w:lang w:val="en-US"/>
        </w:rPr>
        <w:t xml:space="preserve"> pada regio pilar anterior tonsil</w:t>
      </w:r>
      <w:r w:rsidR="00134116">
        <w:rPr>
          <w:color w:val="000000" w:themeColor="text1"/>
          <w:lang w:val="en-US"/>
        </w:rPr>
        <w:t xml:space="preserve"> intraoral.</w:t>
      </w:r>
    </w:p>
    <w:p w14:paraId="1D87D162" w14:textId="77777777" w:rsidR="003B79BC" w:rsidRDefault="00000000">
      <w:pPr>
        <w:pStyle w:val="ListParagraph"/>
        <w:numPr>
          <w:ilvl w:val="0"/>
          <w:numId w:val="19"/>
        </w:numPr>
        <w:spacing w:line="360" w:lineRule="auto"/>
        <w:contextualSpacing w:val="0"/>
        <w:jc w:val="both"/>
      </w:pPr>
      <w:proofErr w:type="spellStart"/>
      <w:r>
        <w:rPr>
          <w:lang w:val="en-US"/>
        </w:rPr>
        <w:t>Pascapembedahan</w:t>
      </w:r>
      <w:proofErr w:type="spellEnd"/>
      <w:r>
        <w:rPr>
          <w:lang w:val="en-US"/>
        </w:rPr>
        <w:t xml:space="preserve"> </w:t>
      </w:r>
      <w:proofErr w:type="spellStart"/>
      <w:r>
        <w:rPr>
          <w:lang w:val="en-US"/>
        </w:rPr>
        <w:t>diberikan</w:t>
      </w:r>
      <w:proofErr w:type="spellEnd"/>
      <w:r>
        <w:rPr>
          <w:lang w:val="en-US"/>
        </w:rPr>
        <w:t xml:space="preserve"> </w:t>
      </w:r>
      <w:proofErr w:type="spellStart"/>
      <w:r>
        <w:rPr>
          <w:lang w:val="en-US"/>
        </w:rPr>
        <w:t>tatalaksana</w:t>
      </w:r>
      <w:proofErr w:type="spellEnd"/>
      <w:r>
        <w:rPr>
          <w:lang w:val="en-US"/>
        </w:rPr>
        <w:t xml:space="preserve"> </w:t>
      </w:r>
      <w:proofErr w:type="spellStart"/>
      <w:r>
        <w:rPr>
          <w:lang w:val="en-US"/>
        </w:rPr>
        <w:t>nyeri</w:t>
      </w:r>
      <w:proofErr w:type="spellEnd"/>
      <w:r>
        <w:rPr>
          <w:lang w:val="en-US"/>
        </w:rPr>
        <w:t xml:space="preserve"> dengan paracetamol 15mg/kg/IV </w:t>
      </w:r>
      <w:proofErr w:type="spellStart"/>
      <w:r>
        <w:rPr>
          <w:lang w:val="en-US"/>
        </w:rPr>
        <w:t>setiap</w:t>
      </w:r>
      <w:proofErr w:type="spellEnd"/>
      <w:r>
        <w:rPr>
          <w:lang w:val="en-US"/>
        </w:rPr>
        <w:t xml:space="preserve"> 6 jam dan Ibuprofen 10mg/kg/IV </w:t>
      </w:r>
      <w:proofErr w:type="spellStart"/>
      <w:r>
        <w:rPr>
          <w:lang w:val="en-US"/>
        </w:rPr>
        <w:t>setiap</w:t>
      </w:r>
      <w:proofErr w:type="spellEnd"/>
      <w:r>
        <w:rPr>
          <w:lang w:val="en-US"/>
        </w:rPr>
        <w:t xml:space="preserve"> 8 </w:t>
      </w:r>
      <w:proofErr w:type="gramStart"/>
      <w:r>
        <w:rPr>
          <w:lang w:val="en-US"/>
        </w:rPr>
        <w:t>jam</w:t>
      </w:r>
      <w:proofErr w:type="gramEnd"/>
      <w:r>
        <w:rPr>
          <w:lang w:val="en-US"/>
        </w:rPr>
        <w:t>.</w:t>
      </w:r>
    </w:p>
    <w:p w14:paraId="7E785D09" w14:textId="77777777" w:rsidR="003B79BC" w:rsidRDefault="00000000">
      <w:pPr>
        <w:pStyle w:val="ListParagraph"/>
        <w:numPr>
          <w:ilvl w:val="0"/>
          <w:numId w:val="19"/>
        </w:numPr>
        <w:spacing w:line="360" w:lineRule="auto"/>
        <w:contextualSpacing w:val="0"/>
        <w:jc w:val="both"/>
        <w:rPr>
          <w:lang w:eastAsia="zh-CN"/>
        </w:rPr>
      </w:pPr>
      <w:r>
        <w:rPr>
          <w:i/>
          <w:iCs/>
          <w:lang w:eastAsia="zh-CN"/>
        </w:rPr>
        <w:t>Rescue</w:t>
      </w:r>
      <w:r>
        <w:rPr>
          <w:lang w:eastAsia="zh-CN"/>
        </w:rPr>
        <w:t xml:space="preserve"> dengan </w:t>
      </w:r>
      <w:r>
        <w:rPr>
          <w:lang w:val="en-US" w:eastAsia="zh-CN"/>
        </w:rPr>
        <w:t>f</w:t>
      </w:r>
      <w:r>
        <w:rPr>
          <w:lang w:eastAsia="zh-CN"/>
        </w:rPr>
        <w:t>entanyl 0,5 mcg//k</w:t>
      </w:r>
      <w:r>
        <w:rPr>
          <w:lang w:val="en-US" w:eastAsia="zh-CN"/>
        </w:rPr>
        <w:t>g</w:t>
      </w:r>
      <w:r>
        <w:rPr>
          <w:lang w:eastAsia="zh-CN"/>
        </w:rPr>
        <w:t>/IV jika ada keluhan nyeri (</w:t>
      </w:r>
      <w:r>
        <w:rPr>
          <w:lang w:val="en-US" w:eastAsia="zh-CN"/>
        </w:rPr>
        <w:t>NRS</w:t>
      </w:r>
      <w:r>
        <w:rPr>
          <w:lang w:eastAsia="zh-CN"/>
        </w:rPr>
        <w:t xml:space="preserve"> </w:t>
      </w:r>
      <w:r>
        <w:rPr>
          <w:shd w:val="clear" w:color="auto" w:fill="FFFFFF"/>
          <w:lang w:eastAsia="zh-CN"/>
        </w:rPr>
        <w:t>≥</w:t>
      </w:r>
      <w:r>
        <w:rPr>
          <w:lang w:val="en-US" w:eastAsia="zh-CN"/>
        </w:rPr>
        <w:t>4</w:t>
      </w:r>
      <w:r>
        <w:rPr>
          <w:lang w:eastAsia="zh-CN"/>
        </w:rPr>
        <w:t>).</w:t>
      </w:r>
    </w:p>
    <w:p w14:paraId="6A962A90" w14:textId="77777777" w:rsidR="003B79BC" w:rsidRDefault="00000000">
      <w:pPr>
        <w:pStyle w:val="ListParagraph"/>
        <w:numPr>
          <w:ilvl w:val="0"/>
          <w:numId w:val="19"/>
        </w:numPr>
        <w:spacing w:line="360" w:lineRule="auto"/>
        <w:contextualSpacing w:val="0"/>
        <w:jc w:val="both"/>
        <w:rPr>
          <w:lang w:eastAsia="zh-CN"/>
        </w:rPr>
      </w:pPr>
      <w:r>
        <w:rPr>
          <w:lang w:val="id-ID" w:eastAsia="zh-CN"/>
        </w:rPr>
        <w:lastRenderedPageBreak/>
        <w:t>Dil</w:t>
      </w:r>
      <w:r>
        <w:rPr>
          <w:lang w:eastAsia="zh-CN"/>
        </w:rPr>
        <w:t xml:space="preserve">akukan pencatatan terhadap </w:t>
      </w:r>
      <w:r>
        <w:rPr>
          <w:lang w:val="id-ID" w:eastAsia="zh-CN"/>
        </w:rPr>
        <w:t xml:space="preserve">jumlah jumlah opioid, </w:t>
      </w:r>
      <w:r>
        <w:rPr>
          <w:lang w:eastAsia="zh-CN"/>
        </w:rPr>
        <w:t xml:space="preserve">efek samping </w:t>
      </w:r>
      <w:r>
        <w:rPr>
          <w:lang w:val="id-ID" w:eastAsia="zh-CN"/>
        </w:rPr>
        <w:t>dan</w:t>
      </w:r>
      <w:r>
        <w:rPr>
          <w:lang w:eastAsia="zh-CN"/>
        </w:rPr>
        <w:t xml:space="preserve"> intensitas nyeri</w:t>
      </w:r>
      <w:r>
        <w:rPr>
          <w:lang w:val="id-ID" w:eastAsia="zh-CN"/>
        </w:rPr>
        <w:t xml:space="preserve"> pada</w:t>
      </w:r>
      <w:r>
        <w:rPr>
          <w:lang w:eastAsia="zh-CN"/>
        </w:rPr>
        <w:t xml:space="preserve"> 4, </w:t>
      </w:r>
      <w:r>
        <w:rPr>
          <w:lang w:val="en-US" w:eastAsia="zh-CN"/>
        </w:rPr>
        <w:t>8</w:t>
      </w:r>
      <w:r>
        <w:rPr>
          <w:lang w:eastAsia="zh-CN"/>
        </w:rPr>
        <w:t>, 12, 24 jam pascabedah.</w:t>
      </w:r>
    </w:p>
    <w:p w14:paraId="1DEBBFBD" w14:textId="77777777" w:rsidR="003B79BC" w:rsidRPr="00023BF7" w:rsidRDefault="00000000">
      <w:pPr>
        <w:pStyle w:val="ListParagraph"/>
        <w:numPr>
          <w:ilvl w:val="0"/>
          <w:numId w:val="19"/>
        </w:numPr>
        <w:spacing w:line="360" w:lineRule="auto"/>
        <w:contextualSpacing w:val="0"/>
        <w:jc w:val="both"/>
      </w:pPr>
      <w:r>
        <w:rPr>
          <w:lang w:val="id-ID"/>
        </w:rPr>
        <w:t>Dil</w:t>
      </w:r>
      <w:r>
        <w:t xml:space="preserve">akukan </w:t>
      </w:r>
      <w:r w:rsidRPr="00F426C1">
        <w:rPr>
          <w:lang w:val="pt-BR"/>
        </w:rPr>
        <w:t>pemeriksaan IL-6 pada 12 jam pascapembedahan.</w:t>
      </w:r>
    </w:p>
    <w:p w14:paraId="7D14E5B2" w14:textId="25BCDEFE" w:rsidR="00023BF7" w:rsidRDefault="00023BF7">
      <w:pPr>
        <w:pStyle w:val="ListParagraph"/>
        <w:numPr>
          <w:ilvl w:val="0"/>
          <w:numId w:val="19"/>
        </w:numPr>
        <w:spacing w:line="360" w:lineRule="auto"/>
        <w:contextualSpacing w:val="0"/>
        <w:jc w:val="both"/>
      </w:pPr>
      <w:r w:rsidRPr="00691DDE">
        <w:rPr>
          <w:lang w:val="id-ID"/>
        </w:rPr>
        <w:t>Dilakukan analisis data dan pelaporan.</w:t>
      </w:r>
    </w:p>
    <w:bookmarkEnd w:id="106"/>
    <w:p w14:paraId="78277EF0" w14:textId="77777777" w:rsidR="003B79BC" w:rsidRDefault="003B79BC">
      <w:pPr>
        <w:spacing w:line="360" w:lineRule="auto"/>
        <w:jc w:val="both"/>
        <w:rPr>
          <w:color w:val="000000" w:themeColor="text1"/>
        </w:rPr>
      </w:pPr>
    </w:p>
    <w:p w14:paraId="1E3DAFC1" w14:textId="77777777" w:rsidR="003B79BC" w:rsidRDefault="00000000">
      <w:pPr>
        <w:pStyle w:val="Heading2"/>
        <w:numPr>
          <w:ilvl w:val="1"/>
          <w:numId w:val="13"/>
        </w:numPr>
        <w:spacing w:after="0"/>
        <w:ind w:left="567" w:hanging="567"/>
        <w:rPr>
          <w:rFonts w:cs="Times New Roman"/>
          <w:szCs w:val="24"/>
        </w:rPr>
      </w:pPr>
      <w:bookmarkStart w:id="107" w:name="_Toc158290285"/>
      <w:r>
        <w:rPr>
          <w:rFonts w:cs="Times New Roman"/>
          <w:szCs w:val="24"/>
        </w:rPr>
        <w:t xml:space="preserve">Identifikasi </w:t>
      </w:r>
      <w:r>
        <w:rPr>
          <w:rFonts w:cs="Times New Roman"/>
          <w:szCs w:val="24"/>
          <w:lang w:val="id-ID"/>
        </w:rPr>
        <w:t>d</w:t>
      </w:r>
      <w:r>
        <w:rPr>
          <w:rFonts w:cs="Times New Roman"/>
          <w:szCs w:val="24"/>
        </w:rPr>
        <w:t>an Klasifikasi Variabel</w:t>
      </w:r>
      <w:bookmarkStart w:id="108" w:name="_Toc97906494"/>
      <w:bookmarkEnd w:id="105"/>
      <w:bookmarkEnd w:id="107"/>
    </w:p>
    <w:p w14:paraId="3F8C4E9D" w14:textId="77777777" w:rsidR="003B79BC" w:rsidRDefault="00000000">
      <w:pPr>
        <w:pStyle w:val="Heading3"/>
        <w:rPr>
          <w:lang w:eastAsia="zh-CN"/>
        </w:rPr>
      </w:pPr>
      <w:bookmarkStart w:id="109" w:name="_Toc158290286"/>
      <w:r>
        <w:rPr>
          <w:lang w:val="id-ID"/>
        </w:rPr>
        <w:t>5</w:t>
      </w:r>
      <w:r>
        <w:t xml:space="preserve">.9.1 </w:t>
      </w:r>
      <w:bookmarkEnd w:id="108"/>
      <w:r>
        <w:rPr>
          <w:lang w:val="en-US"/>
        </w:rPr>
        <w:t xml:space="preserve"> </w:t>
      </w:r>
      <w:proofErr w:type="spellStart"/>
      <w:r>
        <w:rPr>
          <w:lang w:val="en-US"/>
        </w:rPr>
        <w:t>Indentifikasi</w:t>
      </w:r>
      <w:proofErr w:type="spellEnd"/>
      <w:r>
        <w:rPr>
          <w:lang w:val="en-US"/>
        </w:rPr>
        <w:t xml:space="preserve"> </w:t>
      </w:r>
      <w:proofErr w:type="spellStart"/>
      <w:r>
        <w:rPr>
          <w:lang w:val="en-US"/>
        </w:rPr>
        <w:t>Variabel</w:t>
      </w:r>
      <w:bookmarkEnd w:id="109"/>
      <w:proofErr w:type="spellEnd"/>
      <w:r>
        <w:rPr>
          <w:lang w:val="en-US"/>
        </w:rPr>
        <w:t xml:space="preserve"> </w:t>
      </w:r>
    </w:p>
    <w:p w14:paraId="04B0AC2A" w14:textId="77777777" w:rsidR="003B79BC" w:rsidRDefault="00000000">
      <w:pPr>
        <w:pStyle w:val="ListParagraph"/>
        <w:numPr>
          <w:ilvl w:val="0"/>
          <w:numId w:val="20"/>
        </w:numPr>
        <w:tabs>
          <w:tab w:val="left" w:pos="426"/>
          <w:tab w:val="left" w:pos="567"/>
        </w:tabs>
        <w:spacing w:line="360" w:lineRule="auto"/>
        <w:contextualSpacing w:val="0"/>
        <w:jc w:val="both"/>
        <w:rPr>
          <w:iCs/>
        </w:rPr>
      </w:pPr>
      <w:bookmarkStart w:id="110" w:name="_Toc106787354"/>
      <w:r>
        <w:rPr>
          <w:lang w:val="id-ID"/>
        </w:rPr>
        <w:t>D</w:t>
      </w:r>
      <w:r>
        <w:t>exmedetomidine intravena dan bupivacaine isobarik infiltrasi perioperatif</w:t>
      </w:r>
    </w:p>
    <w:p w14:paraId="08C9738B" w14:textId="77777777" w:rsidR="003B79BC" w:rsidRDefault="00000000">
      <w:pPr>
        <w:pStyle w:val="ListParagraph"/>
        <w:numPr>
          <w:ilvl w:val="0"/>
          <w:numId w:val="20"/>
        </w:numPr>
        <w:tabs>
          <w:tab w:val="left" w:pos="426"/>
          <w:tab w:val="left" w:pos="567"/>
        </w:tabs>
        <w:spacing w:line="360" w:lineRule="auto"/>
        <w:contextualSpacing w:val="0"/>
        <w:jc w:val="both"/>
        <w:rPr>
          <w:iCs/>
        </w:rPr>
      </w:pPr>
      <w:proofErr w:type="spellStart"/>
      <w:r>
        <w:rPr>
          <w:lang w:val="en-US"/>
        </w:rPr>
        <w:t>Kelompok</w:t>
      </w:r>
      <w:proofErr w:type="spellEnd"/>
      <w:r>
        <w:rPr>
          <w:lang w:val="en-US"/>
        </w:rPr>
        <w:t xml:space="preserve"> </w:t>
      </w:r>
      <w:bookmarkStart w:id="111" w:name="_Toc106787355"/>
      <w:bookmarkEnd w:id="110"/>
      <w:r>
        <w:rPr>
          <w:lang w:val="id-ID"/>
        </w:rPr>
        <w:t>intervensi (I)</w:t>
      </w:r>
    </w:p>
    <w:p w14:paraId="33625C63" w14:textId="77777777" w:rsidR="003B79BC" w:rsidRDefault="00000000">
      <w:pPr>
        <w:pStyle w:val="ListParagraph"/>
        <w:numPr>
          <w:ilvl w:val="0"/>
          <w:numId w:val="20"/>
        </w:numPr>
        <w:tabs>
          <w:tab w:val="left" w:pos="426"/>
          <w:tab w:val="left" w:pos="567"/>
        </w:tabs>
        <w:spacing w:line="360" w:lineRule="auto"/>
        <w:contextualSpacing w:val="0"/>
        <w:jc w:val="both"/>
        <w:rPr>
          <w:iCs/>
        </w:rPr>
      </w:pPr>
      <w:proofErr w:type="spellStart"/>
      <w:r>
        <w:rPr>
          <w:lang w:val="en-US"/>
        </w:rPr>
        <w:t>Kelompok</w:t>
      </w:r>
      <w:proofErr w:type="spellEnd"/>
      <w:r>
        <w:rPr>
          <w:lang w:val="en-US"/>
        </w:rPr>
        <w:t xml:space="preserve"> </w:t>
      </w:r>
      <w:bookmarkEnd w:id="111"/>
      <w:r>
        <w:rPr>
          <w:lang w:val="id-ID"/>
        </w:rPr>
        <w:t>kontrol (K)</w:t>
      </w:r>
    </w:p>
    <w:p w14:paraId="5F7F00FA" w14:textId="77777777" w:rsidR="003B79BC" w:rsidRDefault="00000000">
      <w:pPr>
        <w:pStyle w:val="ListParagraph"/>
        <w:numPr>
          <w:ilvl w:val="0"/>
          <w:numId w:val="20"/>
        </w:numPr>
        <w:tabs>
          <w:tab w:val="left" w:pos="426"/>
        </w:tabs>
        <w:spacing w:line="360" w:lineRule="auto"/>
        <w:jc w:val="both"/>
      </w:pPr>
      <w:r>
        <w:t xml:space="preserve">Umur </w:t>
      </w:r>
    </w:p>
    <w:p w14:paraId="26556DCF" w14:textId="77777777" w:rsidR="003B79BC" w:rsidRDefault="00000000">
      <w:pPr>
        <w:pStyle w:val="ListParagraph"/>
        <w:numPr>
          <w:ilvl w:val="0"/>
          <w:numId w:val="20"/>
        </w:numPr>
        <w:tabs>
          <w:tab w:val="left" w:pos="426"/>
        </w:tabs>
        <w:spacing w:line="360" w:lineRule="auto"/>
        <w:jc w:val="both"/>
      </w:pPr>
      <w:r>
        <w:t>IMT</w:t>
      </w:r>
    </w:p>
    <w:p w14:paraId="366262C2" w14:textId="77777777" w:rsidR="003B79BC" w:rsidRPr="00182314" w:rsidRDefault="00000000">
      <w:pPr>
        <w:pStyle w:val="ListParagraph"/>
        <w:numPr>
          <w:ilvl w:val="0"/>
          <w:numId w:val="20"/>
        </w:numPr>
        <w:tabs>
          <w:tab w:val="left" w:pos="426"/>
        </w:tabs>
        <w:spacing w:line="360" w:lineRule="auto"/>
        <w:jc w:val="both"/>
      </w:pPr>
      <w:r>
        <w:t>ASA PS</w:t>
      </w:r>
    </w:p>
    <w:p w14:paraId="636DF235" w14:textId="31648392" w:rsidR="00182314" w:rsidRDefault="00182314">
      <w:pPr>
        <w:pStyle w:val="ListParagraph"/>
        <w:numPr>
          <w:ilvl w:val="0"/>
          <w:numId w:val="20"/>
        </w:numPr>
        <w:tabs>
          <w:tab w:val="left" w:pos="426"/>
        </w:tabs>
        <w:spacing w:line="360" w:lineRule="auto"/>
        <w:jc w:val="both"/>
      </w:pPr>
      <w:proofErr w:type="spellStart"/>
      <w:r>
        <w:rPr>
          <w:rFonts w:eastAsiaTheme="minorEastAsia"/>
          <w:lang w:val="en-US" w:eastAsia="zh-CN"/>
        </w:rPr>
        <w:t>Ukuran</w:t>
      </w:r>
      <w:proofErr w:type="spellEnd"/>
      <w:r>
        <w:rPr>
          <w:rFonts w:eastAsiaTheme="minorEastAsia"/>
          <w:lang w:val="en-US" w:eastAsia="zh-CN"/>
        </w:rPr>
        <w:t xml:space="preserve"> tonsil</w:t>
      </w:r>
    </w:p>
    <w:p w14:paraId="77738E08" w14:textId="77777777" w:rsidR="003B79BC" w:rsidRDefault="00000000">
      <w:pPr>
        <w:pStyle w:val="ListParagraph"/>
        <w:numPr>
          <w:ilvl w:val="0"/>
          <w:numId w:val="20"/>
        </w:numPr>
        <w:tabs>
          <w:tab w:val="left" w:pos="426"/>
        </w:tabs>
        <w:spacing w:line="360" w:lineRule="auto"/>
        <w:jc w:val="both"/>
      </w:pPr>
      <w:r>
        <w:rPr>
          <w:lang w:val="en-US"/>
        </w:rPr>
        <w:t xml:space="preserve">Nyeri </w:t>
      </w:r>
      <w:proofErr w:type="spellStart"/>
      <w:r>
        <w:rPr>
          <w:lang w:val="en-US"/>
        </w:rPr>
        <w:t>pascabedah</w:t>
      </w:r>
      <w:proofErr w:type="spellEnd"/>
      <w:r>
        <w:rPr>
          <w:lang w:val="en-US"/>
        </w:rPr>
        <w:t xml:space="preserve"> dalam </w:t>
      </w:r>
      <w:r>
        <w:rPr>
          <w:i/>
          <w:lang w:val="en-US"/>
        </w:rPr>
        <w:t xml:space="preserve">Numeric Rating Scale </w:t>
      </w:r>
      <w:r>
        <w:rPr>
          <w:lang w:val="en-US"/>
        </w:rPr>
        <w:t>(NRS)</w:t>
      </w:r>
    </w:p>
    <w:p w14:paraId="271CB5C7" w14:textId="77777777" w:rsidR="003B79BC" w:rsidRDefault="00000000">
      <w:pPr>
        <w:pStyle w:val="ListParagraph"/>
        <w:numPr>
          <w:ilvl w:val="0"/>
          <w:numId w:val="20"/>
        </w:numPr>
        <w:tabs>
          <w:tab w:val="left" w:pos="426"/>
        </w:tabs>
        <w:spacing w:line="360" w:lineRule="auto"/>
        <w:jc w:val="both"/>
      </w:pPr>
      <w:r>
        <w:rPr>
          <w:lang w:val="id-ID"/>
        </w:rPr>
        <w:t>Jumlah</w:t>
      </w:r>
      <w:r>
        <w:rPr>
          <w:lang w:val="en-US"/>
        </w:rPr>
        <w:t xml:space="preserve"> </w:t>
      </w:r>
      <w:r>
        <w:rPr>
          <w:i/>
          <w:lang w:val="en-US"/>
        </w:rPr>
        <w:t xml:space="preserve">rescue </w:t>
      </w:r>
      <w:r>
        <w:rPr>
          <w:lang w:val="en-US"/>
        </w:rPr>
        <w:t xml:space="preserve">opioid </w:t>
      </w:r>
      <w:proofErr w:type="spellStart"/>
      <w:r>
        <w:rPr>
          <w:lang w:val="en-US"/>
        </w:rPr>
        <w:t>pascabedah</w:t>
      </w:r>
      <w:proofErr w:type="spellEnd"/>
    </w:p>
    <w:p w14:paraId="13766A4A" w14:textId="77777777" w:rsidR="003B79BC" w:rsidRDefault="00000000">
      <w:pPr>
        <w:pStyle w:val="ListParagraph"/>
        <w:numPr>
          <w:ilvl w:val="0"/>
          <w:numId w:val="20"/>
        </w:numPr>
        <w:tabs>
          <w:tab w:val="left" w:pos="426"/>
        </w:tabs>
        <w:spacing w:line="360" w:lineRule="auto"/>
        <w:jc w:val="both"/>
      </w:pPr>
      <w:r>
        <w:rPr>
          <w:lang w:val="id-ID"/>
        </w:rPr>
        <w:t>Efek samping</w:t>
      </w:r>
    </w:p>
    <w:p w14:paraId="40D847F0" w14:textId="77777777" w:rsidR="003B79BC" w:rsidRDefault="00000000">
      <w:pPr>
        <w:pStyle w:val="ListParagraph"/>
        <w:numPr>
          <w:ilvl w:val="0"/>
          <w:numId w:val="20"/>
        </w:numPr>
        <w:tabs>
          <w:tab w:val="left" w:pos="426"/>
        </w:tabs>
        <w:spacing w:line="360" w:lineRule="auto"/>
        <w:jc w:val="both"/>
      </w:pPr>
      <w:r>
        <w:rPr>
          <w:lang w:val="en-US"/>
        </w:rPr>
        <w:t>Kadar IL-6</w:t>
      </w:r>
    </w:p>
    <w:p w14:paraId="444C9EB9" w14:textId="77777777" w:rsidR="003B79BC" w:rsidRDefault="00000000">
      <w:pPr>
        <w:pStyle w:val="Heading3"/>
      </w:pPr>
      <w:bookmarkStart w:id="112" w:name="_Toc158290287"/>
      <w:r>
        <w:rPr>
          <w:lang w:val="id-ID"/>
        </w:rPr>
        <w:t>5</w:t>
      </w:r>
      <w:r>
        <w:t>.</w:t>
      </w:r>
      <w:r>
        <w:rPr>
          <w:lang w:val="id-ID"/>
        </w:rPr>
        <w:t>9</w:t>
      </w:r>
      <w:r>
        <w:t>.2. Klasifikasi variabel</w:t>
      </w:r>
      <w:bookmarkEnd w:id="112"/>
    </w:p>
    <w:p w14:paraId="4A72058F" w14:textId="77777777" w:rsidR="003B79BC" w:rsidRDefault="00000000">
      <w:pPr>
        <w:pStyle w:val="ColorfulList-Accent11"/>
        <w:numPr>
          <w:ilvl w:val="3"/>
          <w:numId w:val="21"/>
        </w:numPr>
        <w:tabs>
          <w:tab w:val="left" w:pos="426"/>
        </w:tabs>
        <w:spacing w:after="0" w:line="360" w:lineRule="auto"/>
        <w:ind w:hanging="2880"/>
        <w:contextualSpacing w:val="0"/>
        <w:jc w:val="both"/>
        <w:rPr>
          <w:rFonts w:ascii="Times New Roman" w:hAnsi="Times New Roman"/>
        </w:rPr>
      </w:pPr>
      <w:r>
        <w:rPr>
          <w:rFonts w:ascii="Times New Roman" w:hAnsi="Times New Roman"/>
        </w:rPr>
        <w:t>Variabel bebas</w:t>
      </w:r>
    </w:p>
    <w:p w14:paraId="134C1D70" w14:textId="77777777" w:rsidR="003B79BC" w:rsidRDefault="00000000">
      <w:pPr>
        <w:pStyle w:val="ColorfulList-Accent11"/>
        <w:tabs>
          <w:tab w:val="left" w:pos="426"/>
        </w:tabs>
        <w:spacing w:after="0" w:line="360" w:lineRule="auto"/>
        <w:ind w:left="426"/>
        <w:contextualSpacing w:val="0"/>
        <w:jc w:val="both"/>
        <w:rPr>
          <w:rFonts w:ascii="Times New Roman" w:hAnsi="Times New Roman"/>
          <w:lang w:val="en-US"/>
        </w:rPr>
      </w:pPr>
      <w:r>
        <w:rPr>
          <w:rFonts w:ascii="Times New Roman" w:hAnsi="Times New Roman"/>
          <w:lang w:val="en-US"/>
        </w:rPr>
        <w:t xml:space="preserve">Levobupivacaine </w:t>
      </w:r>
      <w:proofErr w:type="spellStart"/>
      <w:r>
        <w:rPr>
          <w:rFonts w:ascii="Times New Roman" w:hAnsi="Times New Roman"/>
          <w:lang w:val="en-US"/>
        </w:rPr>
        <w:t>i</w:t>
      </w:r>
      <w:proofErr w:type="spellEnd"/>
      <w:r>
        <w:rPr>
          <w:rFonts w:ascii="Times New Roman" w:hAnsi="Times New Roman"/>
        </w:rPr>
        <w:t xml:space="preserve">sobarik </w:t>
      </w:r>
      <w:r>
        <w:rPr>
          <w:rFonts w:ascii="Times New Roman" w:hAnsi="Times New Roman"/>
          <w:lang w:val="en-US"/>
        </w:rPr>
        <w:t xml:space="preserve">0,125% </w:t>
      </w:r>
      <w:r>
        <w:rPr>
          <w:rFonts w:ascii="Times New Roman" w:hAnsi="Times New Roman"/>
        </w:rPr>
        <w:t xml:space="preserve">infiltrasi </w:t>
      </w:r>
      <w:proofErr w:type="spellStart"/>
      <w:r>
        <w:rPr>
          <w:rFonts w:ascii="Times New Roman" w:hAnsi="Times New Roman"/>
          <w:lang w:val="en-US"/>
        </w:rPr>
        <w:t>pascabedah</w:t>
      </w:r>
      <w:proofErr w:type="spellEnd"/>
    </w:p>
    <w:p w14:paraId="6A120709" w14:textId="77777777" w:rsidR="003B79BC" w:rsidRDefault="00000000">
      <w:pPr>
        <w:pStyle w:val="ColorfulList-Accent11"/>
        <w:numPr>
          <w:ilvl w:val="3"/>
          <w:numId w:val="21"/>
        </w:numPr>
        <w:tabs>
          <w:tab w:val="left" w:pos="426"/>
        </w:tabs>
        <w:spacing w:after="0" w:line="360" w:lineRule="auto"/>
        <w:ind w:hanging="2880"/>
        <w:contextualSpacing w:val="0"/>
        <w:jc w:val="both"/>
        <w:rPr>
          <w:rFonts w:ascii="Times New Roman" w:hAnsi="Times New Roman"/>
        </w:rPr>
      </w:pPr>
      <w:r>
        <w:rPr>
          <w:rFonts w:ascii="Times New Roman" w:hAnsi="Times New Roman"/>
        </w:rPr>
        <w:t>Variabel tergantung</w:t>
      </w:r>
    </w:p>
    <w:p w14:paraId="50A4CAB2" w14:textId="77777777" w:rsidR="003B79BC" w:rsidRDefault="00000000">
      <w:pPr>
        <w:pStyle w:val="ListParagraph"/>
        <w:numPr>
          <w:ilvl w:val="4"/>
          <w:numId w:val="21"/>
        </w:numPr>
        <w:tabs>
          <w:tab w:val="left" w:pos="851"/>
          <w:tab w:val="left" w:pos="993"/>
          <w:tab w:val="left" w:pos="1418"/>
        </w:tabs>
        <w:spacing w:line="360" w:lineRule="auto"/>
        <w:ind w:hanging="3082"/>
        <w:rPr>
          <w:bCs/>
        </w:rPr>
      </w:pPr>
      <w:r>
        <w:rPr>
          <w:bCs/>
        </w:rPr>
        <w:t>Nyeri pascabedah dalam Numeric Rating Scale (NRS)</w:t>
      </w:r>
    </w:p>
    <w:p w14:paraId="5D00F41E" w14:textId="77777777" w:rsidR="003B79BC" w:rsidRDefault="00000000">
      <w:pPr>
        <w:pStyle w:val="ListParagraph"/>
        <w:numPr>
          <w:ilvl w:val="4"/>
          <w:numId w:val="21"/>
        </w:numPr>
        <w:tabs>
          <w:tab w:val="left" w:pos="851"/>
          <w:tab w:val="left" w:pos="993"/>
          <w:tab w:val="left" w:pos="1418"/>
        </w:tabs>
        <w:spacing w:line="360" w:lineRule="auto"/>
        <w:ind w:left="851"/>
        <w:contextualSpacing w:val="0"/>
        <w:rPr>
          <w:bCs/>
        </w:rPr>
      </w:pPr>
      <w:r>
        <w:t xml:space="preserve">Jumlah </w:t>
      </w:r>
      <w:r>
        <w:rPr>
          <w:i/>
          <w:lang w:val="en-US"/>
        </w:rPr>
        <w:t xml:space="preserve">rescue </w:t>
      </w:r>
      <w:r>
        <w:rPr>
          <w:lang w:val="en-US"/>
        </w:rPr>
        <w:t xml:space="preserve">opioid </w:t>
      </w:r>
      <w:proofErr w:type="spellStart"/>
      <w:r>
        <w:rPr>
          <w:lang w:val="en-US"/>
        </w:rPr>
        <w:t>pascabedah</w:t>
      </w:r>
      <w:proofErr w:type="spellEnd"/>
    </w:p>
    <w:p w14:paraId="08A1FA7E" w14:textId="77777777" w:rsidR="003B79BC" w:rsidRDefault="00000000">
      <w:pPr>
        <w:pStyle w:val="ListParagraph"/>
        <w:numPr>
          <w:ilvl w:val="4"/>
          <w:numId w:val="21"/>
        </w:numPr>
        <w:tabs>
          <w:tab w:val="left" w:pos="851"/>
          <w:tab w:val="left" w:pos="993"/>
          <w:tab w:val="left" w:pos="1418"/>
        </w:tabs>
        <w:spacing w:line="360" w:lineRule="auto"/>
        <w:ind w:hanging="3082"/>
        <w:rPr>
          <w:bCs/>
        </w:rPr>
      </w:pPr>
      <w:r>
        <w:rPr>
          <w:bCs/>
          <w:lang w:val="id-ID"/>
        </w:rPr>
        <w:t>Efek samping</w:t>
      </w:r>
    </w:p>
    <w:p w14:paraId="49137436" w14:textId="77777777" w:rsidR="003B79BC" w:rsidRDefault="00000000">
      <w:pPr>
        <w:pStyle w:val="ListParagraph"/>
        <w:numPr>
          <w:ilvl w:val="4"/>
          <w:numId w:val="21"/>
        </w:numPr>
        <w:tabs>
          <w:tab w:val="left" w:pos="851"/>
          <w:tab w:val="left" w:pos="993"/>
          <w:tab w:val="left" w:pos="1418"/>
        </w:tabs>
        <w:spacing w:line="360" w:lineRule="auto"/>
        <w:ind w:hanging="3082"/>
        <w:rPr>
          <w:bCs/>
        </w:rPr>
      </w:pPr>
      <w:r>
        <w:rPr>
          <w:bCs/>
        </w:rPr>
        <w:t>Kadar IL-6</w:t>
      </w:r>
    </w:p>
    <w:p w14:paraId="0A5E1D8D" w14:textId="77777777" w:rsidR="003B79BC" w:rsidRDefault="00000000">
      <w:pPr>
        <w:pStyle w:val="ColorfulList-Accent11"/>
        <w:numPr>
          <w:ilvl w:val="3"/>
          <w:numId w:val="21"/>
        </w:numPr>
        <w:tabs>
          <w:tab w:val="left" w:pos="426"/>
          <w:tab w:val="left" w:pos="630"/>
          <w:tab w:val="left" w:pos="1134"/>
        </w:tabs>
        <w:spacing w:after="0" w:line="360" w:lineRule="auto"/>
        <w:ind w:hanging="2880"/>
        <w:contextualSpacing w:val="0"/>
        <w:jc w:val="both"/>
        <w:rPr>
          <w:rFonts w:ascii="Times New Roman" w:hAnsi="Times New Roman"/>
        </w:rPr>
      </w:pPr>
      <w:r>
        <w:rPr>
          <w:rFonts w:ascii="Times New Roman" w:hAnsi="Times New Roman"/>
        </w:rPr>
        <w:t>Variabel kendali</w:t>
      </w:r>
    </w:p>
    <w:p w14:paraId="57A06D35" w14:textId="77777777" w:rsidR="003B79BC" w:rsidRDefault="00000000">
      <w:pPr>
        <w:pStyle w:val="ColorfulList-Accent11"/>
        <w:numPr>
          <w:ilvl w:val="4"/>
          <w:numId w:val="21"/>
        </w:numPr>
        <w:tabs>
          <w:tab w:val="left" w:pos="851"/>
          <w:tab w:val="left" w:pos="1134"/>
        </w:tabs>
        <w:spacing w:after="0" w:line="360" w:lineRule="auto"/>
        <w:ind w:left="1560" w:hanging="1134"/>
        <w:contextualSpacing w:val="0"/>
        <w:jc w:val="both"/>
        <w:rPr>
          <w:rFonts w:ascii="Times New Roman" w:hAnsi="Times New Roman"/>
        </w:rPr>
      </w:pPr>
      <w:r>
        <w:rPr>
          <w:rFonts w:ascii="Times New Roman" w:hAnsi="Times New Roman"/>
        </w:rPr>
        <w:t>Umur</w:t>
      </w:r>
    </w:p>
    <w:p w14:paraId="408A72EE" w14:textId="77777777" w:rsidR="003B79BC" w:rsidRDefault="00000000">
      <w:pPr>
        <w:pStyle w:val="ColorfulList-Accent11"/>
        <w:numPr>
          <w:ilvl w:val="4"/>
          <w:numId w:val="21"/>
        </w:numPr>
        <w:tabs>
          <w:tab w:val="left" w:pos="851"/>
          <w:tab w:val="left" w:pos="1134"/>
        </w:tabs>
        <w:spacing w:after="0" w:line="360" w:lineRule="auto"/>
        <w:ind w:left="1560" w:hanging="1134"/>
        <w:contextualSpacing w:val="0"/>
        <w:jc w:val="both"/>
        <w:rPr>
          <w:rFonts w:ascii="Times New Roman" w:hAnsi="Times New Roman"/>
        </w:rPr>
      </w:pPr>
      <w:r>
        <w:rPr>
          <w:rFonts w:ascii="Times New Roman" w:hAnsi="Times New Roman"/>
        </w:rPr>
        <w:t>Status gizi</w:t>
      </w:r>
    </w:p>
    <w:p w14:paraId="1A67E4C9" w14:textId="77777777" w:rsidR="003B79BC" w:rsidRPr="00182314" w:rsidRDefault="00000000">
      <w:pPr>
        <w:pStyle w:val="ColorfulList-Accent11"/>
        <w:numPr>
          <w:ilvl w:val="4"/>
          <w:numId w:val="21"/>
        </w:numPr>
        <w:tabs>
          <w:tab w:val="left" w:pos="851"/>
          <w:tab w:val="left" w:pos="1134"/>
        </w:tabs>
        <w:spacing w:after="0" w:line="360" w:lineRule="auto"/>
        <w:ind w:left="1560" w:hanging="1134"/>
        <w:contextualSpacing w:val="0"/>
        <w:jc w:val="both"/>
        <w:rPr>
          <w:rFonts w:ascii="Times New Roman" w:hAnsi="Times New Roman"/>
        </w:rPr>
      </w:pPr>
      <w:r>
        <w:rPr>
          <w:rFonts w:ascii="Times New Roman" w:hAnsi="Times New Roman"/>
        </w:rPr>
        <w:t>ASA PS</w:t>
      </w:r>
      <w:r>
        <w:rPr>
          <w:rFonts w:ascii="Times New Roman" w:hAnsi="Times New Roman"/>
          <w:lang w:val="en-US"/>
        </w:rPr>
        <w:t xml:space="preserve"> I, II</w:t>
      </w:r>
    </w:p>
    <w:p w14:paraId="4A6DB334" w14:textId="781B8213" w:rsidR="00182314" w:rsidRDefault="00182314">
      <w:pPr>
        <w:pStyle w:val="ColorfulList-Accent11"/>
        <w:numPr>
          <w:ilvl w:val="4"/>
          <w:numId w:val="21"/>
        </w:numPr>
        <w:tabs>
          <w:tab w:val="left" w:pos="851"/>
          <w:tab w:val="left" w:pos="1134"/>
        </w:tabs>
        <w:spacing w:after="0" w:line="360" w:lineRule="auto"/>
        <w:ind w:left="1560" w:hanging="1134"/>
        <w:contextualSpacing w:val="0"/>
        <w:jc w:val="both"/>
        <w:rPr>
          <w:rFonts w:ascii="Times New Roman" w:hAnsi="Times New Roman"/>
        </w:rPr>
      </w:pPr>
      <w:proofErr w:type="spellStart"/>
      <w:r>
        <w:rPr>
          <w:rFonts w:ascii="Times New Roman" w:hAnsi="Times New Roman"/>
          <w:lang w:val="en-US"/>
        </w:rPr>
        <w:t>Ukuran</w:t>
      </w:r>
      <w:proofErr w:type="spellEnd"/>
      <w:r>
        <w:rPr>
          <w:rFonts w:ascii="Times New Roman" w:hAnsi="Times New Roman"/>
          <w:lang w:val="en-US"/>
        </w:rPr>
        <w:t xml:space="preserve"> tonsil</w:t>
      </w:r>
    </w:p>
    <w:p w14:paraId="1EC0C212" w14:textId="77777777" w:rsidR="003B79BC" w:rsidRDefault="00000000">
      <w:pPr>
        <w:pStyle w:val="ColorfulList-Accent11"/>
        <w:numPr>
          <w:ilvl w:val="3"/>
          <w:numId w:val="21"/>
        </w:numPr>
        <w:tabs>
          <w:tab w:val="left" w:pos="426"/>
          <w:tab w:val="left" w:pos="630"/>
          <w:tab w:val="left" w:pos="1134"/>
        </w:tabs>
        <w:spacing w:after="0" w:line="360" w:lineRule="auto"/>
        <w:ind w:hanging="2880"/>
        <w:contextualSpacing w:val="0"/>
        <w:jc w:val="both"/>
        <w:rPr>
          <w:rFonts w:ascii="Times New Roman" w:hAnsi="Times New Roman"/>
        </w:rPr>
      </w:pPr>
      <w:r>
        <w:rPr>
          <w:rFonts w:ascii="Times New Roman" w:hAnsi="Times New Roman"/>
        </w:rPr>
        <w:lastRenderedPageBreak/>
        <w:t>Variabel antara</w:t>
      </w:r>
    </w:p>
    <w:p w14:paraId="63E1F837" w14:textId="77777777" w:rsidR="003B79BC" w:rsidRDefault="00000000">
      <w:pPr>
        <w:tabs>
          <w:tab w:val="left" w:pos="1418"/>
          <w:tab w:val="left" w:pos="2410"/>
          <w:tab w:val="left" w:pos="4962"/>
          <w:tab w:val="left" w:pos="5103"/>
        </w:tabs>
        <w:spacing w:line="360" w:lineRule="auto"/>
        <w:ind w:left="426"/>
        <w:jc w:val="both"/>
        <w:rPr>
          <w:rFonts w:eastAsiaTheme="minorEastAsia"/>
          <w:lang w:val="id-ID" w:eastAsia="zh-CN"/>
        </w:rPr>
      </w:pPr>
      <w:r>
        <w:rPr>
          <w:lang w:val="id-ID"/>
        </w:rPr>
        <w:t>Bedah tonsilektomi</w:t>
      </w:r>
    </w:p>
    <w:p w14:paraId="6EFC415A" w14:textId="77777777" w:rsidR="003B79BC" w:rsidRDefault="003B79BC">
      <w:pPr>
        <w:tabs>
          <w:tab w:val="left" w:pos="1418"/>
          <w:tab w:val="left" w:pos="2410"/>
          <w:tab w:val="left" w:pos="4962"/>
          <w:tab w:val="left" w:pos="5103"/>
        </w:tabs>
        <w:spacing w:line="360" w:lineRule="auto"/>
        <w:ind w:left="426"/>
        <w:jc w:val="both"/>
        <w:rPr>
          <w:lang w:eastAsia="zh-CN"/>
        </w:rPr>
      </w:pPr>
    </w:p>
    <w:p w14:paraId="5E63FEB2" w14:textId="77777777" w:rsidR="003B79BC" w:rsidRDefault="003B79BC">
      <w:pPr>
        <w:tabs>
          <w:tab w:val="left" w:pos="1418"/>
          <w:tab w:val="left" w:pos="2410"/>
          <w:tab w:val="left" w:pos="4962"/>
          <w:tab w:val="left" w:pos="5103"/>
        </w:tabs>
        <w:spacing w:line="360" w:lineRule="auto"/>
        <w:ind w:left="426"/>
        <w:jc w:val="both"/>
        <w:rPr>
          <w:lang w:eastAsia="zh-CN"/>
        </w:rPr>
      </w:pPr>
    </w:p>
    <w:p w14:paraId="3D2EED2C" w14:textId="77777777" w:rsidR="003B79BC" w:rsidRDefault="00000000">
      <w:pPr>
        <w:pStyle w:val="Heading2"/>
        <w:numPr>
          <w:ilvl w:val="1"/>
          <w:numId w:val="13"/>
        </w:numPr>
        <w:spacing w:after="0"/>
        <w:ind w:left="567" w:hanging="567"/>
        <w:rPr>
          <w:rFonts w:cs="Times New Roman"/>
          <w:szCs w:val="24"/>
          <w:lang w:eastAsia="zh-CN"/>
        </w:rPr>
      </w:pPr>
      <w:bookmarkStart w:id="113" w:name="_Toc97906496"/>
      <w:bookmarkStart w:id="114" w:name="_Toc158290288"/>
      <w:r>
        <w:rPr>
          <w:rFonts w:cs="Times New Roman"/>
          <w:szCs w:val="24"/>
        </w:rPr>
        <w:t xml:space="preserve">Definisi </w:t>
      </w:r>
      <w:bookmarkEnd w:id="113"/>
      <w:proofErr w:type="spellStart"/>
      <w:r>
        <w:rPr>
          <w:rFonts w:cs="Times New Roman"/>
          <w:szCs w:val="24"/>
          <w:lang w:val="en-US"/>
        </w:rPr>
        <w:t>Operasional</w:t>
      </w:r>
      <w:bookmarkEnd w:id="114"/>
      <w:proofErr w:type="spellEnd"/>
    </w:p>
    <w:p w14:paraId="4C4D8A26" w14:textId="77777777" w:rsidR="003B79BC" w:rsidRDefault="00000000">
      <w:pPr>
        <w:pStyle w:val="ColorfulList-Accent11"/>
        <w:numPr>
          <w:ilvl w:val="0"/>
          <w:numId w:val="22"/>
        </w:numPr>
        <w:tabs>
          <w:tab w:val="left" w:pos="426"/>
        </w:tabs>
        <w:spacing w:after="0" w:line="360" w:lineRule="auto"/>
        <w:contextualSpacing w:val="0"/>
        <w:jc w:val="both"/>
        <w:rPr>
          <w:rFonts w:ascii="Times New Roman" w:hAnsi="Times New Roman"/>
        </w:rPr>
      </w:pPr>
      <w:r>
        <w:rPr>
          <w:rFonts w:ascii="Times New Roman" w:hAnsi="Times New Roman"/>
        </w:rPr>
        <w:t>Tonsilektomi adalah tindakan pembedahan pengangkatan tonsil.</w:t>
      </w:r>
    </w:p>
    <w:p w14:paraId="55B9B37D" w14:textId="77777777" w:rsidR="003B79BC" w:rsidRDefault="00000000">
      <w:pPr>
        <w:pStyle w:val="ColorfulList-Accent11"/>
        <w:numPr>
          <w:ilvl w:val="0"/>
          <w:numId w:val="22"/>
        </w:numPr>
        <w:tabs>
          <w:tab w:val="left" w:pos="426"/>
        </w:tabs>
        <w:spacing w:after="0" w:line="360" w:lineRule="auto"/>
        <w:contextualSpacing w:val="0"/>
        <w:jc w:val="both"/>
        <w:rPr>
          <w:rFonts w:ascii="Times New Roman" w:hAnsi="Times New Roman"/>
          <w:color w:val="000000" w:themeColor="text1"/>
        </w:rPr>
      </w:pPr>
      <w:proofErr w:type="spellStart"/>
      <w:r>
        <w:rPr>
          <w:rFonts w:ascii="Times New Roman" w:hAnsi="Times New Roman"/>
          <w:lang w:val="en-US"/>
        </w:rPr>
        <w:t>Populasi</w:t>
      </w:r>
      <w:proofErr w:type="spellEnd"/>
      <w:r>
        <w:rPr>
          <w:rFonts w:ascii="Times New Roman" w:hAnsi="Times New Roman"/>
          <w:lang w:val="en-US"/>
        </w:rPr>
        <w:t xml:space="preserve"> </w:t>
      </w:r>
      <w:proofErr w:type="spellStart"/>
      <w:r>
        <w:rPr>
          <w:rFonts w:ascii="Times New Roman" w:hAnsi="Times New Roman"/>
          <w:lang w:val="en-US"/>
        </w:rPr>
        <w:t>penelitian</w:t>
      </w:r>
      <w:proofErr w:type="spellEnd"/>
      <w:r>
        <w:rPr>
          <w:rFonts w:ascii="Times New Roman" w:hAnsi="Times New Roman"/>
          <w:lang w:val="en-US"/>
        </w:rPr>
        <w:t xml:space="preserve"> </w:t>
      </w:r>
      <w:proofErr w:type="spellStart"/>
      <w:r>
        <w:rPr>
          <w:rFonts w:ascii="Times New Roman" w:hAnsi="Times New Roman"/>
          <w:lang w:val="en-US"/>
        </w:rPr>
        <w:t>adalah</w:t>
      </w:r>
      <w:proofErr w:type="spellEnd"/>
      <w:r>
        <w:rPr>
          <w:rFonts w:ascii="Times New Roman" w:hAnsi="Times New Roman"/>
          <w:lang w:val="en-US"/>
        </w:rPr>
        <w:t xml:space="preserve"> </w:t>
      </w:r>
      <w:proofErr w:type="spellStart"/>
      <w:r>
        <w:rPr>
          <w:rFonts w:ascii="Times New Roman" w:hAnsi="Times New Roman"/>
          <w:lang w:val="en-US"/>
        </w:rPr>
        <w:t>semua</w:t>
      </w:r>
      <w:proofErr w:type="spellEnd"/>
      <w:r>
        <w:rPr>
          <w:rFonts w:ascii="Times New Roman" w:hAnsi="Times New Roman"/>
          <w:lang w:val="en-US"/>
        </w:rPr>
        <w:t xml:space="preserve"> pasien yang </w:t>
      </w:r>
      <w:proofErr w:type="spellStart"/>
      <w:r>
        <w:rPr>
          <w:rFonts w:ascii="Times New Roman" w:hAnsi="Times New Roman"/>
          <w:lang w:val="en-US"/>
        </w:rPr>
        <w:t>menjalani</w:t>
      </w:r>
      <w:proofErr w:type="spellEnd"/>
      <w:r>
        <w:rPr>
          <w:rFonts w:ascii="Times New Roman" w:hAnsi="Times New Roman"/>
          <w:lang w:val="en-US"/>
        </w:rPr>
        <w:t xml:space="preserve"> operasi </w:t>
      </w:r>
      <w:proofErr w:type="spellStart"/>
      <w:r>
        <w:rPr>
          <w:rFonts w:ascii="Times New Roman" w:hAnsi="Times New Roman"/>
          <w:lang w:val="en-US"/>
        </w:rPr>
        <w:t>tonsilektomi</w:t>
      </w:r>
      <w:proofErr w:type="spellEnd"/>
      <w:r>
        <w:rPr>
          <w:rFonts w:ascii="Times New Roman" w:hAnsi="Times New Roman"/>
          <w:lang w:val="en-US"/>
        </w:rPr>
        <w:t xml:space="preserve"> dengan </w:t>
      </w:r>
      <w:proofErr w:type="spellStart"/>
      <w:r>
        <w:rPr>
          <w:rFonts w:ascii="Times New Roman" w:hAnsi="Times New Roman"/>
          <w:lang w:val="en-US"/>
        </w:rPr>
        <w:t>usia</w:t>
      </w:r>
      <w:proofErr w:type="spellEnd"/>
      <w:r>
        <w:rPr>
          <w:rFonts w:ascii="Times New Roman" w:hAnsi="Times New Roman"/>
          <w:lang w:val="en-US"/>
        </w:rPr>
        <w:t xml:space="preserve"> 15 </w:t>
      </w:r>
      <w:proofErr w:type="spellStart"/>
      <w:r>
        <w:rPr>
          <w:rFonts w:ascii="Times New Roman" w:hAnsi="Times New Roman"/>
          <w:lang w:val="en-US"/>
        </w:rPr>
        <w:t>tahun</w:t>
      </w:r>
      <w:proofErr w:type="spellEnd"/>
      <w:r>
        <w:rPr>
          <w:rFonts w:ascii="Times New Roman" w:hAnsi="Times New Roman"/>
          <w:lang w:val="en-US"/>
        </w:rPr>
        <w:t xml:space="preserve"> atau </w:t>
      </w:r>
      <w:proofErr w:type="spellStart"/>
      <w:r>
        <w:rPr>
          <w:rFonts w:ascii="Times New Roman" w:hAnsi="Times New Roman"/>
          <w:lang w:val="en-US"/>
        </w:rPr>
        <w:t>lebih</w:t>
      </w:r>
      <w:proofErr w:type="spellEnd"/>
      <w:r>
        <w:rPr>
          <w:rFonts w:ascii="Times New Roman" w:hAnsi="Times New Roman"/>
        </w:rPr>
        <w:t>.</w:t>
      </w:r>
    </w:p>
    <w:p w14:paraId="50279A86" w14:textId="77777777" w:rsidR="003B79BC" w:rsidRDefault="00000000">
      <w:pPr>
        <w:pStyle w:val="ColorfulList-Accent11"/>
        <w:numPr>
          <w:ilvl w:val="0"/>
          <w:numId w:val="22"/>
        </w:numPr>
        <w:tabs>
          <w:tab w:val="left" w:pos="426"/>
        </w:tabs>
        <w:spacing w:after="0" w:line="360" w:lineRule="auto"/>
        <w:contextualSpacing w:val="0"/>
        <w:jc w:val="both"/>
        <w:rPr>
          <w:rStyle w:val="rynqvb"/>
          <w:rFonts w:ascii="Times New Roman" w:hAnsi="Times New Roman"/>
          <w:color w:val="000000" w:themeColor="text1"/>
          <w:lang w:val="zh-CN"/>
        </w:rPr>
      </w:pPr>
      <w:r>
        <w:rPr>
          <w:rFonts w:ascii="Times New Roman" w:hAnsi="Times New Roman"/>
          <w:color w:val="000000" w:themeColor="text1"/>
        </w:rPr>
        <w:t xml:space="preserve">Kelompok intervensi adalah kelompok yang mendapatkan  </w:t>
      </w:r>
      <w:r w:rsidRPr="00F426C1">
        <w:rPr>
          <w:rFonts w:ascii="Times New Roman" w:hAnsi="Times New Roman"/>
          <w:color w:val="000000" w:themeColor="text1"/>
        </w:rPr>
        <w:t xml:space="preserve">2 mL </w:t>
      </w:r>
      <w:r>
        <w:rPr>
          <w:rStyle w:val="rynqvb"/>
          <w:rFonts w:ascii="Times New Roman" w:hAnsi="Times New Roman"/>
          <w:color w:val="000000" w:themeColor="text1"/>
        </w:rPr>
        <w:t>levobupivacaine 0,</w:t>
      </w:r>
      <w:r w:rsidRPr="00F426C1">
        <w:rPr>
          <w:rStyle w:val="rynqvb"/>
          <w:rFonts w:ascii="Times New Roman" w:hAnsi="Times New Roman"/>
          <w:color w:val="000000" w:themeColor="text1"/>
        </w:rPr>
        <w:t>1</w:t>
      </w:r>
      <w:r>
        <w:rPr>
          <w:rStyle w:val="rynqvb"/>
          <w:rFonts w:ascii="Times New Roman" w:hAnsi="Times New Roman"/>
          <w:color w:val="000000" w:themeColor="text1"/>
        </w:rPr>
        <w:t>25% infiltrasi ke dalam tonsil bilateral</w:t>
      </w:r>
      <w:r w:rsidRPr="00F426C1">
        <w:rPr>
          <w:rStyle w:val="rynqvb"/>
          <w:rFonts w:ascii="Times New Roman" w:hAnsi="Times New Roman"/>
          <w:color w:val="000000" w:themeColor="text1"/>
        </w:rPr>
        <w:t xml:space="preserve"> pascabedah.</w:t>
      </w:r>
    </w:p>
    <w:p w14:paraId="1A5FF7E6" w14:textId="77777777" w:rsidR="003B79BC" w:rsidRDefault="00000000">
      <w:pPr>
        <w:pStyle w:val="ColorfulList-Accent11"/>
        <w:numPr>
          <w:ilvl w:val="0"/>
          <w:numId w:val="22"/>
        </w:numPr>
        <w:tabs>
          <w:tab w:val="left" w:pos="426"/>
        </w:tabs>
        <w:spacing w:after="0" w:line="360" w:lineRule="auto"/>
        <w:contextualSpacing w:val="0"/>
        <w:jc w:val="both"/>
        <w:rPr>
          <w:rFonts w:ascii="Times New Roman" w:hAnsi="Times New Roman"/>
          <w:color w:val="000000" w:themeColor="text1"/>
        </w:rPr>
      </w:pPr>
      <w:r>
        <w:rPr>
          <w:rFonts w:ascii="Times New Roman" w:hAnsi="Times New Roman"/>
          <w:color w:val="000000" w:themeColor="text1"/>
        </w:rPr>
        <w:t>Kelompok kontrol</w:t>
      </w:r>
      <w:r>
        <w:rPr>
          <w:rFonts w:ascii="Times New Roman" w:hAnsi="Times New Roman"/>
          <w:color w:val="000000" w:themeColor="text1"/>
          <w:lang w:val="en-US"/>
        </w:rPr>
        <w:t xml:space="preserve"> </w:t>
      </w:r>
      <w:r>
        <w:rPr>
          <w:rFonts w:ascii="Times New Roman" w:hAnsi="Times New Roman"/>
          <w:color w:val="000000" w:themeColor="text1"/>
        </w:rPr>
        <w:t xml:space="preserve">adalah kelompok yang tidak mendapatkan  </w:t>
      </w:r>
      <w:r>
        <w:rPr>
          <w:rStyle w:val="rynqvb"/>
          <w:rFonts w:ascii="Times New Roman" w:hAnsi="Times New Roman"/>
          <w:color w:val="000000" w:themeColor="text1"/>
        </w:rPr>
        <w:t>2 mL levobupivacaine 0,</w:t>
      </w:r>
      <w:r>
        <w:rPr>
          <w:rStyle w:val="rynqvb"/>
          <w:rFonts w:ascii="Times New Roman" w:hAnsi="Times New Roman"/>
          <w:color w:val="000000" w:themeColor="text1"/>
          <w:lang w:val="en-US"/>
        </w:rPr>
        <w:t>1</w:t>
      </w:r>
      <w:r>
        <w:rPr>
          <w:rStyle w:val="rynqvb"/>
          <w:rFonts w:ascii="Times New Roman" w:hAnsi="Times New Roman"/>
          <w:color w:val="000000" w:themeColor="text1"/>
        </w:rPr>
        <w:t>25% infiltrasi ke dalam tonsil bilateral.</w:t>
      </w:r>
    </w:p>
    <w:p w14:paraId="6EB5F7A3" w14:textId="77777777" w:rsidR="003B79BC" w:rsidRDefault="00000000">
      <w:pPr>
        <w:pStyle w:val="ColorfulList-Accent11"/>
        <w:numPr>
          <w:ilvl w:val="0"/>
          <w:numId w:val="22"/>
        </w:numPr>
        <w:tabs>
          <w:tab w:val="left" w:pos="426"/>
        </w:tabs>
        <w:spacing w:after="0" w:line="360" w:lineRule="auto"/>
        <w:contextualSpacing w:val="0"/>
        <w:jc w:val="both"/>
        <w:rPr>
          <w:rFonts w:ascii="Times New Roman" w:hAnsi="Times New Roman"/>
        </w:rPr>
      </w:pPr>
      <w:r>
        <w:rPr>
          <w:rFonts w:ascii="Times New Roman" w:hAnsi="Times New Roman"/>
        </w:rPr>
        <w:t>Umur dihitung berdasarkan tahun kelahiran yang tercantum dalam status penderita dan dikonfirmasi kembali pada pasien, dengan satuan tahun.</w:t>
      </w:r>
    </w:p>
    <w:p w14:paraId="55EA142F" w14:textId="77777777" w:rsidR="003B79BC" w:rsidRDefault="00000000">
      <w:pPr>
        <w:pStyle w:val="ColorfulList-Accent11"/>
        <w:numPr>
          <w:ilvl w:val="0"/>
          <w:numId w:val="22"/>
        </w:numPr>
        <w:tabs>
          <w:tab w:val="left" w:pos="426"/>
        </w:tabs>
        <w:spacing w:after="0" w:line="360" w:lineRule="auto"/>
        <w:contextualSpacing w:val="0"/>
        <w:jc w:val="both"/>
        <w:rPr>
          <w:rFonts w:ascii="Times New Roman" w:hAnsi="Times New Roman"/>
        </w:rPr>
      </w:pPr>
      <w:r w:rsidRPr="00F426C1">
        <w:rPr>
          <w:rFonts w:ascii="Times New Roman" w:hAnsi="Times New Roman"/>
        </w:rPr>
        <w:t>Ukuran tonsil yang menjalani tonsilektomi adalah T3 dan T4 dimana T3 memiliki arti tonsil &gt;50% s/d &lt;75% dari diameter orofaring yang di ukur dari plika anterior kiri dan kanan. Ukuran T4 memiliki arti tonsil &gt;75% dari diameter orofaring yang di ukur dari plika anterior kiri dan kanan.</w:t>
      </w:r>
    </w:p>
    <w:p w14:paraId="1015458A" w14:textId="77777777" w:rsidR="003B79BC" w:rsidRDefault="00000000">
      <w:pPr>
        <w:pStyle w:val="ColorfulList-Accent11"/>
        <w:numPr>
          <w:ilvl w:val="0"/>
          <w:numId w:val="22"/>
        </w:numPr>
        <w:tabs>
          <w:tab w:val="left" w:pos="426"/>
        </w:tabs>
        <w:spacing w:after="0" w:line="360" w:lineRule="auto"/>
        <w:contextualSpacing w:val="0"/>
        <w:jc w:val="both"/>
        <w:rPr>
          <w:rFonts w:ascii="Times New Roman" w:hAnsi="Times New Roman"/>
        </w:rPr>
      </w:pPr>
      <w:r>
        <w:rPr>
          <w:rFonts w:ascii="Times New Roman" w:hAnsi="Times New Roman"/>
        </w:rPr>
        <w:t>Status gizi adalah pengukuran status gizi menggunakan indeks massa tubuh yang dihitung dengan membagi berat badan dalam satuan kg dengan tinggi badan kuadrat dalam satuan m</w:t>
      </w:r>
      <w:r>
        <w:rPr>
          <w:rFonts w:ascii="Times New Roman" w:hAnsi="Times New Roman"/>
          <w:vertAlign w:val="superscript"/>
        </w:rPr>
        <w:t xml:space="preserve">2 </w:t>
      </w:r>
      <w:r>
        <w:rPr>
          <w:rFonts w:ascii="Times New Roman" w:hAnsi="Times New Roman"/>
        </w:rPr>
        <w:t>sesuai umur</w:t>
      </w:r>
      <w:r w:rsidRPr="00F426C1">
        <w:rPr>
          <w:rFonts w:ascii="Times New Roman" w:hAnsi="Times New Roman"/>
        </w:rPr>
        <w:t>.</w:t>
      </w:r>
    </w:p>
    <w:p w14:paraId="1B197948" w14:textId="77777777" w:rsidR="003B79BC" w:rsidRDefault="00000000">
      <w:pPr>
        <w:pStyle w:val="ColorfulList-Accent11"/>
        <w:numPr>
          <w:ilvl w:val="0"/>
          <w:numId w:val="22"/>
        </w:numPr>
        <w:tabs>
          <w:tab w:val="left" w:pos="426"/>
        </w:tabs>
        <w:spacing w:after="0" w:line="360" w:lineRule="auto"/>
        <w:contextualSpacing w:val="0"/>
        <w:jc w:val="both"/>
        <w:rPr>
          <w:rFonts w:ascii="Times New Roman" w:hAnsi="Times New Roman"/>
        </w:rPr>
      </w:pPr>
      <w:r>
        <w:rPr>
          <w:rFonts w:ascii="Times New Roman" w:hAnsi="Times New Roman"/>
        </w:rPr>
        <w:t xml:space="preserve">ASA PS adalah penilaian status fisik pasien untuk menilai risiko anestesi dan pembedahan berdasarkan kriteria </w:t>
      </w:r>
      <w:r>
        <w:rPr>
          <w:rFonts w:ascii="Times New Roman" w:hAnsi="Times New Roman"/>
          <w:i/>
          <w:iCs/>
        </w:rPr>
        <w:t>American Society of Anesthesia Physical Status</w:t>
      </w:r>
      <w:r>
        <w:rPr>
          <w:rFonts w:ascii="Times New Roman" w:hAnsi="Times New Roman"/>
        </w:rPr>
        <w:t>.</w:t>
      </w:r>
    </w:p>
    <w:p w14:paraId="3B4E70D6" w14:textId="77777777" w:rsidR="003B79BC" w:rsidRDefault="00000000">
      <w:pPr>
        <w:pStyle w:val="ColorfulList-Accent11"/>
        <w:numPr>
          <w:ilvl w:val="0"/>
          <w:numId w:val="22"/>
        </w:numPr>
        <w:tabs>
          <w:tab w:val="left" w:pos="426"/>
        </w:tabs>
        <w:spacing w:after="0" w:line="360" w:lineRule="auto"/>
        <w:contextualSpacing w:val="0"/>
        <w:jc w:val="both"/>
        <w:rPr>
          <w:rFonts w:ascii="Times New Roman" w:hAnsi="Times New Roman"/>
        </w:rPr>
      </w:pPr>
      <w:r>
        <w:rPr>
          <w:rFonts w:ascii="Times New Roman" w:hAnsi="Times New Roman"/>
        </w:rPr>
        <w:t>NRS adalah penilaian skala nyeri berdasarkan angka dengan menanyakan kepada pasien berapa nilai rasa nyeri yang dialami menggunakan skala</w:t>
      </w:r>
      <w:r w:rsidRPr="00F426C1">
        <w:rPr>
          <w:rFonts w:ascii="Times New Roman" w:hAnsi="Times New Roman"/>
        </w:rPr>
        <w:t xml:space="preserve"> numerik</w:t>
      </w:r>
      <w:r>
        <w:rPr>
          <w:rFonts w:ascii="Times New Roman" w:hAnsi="Times New Roman"/>
        </w:rPr>
        <w:t>.</w:t>
      </w:r>
    </w:p>
    <w:p w14:paraId="4B4B85A0" w14:textId="77777777" w:rsidR="003B79BC" w:rsidRDefault="00000000">
      <w:pPr>
        <w:pStyle w:val="ColorfulList-Accent11"/>
        <w:numPr>
          <w:ilvl w:val="0"/>
          <w:numId w:val="22"/>
        </w:numPr>
        <w:tabs>
          <w:tab w:val="left" w:pos="426"/>
        </w:tabs>
        <w:spacing w:after="0" w:line="360" w:lineRule="auto"/>
        <w:contextualSpacing w:val="0"/>
        <w:jc w:val="both"/>
        <w:rPr>
          <w:rFonts w:ascii="Times New Roman" w:hAnsi="Times New Roman"/>
        </w:rPr>
      </w:pPr>
      <w:r>
        <w:rPr>
          <w:rFonts w:ascii="Times New Roman" w:hAnsi="Times New Roman"/>
        </w:rPr>
        <w:t xml:space="preserve">Jumlah </w:t>
      </w:r>
      <w:r>
        <w:rPr>
          <w:rFonts w:ascii="Times New Roman" w:hAnsi="Times New Roman"/>
          <w:i/>
          <w:iCs/>
        </w:rPr>
        <w:t>rescue</w:t>
      </w:r>
      <w:r>
        <w:rPr>
          <w:rFonts w:ascii="Times New Roman" w:hAnsi="Times New Roman"/>
        </w:rPr>
        <w:t xml:space="preserve"> opioid adalah jumlah penggunaan opioid selama bedah tonsilektomi.</w:t>
      </w:r>
    </w:p>
    <w:p w14:paraId="2B523AB2" w14:textId="77777777" w:rsidR="003B79BC" w:rsidRDefault="00000000">
      <w:pPr>
        <w:pStyle w:val="ColorfulList-Accent11"/>
        <w:numPr>
          <w:ilvl w:val="0"/>
          <w:numId w:val="22"/>
        </w:numPr>
        <w:tabs>
          <w:tab w:val="left" w:pos="426"/>
        </w:tabs>
        <w:spacing w:after="0" w:line="360" w:lineRule="auto"/>
        <w:contextualSpacing w:val="0"/>
        <w:jc w:val="both"/>
        <w:rPr>
          <w:rFonts w:ascii="Times New Roman" w:hAnsi="Times New Roman"/>
        </w:rPr>
      </w:pPr>
      <w:r>
        <w:rPr>
          <w:rFonts w:ascii="Times New Roman" w:hAnsi="Times New Roman"/>
        </w:rPr>
        <w:lastRenderedPageBreak/>
        <w:t>Efek samping adalah efek samping yang ditimbulkan pascabedah seperti mual, muntah dan lain-lain.</w:t>
      </w:r>
    </w:p>
    <w:p w14:paraId="0CA283E7" w14:textId="77777777" w:rsidR="003B79BC" w:rsidRDefault="00000000">
      <w:pPr>
        <w:pStyle w:val="ListParagraph"/>
        <w:numPr>
          <w:ilvl w:val="0"/>
          <w:numId w:val="22"/>
        </w:numPr>
        <w:tabs>
          <w:tab w:val="left" w:pos="426"/>
          <w:tab w:val="left" w:pos="993"/>
          <w:tab w:val="left" w:pos="1418"/>
        </w:tabs>
        <w:spacing w:line="360" w:lineRule="auto"/>
        <w:jc w:val="both"/>
      </w:pPr>
      <w:r>
        <w:t>Skala nyeri berdasarkan nilai NRS:</w:t>
      </w:r>
    </w:p>
    <w:p w14:paraId="51AAE219" w14:textId="77777777" w:rsidR="003B79BC" w:rsidRDefault="00000000">
      <w:pPr>
        <w:pStyle w:val="ListParagraph"/>
        <w:tabs>
          <w:tab w:val="left" w:pos="426"/>
          <w:tab w:val="left" w:pos="993"/>
          <w:tab w:val="left" w:pos="1418"/>
        </w:tabs>
        <w:spacing w:line="360" w:lineRule="auto"/>
        <w:ind w:left="1080"/>
        <w:jc w:val="both"/>
      </w:pPr>
      <w:r>
        <w:t>0</w:t>
      </w:r>
      <w:r>
        <w:tab/>
      </w:r>
      <w:r>
        <w:rPr>
          <w:rFonts w:eastAsiaTheme="minorEastAsia"/>
          <w:lang w:eastAsia="zh-CN"/>
        </w:rPr>
        <w:tab/>
      </w:r>
      <w:r>
        <w:rPr>
          <w:rFonts w:eastAsiaTheme="minorEastAsia"/>
          <w:lang w:eastAsia="zh-CN"/>
        </w:rPr>
        <w:tab/>
      </w:r>
      <w:r>
        <w:t>=  tidak nyeri</w:t>
      </w:r>
    </w:p>
    <w:p w14:paraId="23B0C73B" w14:textId="77777777" w:rsidR="003B79BC" w:rsidRDefault="00000000">
      <w:pPr>
        <w:pStyle w:val="ListParagraph"/>
        <w:tabs>
          <w:tab w:val="left" w:pos="426"/>
          <w:tab w:val="left" w:pos="993"/>
          <w:tab w:val="left" w:pos="1418"/>
        </w:tabs>
        <w:spacing w:line="360" w:lineRule="auto"/>
        <w:ind w:left="1080"/>
        <w:jc w:val="both"/>
      </w:pPr>
      <w:r>
        <w:t>1 - 3</w:t>
      </w:r>
      <w:r>
        <w:tab/>
        <w:t>=  nyeri ringan</w:t>
      </w:r>
    </w:p>
    <w:p w14:paraId="4FD7D65C" w14:textId="77777777" w:rsidR="003B79BC" w:rsidRDefault="00000000">
      <w:pPr>
        <w:pStyle w:val="ListParagraph"/>
        <w:tabs>
          <w:tab w:val="left" w:pos="426"/>
          <w:tab w:val="left" w:pos="993"/>
          <w:tab w:val="left" w:pos="1418"/>
        </w:tabs>
        <w:spacing w:line="360" w:lineRule="auto"/>
        <w:ind w:left="1080"/>
        <w:jc w:val="both"/>
      </w:pPr>
      <w:r>
        <w:t>4 - 6</w:t>
      </w:r>
      <w:r>
        <w:tab/>
        <w:t>=  nyeri sedang</w:t>
      </w:r>
    </w:p>
    <w:p w14:paraId="26475C8B" w14:textId="77777777" w:rsidR="003B79BC" w:rsidRDefault="00000000">
      <w:pPr>
        <w:pStyle w:val="ListParagraph"/>
        <w:tabs>
          <w:tab w:val="left" w:pos="426"/>
          <w:tab w:val="left" w:pos="993"/>
          <w:tab w:val="left" w:pos="1418"/>
        </w:tabs>
        <w:spacing w:line="360" w:lineRule="auto"/>
        <w:ind w:left="1080"/>
        <w:jc w:val="both"/>
      </w:pPr>
      <w:r>
        <w:t xml:space="preserve">7 - 10 </w:t>
      </w:r>
      <w:r>
        <w:tab/>
        <w:t>=  nyeri berat</w:t>
      </w:r>
    </w:p>
    <w:p w14:paraId="1AB60129" w14:textId="77777777" w:rsidR="003B79BC" w:rsidRDefault="00000000">
      <w:pPr>
        <w:pStyle w:val="ListParagraph"/>
        <w:numPr>
          <w:ilvl w:val="0"/>
          <w:numId w:val="22"/>
        </w:numPr>
        <w:tabs>
          <w:tab w:val="left" w:pos="426"/>
          <w:tab w:val="left" w:pos="993"/>
          <w:tab w:val="left" w:pos="1418"/>
        </w:tabs>
        <w:spacing w:line="360" w:lineRule="auto"/>
        <w:jc w:val="both"/>
        <w:rPr>
          <w:rStyle w:val="Emphasis"/>
          <w:i w:val="0"/>
          <w:iCs w:val="0"/>
          <w:lang w:val="en-US"/>
        </w:rPr>
      </w:pPr>
      <w:r>
        <w:rPr>
          <w:lang w:val="en-US"/>
        </w:rPr>
        <w:t xml:space="preserve">Kadar IL-6 </w:t>
      </w:r>
      <w:proofErr w:type="spellStart"/>
      <w:r>
        <w:rPr>
          <w:lang w:val="en-US"/>
        </w:rPr>
        <w:t>adalah</w:t>
      </w:r>
      <w:proofErr w:type="spellEnd"/>
      <w:r>
        <w:rPr>
          <w:lang w:val="en-US"/>
        </w:rPr>
        <w:t xml:space="preserve"> </w:t>
      </w:r>
      <w:r>
        <w:rPr>
          <w:color w:val="000000" w:themeColor="text1"/>
        </w:rPr>
        <w:t xml:space="preserve">penilaian kadar IL-6 serum yang diukur dengan menggunakan </w:t>
      </w:r>
      <w:r>
        <w:rPr>
          <w:i/>
          <w:iCs/>
          <w:color w:val="000000" w:themeColor="text1"/>
        </w:rPr>
        <w:t>Enzyme Linked Immunosorbent Assay</w:t>
      </w:r>
      <w:r>
        <w:rPr>
          <w:color w:val="000000" w:themeColor="text1"/>
        </w:rPr>
        <w:t xml:space="preserve"> </w:t>
      </w:r>
      <w:r>
        <w:rPr>
          <w:i/>
          <w:iCs/>
          <w:color w:val="000000" w:themeColor="text1"/>
        </w:rPr>
        <w:t>(</w:t>
      </w:r>
      <w:r>
        <w:rPr>
          <w:rStyle w:val="Emphasis"/>
          <w:color w:val="000000" w:themeColor="text1"/>
        </w:rPr>
        <w:t>ELISA)</w:t>
      </w:r>
      <w:r>
        <w:rPr>
          <w:rStyle w:val="Emphasis"/>
          <w:color w:val="000000" w:themeColor="text1"/>
          <w:lang w:val="en-US"/>
        </w:rPr>
        <w:t>.</w:t>
      </w:r>
    </w:p>
    <w:p w14:paraId="5357525E" w14:textId="77777777" w:rsidR="003B79BC" w:rsidRDefault="003B79BC">
      <w:pPr>
        <w:pStyle w:val="ListParagraph"/>
        <w:tabs>
          <w:tab w:val="left" w:pos="426"/>
          <w:tab w:val="left" w:pos="993"/>
          <w:tab w:val="left" w:pos="1418"/>
        </w:tabs>
        <w:spacing w:line="360" w:lineRule="auto"/>
        <w:ind w:left="1080"/>
        <w:jc w:val="both"/>
        <w:rPr>
          <w:lang w:val="en-US"/>
        </w:rPr>
      </w:pPr>
    </w:p>
    <w:p w14:paraId="57FFBD22" w14:textId="77777777" w:rsidR="003B79BC" w:rsidRDefault="003B79BC">
      <w:pPr>
        <w:pStyle w:val="ListParagraph"/>
        <w:tabs>
          <w:tab w:val="left" w:pos="426"/>
          <w:tab w:val="left" w:pos="993"/>
          <w:tab w:val="left" w:pos="1418"/>
        </w:tabs>
        <w:spacing w:line="360" w:lineRule="auto"/>
        <w:ind w:left="1080"/>
        <w:jc w:val="both"/>
      </w:pPr>
    </w:p>
    <w:p w14:paraId="0907AB27" w14:textId="77777777" w:rsidR="003B79BC" w:rsidRDefault="00000000">
      <w:pPr>
        <w:pStyle w:val="Heading2"/>
        <w:numPr>
          <w:ilvl w:val="1"/>
          <w:numId w:val="13"/>
        </w:numPr>
        <w:spacing w:after="0"/>
        <w:ind w:left="567" w:hanging="567"/>
        <w:rPr>
          <w:rFonts w:cs="Times New Roman"/>
          <w:szCs w:val="24"/>
        </w:rPr>
      </w:pPr>
      <w:bookmarkStart w:id="115" w:name="_Toc97906498"/>
      <w:bookmarkStart w:id="116" w:name="_Toc158290289"/>
      <w:r>
        <w:rPr>
          <w:rFonts w:cs="Times New Roman"/>
          <w:szCs w:val="24"/>
        </w:rPr>
        <w:t>Pengolahan dan Analisis Data</w:t>
      </w:r>
      <w:bookmarkEnd w:id="115"/>
      <w:bookmarkEnd w:id="116"/>
    </w:p>
    <w:p w14:paraId="063DBCEE" w14:textId="656BDC88" w:rsidR="003B79BC" w:rsidRDefault="00000000">
      <w:pPr>
        <w:spacing w:line="360" w:lineRule="auto"/>
        <w:ind w:firstLine="567"/>
        <w:jc w:val="both"/>
        <w:rPr>
          <w:rFonts w:eastAsiaTheme="minorEastAsia"/>
          <w:lang w:eastAsia="zh-CN"/>
        </w:rPr>
      </w:pPr>
      <w:r>
        <w:rPr>
          <w:lang w:val="id-ID"/>
        </w:rPr>
        <w:t xml:space="preserve">Data yang terkumpul ditabulasi ke dalam excell kemudian dianalisis dengan </w:t>
      </w:r>
      <w:r>
        <w:t xml:space="preserve">menggunakan </w:t>
      </w:r>
      <w:r w:rsidR="00E55DCC" w:rsidRPr="00612864">
        <w:rPr>
          <w:i/>
          <w:iCs/>
        </w:rPr>
        <w:t>Statistical Program for Social Science</w:t>
      </w:r>
      <w:r w:rsidR="00E55DCC">
        <w:t xml:space="preserve"> </w:t>
      </w:r>
      <w:r w:rsidR="00E55DCC">
        <w:rPr>
          <w:lang w:val="en-US"/>
        </w:rPr>
        <w:t>(</w:t>
      </w:r>
      <w:r>
        <w:t>SPSS</w:t>
      </w:r>
      <w:r w:rsidR="00E55DCC">
        <w:rPr>
          <w:lang w:val="en-US"/>
        </w:rPr>
        <w:t>)</w:t>
      </w:r>
      <w:r>
        <w:t xml:space="preserve"> 2</w:t>
      </w:r>
      <w:r w:rsidR="00E55DCC">
        <w:rPr>
          <w:lang w:val="en-US"/>
        </w:rPr>
        <w:t>5</w:t>
      </w:r>
      <w:r>
        <w:t xml:space="preserve"> untuk Windows. </w:t>
      </w:r>
      <w:r>
        <w:rPr>
          <w:lang w:val="id-ID"/>
        </w:rPr>
        <w:t>Analisis univariat dilakukan dengan menghitung jumlah, persentase mean, median dan standar deviasi dari variabel-variabel penelitian dan karakteristik pasien. Uji bivariat dilakukan u</w:t>
      </w:r>
      <w:r>
        <w:t>ntuk melihat perbedaan antara dua kelompok dengan sebaran data numerik</w:t>
      </w:r>
      <w:r>
        <w:rPr>
          <w:lang w:val="id-ID"/>
        </w:rPr>
        <w:t xml:space="preserve"> dengan </w:t>
      </w:r>
      <w:r>
        <w:t xml:space="preserve">uji beda </w:t>
      </w:r>
      <w:r>
        <w:rPr>
          <w:i/>
        </w:rPr>
        <w:t>independent sample t-test</w:t>
      </w:r>
      <w:r>
        <w:t xml:space="preserve"> apabila data terdistribusi normal</w:t>
      </w:r>
      <w:r>
        <w:rPr>
          <w:lang w:val="id-ID"/>
        </w:rPr>
        <w:t xml:space="preserve"> dan menggunakan </w:t>
      </w:r>
      <w:r>
        <w:t xml:space="preserve">uji </w:t>
      </w:r>
      <w:r>
        <w:rPr>
          <w:i/>
        </w:rPr>
        <w:t>Mann-Whitney U test</w:t>
      </w:r>
      <w:r>
        <w:rPr>
          <w:lang w:val="id-ID"/>
        </w:rPr>
        <w:t xml:space="preserve"> jika data berdistribusi tidak normal.</w:t>
      </w:r>
      <w:r>
        <w:t xml:space="preserve"> </w:t>
      </w:r>
      <w:r>
        <w:rPr>
          <w:lang w:val="id-ID" w:eastAsia="zh-CN"/>
        </w:rPr>
        <w:t>P</w:t>
      </w:r>
      <w:r>
        <w:rPr>
          <w:lang w:eastAsia="zh-CN"/>
        </w:rPr>
        <w:t xml:space="preserve">erubahan variabel numerik </w:t>
      </w:r>
      <w:r>
        <w:rPr>
          <w:lang w:val="id-ID" w:eastAsia="zh-CN"/>
        </w:rPr>
        <w:t xml:space="preserve">dari waktu ke waktu </w:t>
      </w:r>
      <w:r>
        <w:rPr>
          <w:lang w:eastAsia="zh-CN"/>
        </w:rPr>
        <w:t xml:space="preserve">dilakukan </w:t>
      </w:r>
      <w:r>
        <w:rPr>
          <w:i/>
          <w:iCs/>
          <w:lang w:eastAsia="zh-CN"/>
        </w:rPr>
        <w:t xml:space="preserve">Paired T Test </w:t>
      </w:r>
      <w:r>
        <w:rPr>
          <w:lang w:eastAsia="zh-CN"/>
        </w:rPr>
        <w:t xml:space="preserve">apabila data terdistribusi normal, sedangkan </w:t>
      </w:r>
      <w:r>
        <w:rPr>
          <w:i/>
          <w:iCs/>
          <w:lang w:eastAsia="zh-CN"/>
        </w:rPr>
        <w:t>Wilcoxon Z Test</w:t>
      </w:r>
      <w:r>
        <w:rPr>
          <w:lang w:eastAsia="zh-CN"/>
        </w:rPr>
        <w:t xml:space="preserve"> apabila data tidak terdistribusi normal.</w:t>
      </w:r>
      <w:r>
        <w:rPr>
          <w:rFonts w:eastAsiaTheme="minorEastAsia"/>
          <w:lang w:val="id-ID" w:eastAsia="zh-CN"/>
        </w:rPr>
        <w:t xml:space="preserve"> Uji normalitas data dilakukan dengan </w:t>
      </w:r>
      <w:r>
        <w:t xml:space="preserve">uji </w:t>
      </w:r>
      <w:r>
        <w:rPr>
          <w:i/>
          <w:iCs/>
        </w:rPr>
        <w:t>Saphiro-Wilk</w:t>
      </w:r>
      <w:r>
        <w:t>.</w:t>
      </w:r>
      <w:r>
        <w:rPr>
          <w:rFonts w:eastAsiaTheme="minorEastAsia"/>
          <w:lang w:val="id-ID" w:eastAsia="zh-CN"/>
        </w:rPr>
        <w:t xml:space="preserve"> Uji </w:t>
      </w:r>
      <w:r>
        <w:t xml:space="preserve">untuk melihat perbedaan antar variabel dengan seluruh data kategori, maka akan digunakan uji </w:t>
      </w:r>
      <w:r>
        <w:rPr>
          <w:i/>
        </w:rPr>
        <w:t>chi-square test</w:t>
      </w:r>
      <w:r>
        <w:t xml:space="preserve"> (jika tidak ada nilai </w:t>
      </w:r>
      <w:r>
        <w:rPr>
          <w:i/>
        </w:rPr>
        <w:t>expected count</w:t>
      </w:r>
      <w:r>
        <w:t xml:space="preserve"> &lt;5), namun jika salah satu cell memiliki nilai </w:t>
      </w:r>
      <w:r>
        <w:rPr>
          <w:i/>
        </w:rPr>
        <w:t>expected count</w:t>
      </w:r>
      <w:r>
        <w:t xml:space="preserve"> &lt;5, maka data tersebut akan diuji dengan </w:t>
      </w:r>
      <w:r>
        <w:rPr>
          <w:i/>
        </w:rPr>
        <w:t>Fisher-exact test</w:t>
      </w:r>
      <w:r>
        <w:t>.</w:t>
      </w:r>
      <w:bookmarkStart w:id="117" w:name="_Toc97906499"/>
    </w:p>
    <w:p w14:paraId="0985AE10" w14:textId="77777777" w:rsidR="003B79BC" w:rsidRDefault="003B79BC">
      <w:pPr>
        <w:spacing w:line="360" w:lineRule="auto"/>
        <w:ind w:firstLine="567"/>
        <w:jc w:val="both"/>
        <w:rPr>
          <w:rFonts w:eastAsiaTheme="minorEastAsia"/>
          <w:lang w:eastAsia="zh-CN"/>
        </w:rPr>
      </w:pPr>
    </w:p>
    <w:p w14:paraId="687346BF" w14:textId="77777777" w:rsidR="003B79BC" w:rsidRDefault="00000000">
      <w:pPr>
        <w:pStyle w:val="Heading2"/>
        <w:numPr>
          <w:ilvl w:val="1"/>
          <w:numId w:val="13"/>
        </w:numPr>
        <w:spacing w:after="0"/>
        <w:ind w:left="567" w:hanging="567"/>
        <w:rPr>
          <w:rFonts w:cs="Times New Roman"/>
          <w:color w:val="auto"/>
          <w:szCs w:val="24"/>
        </w:rPr>
      </w:pPr>
      <w:bookmarkStart w:id="118" w:name="_Toc158290290"/>
      <w:r>
        <w:rPr>
          <w:rFonts w:cs="Times New Roman"/>
          <w:color w:val="auto"/>
          <w:szCs w:val="24"/>
        </w:rPr>
        <w:t>Jadwal Penelitian</w:t>
      </w:r>
      <w:bookmarkEnd w:id="117"/>
      <w:bookmarkEnd w:id="118"/>
      <w:r>
        <w:rPr>
          <w:rFonts w:cs="Times New Roman"/>
          <w:color w:val="auto"/>
          <w:szCs w:val="24"/>
        </w:rPr>
        <w:t xml:space="preserve"> </w:t>
      </w:r>
    </w:p>
    <w:p w14:paraId="296DEA4D" w14:textId="77777777" w:rsidR="003B79BC" w:rsidRDefault="00000000">
      <w:pPr>
        <w:pStyle w:val="ListParagraph"/>
        <w:numPr>
          <w:ilvl w:val="5"/>
          <w:numId w:val="23"/>
        </w:numPr>
        <w:tabs>
          <w:tab w:val="left" w:pos="426"/>
        </w:tabs>
        <w:spacing w:line="360" w:lineRule="auto"/>
        <w:ind w:hanging="4500"/>
        <w:contextualSpacing w:val="0"/>
        <w:jc w:val="both"/>
        <w:rPr>
          <w:b/>
        </w:rPr>
      </w:pPr>
      <w:r>
        <w:t>Persiapan</w:t>
      </w:r>
    </w:p>
    <w:p w14:paraId="78C24870" w14:textId="77777777" w:rsidR="003B79BC" w:rsidRDefault="00000000">
      <w:pPr>
        <w:pStyle w:val="ListParagraph"/>
        <w:numPr>
          <w:ilvl w:val="1"/>
          <w:numId w:val="24"/>
        </w:numPr>
        <w:tabs>
          <w:tab w:val="left" w:pos="426"/>
          <w:tab w:val="left" w:pos="851"/>
        </w:tabs>
        <w:spacing w:line="360" w:lineRule="auto"/>
        <w:ind w:left="851" w:hanging="425"/>
        <w:contextualSpacing w:val="0"/>
        <w:jc w:val="both"/>
        <w:rPr>
          <w:b/>
        </w:rPr>
      </w:pPr>
      <w:r>
        <w:rPr>
          <w:bCs/>
        </w:rPr>
        <w:t>Seminar proposal</w:t>
      </w:r>
      <w:r>
        <w:rPr>
          <w:bCs/>
        </w:rPr>
        <w:tab/>
      </w:r>
      <w:r>
        <w:rPr>
          <w:bCs/>
        </w:rPr>
        <w:tab/>
      </w:r>
      <w:r>
        <w:rPr>
          <w:bCs/>
          <w:lang w:eastAsia="zh-CN"/>
        </w:rPr>
        <w:tab/>
      </w:r>
      <w:r>
        <w:rPr>
          <w:bCs/>
        </w:rPr>
        <w:t xml:space="preserve">: 1 </w:t>
      </w:r>
      <w:r>
        <w:rPr>
          <w:bCs/>
          <w:lang w:val="en-US"/>
        </w:rPr>
        <w:t>pekan</w:t>
      </w:r>
    </w:p>
    <w:p w14:paraId="5061E0EE" w14:textId="77777777" w:rsidR="003B79BC" w:rsidRDefault="00000000">
      <w:pPr>
        <w:pStyle w:val="ListParagraph"/>
        <w:numPr>
          <w:ilvl w:val="1"/>
          <w:numId w:val="24"/>
        </w:numPr>
        <w:tabs>
          <w:tab w:val="left" w:pos="426"/>
          <w:tab w:val="left" w:pos="851"/>
        </w:tabs>
        <w:spacing w:line="360" w:lineRule="auto"/>
        <w:ind w:left="851" w:hanging="425"/>
        <w:contextualSpacing w:val="0"/>
        <w:jc w:val="both"/>
        <w:rPr>
          <w:b/>
        </w:rPr>
      </w:pPr>
      <w:r>
        <w:rPr>
          <w:bCs/>
        </w:rPr>
        <w:t>Persiapan alat dan bahan</w:t>
      </w:r>
      <w:r>
        <w:rPr>
          <w:bCs/>
        </w:rPr>
        <w:tab/>
      </w:r>
      <w:r>
        <w:rPr>
          <w:bCs/>
          <w:lang w:eastAsia="zh-CN"/>
        </w:rPr>
        <w:tab/>
      </w:r>
      <w:r>
        <w:rPr>
          <w:bCs/>
        </w:rPr>
        <w:t xml:space="preserve">: </w:t>
      </w:r>
      <w:r>
        <w:rPr>
          <w:bCs/>
          <w:lang w:val="en-US"/>
        </w:rPr>
        <w:t>2</w:t>
      </w:r>
      <w:r>
        <w:rPr>
          <w:bCs/>
        </w:rPr>
        <w:t xml:space="preserve"> </w:t>
      </w:r>
      <w:proofErr w:type="spellStart"/>
      <w:r>
        <w:rPr>
          <w:bCs/>
          <w:lang w:val="en-US"/>
        </w:rPr>
        <w:t>bulan</w:t>
      </w:r>
      <w:proofErr w:type="spellEnd"/>
    </w:p>
    <w:p w14:paraId="55FEE832" w14:textId="77777777" w:rsidR="003B79BC" w:rsidRDefault="00000000">
      <w:pPr>
        <w:pStyle w:val="ListParagraph"/>
        <w:numPr>
          <w:ilvl w:val="5"/>
          <w:numId w:val="23"/>
        </w:numPr>
        <w:tabs>
          <w:tab w:val="left" w:pos="426"/>
        </w:tabs>
        <w:spacing w:line="360" w:lineRule="auto"/>
        <w:ind w:hanging="4500"/>
        <w:contextualSpacing w:val="0"/>
        <w:jc w:val="both"/>
        <w:rPr>
          <w:b/>
        </w:rPr>
      </w:pPr>
      <w:r>
        <w:lastRenderedPageBreak/>
        <w:t>Pelaksanaan</w:t>
      </w:r>
    </w:p>
    <w:p w14:paraId="2F1EA8EC" w14:textId="77777777" w:rsidR="003B79BC" w:rsidRDefault="00000000">
      <w:pPr>
        <w:pStyle w:val="ListParagraph"/>
        <w:numPr>
          <w:ilvl w:val="0"/>
          <w:numId w:val="25"/>
        </w:numPr>
        <w:spacing w:line="360" w:lineRule="auto"/>
        <w:contextualSpacing w:val="0"/>
        <w:jc w:val="both"/>
        <w:rPr>
          <w:b/>
        </w:rPr>
      </w:pPr>
      <w:r>
        <w:t>Pengumpulan data</w:t>
      </w:r>
      <w:r>
        <w:tab/>
      </w:r>
      <w:r>
        <w:tab/>
      </w:r>
      <w:r>
        <w:rPr>
          <w:lang w:eastAsia="zh-CN"/>
        </w:rPr>
        <w:tab/>
      </w:r>
      <w:r>
        <w:t>: Sampai jumlah sampel terpenuhi</w:t>
      </w:r>
    </w:p>
    <w:p w14:paraId="464328A5" w14:textId="77777777" w:rsidR="003B79BC" w:rsidRDefault="00000000">
      <w:pPr>
        <w:pStyle w:val="ListParagraph"/>
        <w:numPr>
          <w:ilvl w:val="0"/>
          <w:numId w:val="25"/>
        </w:numPr>
        <w:spacing w:line="360" w:lineRule="auto"/>
        <w:contextualSpacing w:val="0"/>
        <w:jc w:val="both"/>
        <w:rPr>
          <w:b/>
        </w:rPr>
      </w:pPr>
      <w:r>
        <w:t>Analisa data dan penyusunan</w:t>
      </w:r>
      <w:r>
        <w:tab/>
        <w:t xml:space="preserve">data </w:t>
      </w:r>
      <w:r>
        <w:rPr>
          <w:lang w:eastAsia="zh-CN"/>
        </w:rPr>
        <w:tab/>
      </w:r>
      <w:r>
        <w:t xml:space="preserve">: 3 </w:t>
      </w:r>
      <w:r w:rsidRPr="00F426C1">
        <w:rPr>
          <w:lang w:val="pt-BR"/>
        </w:rPr>
        <w:t>pekan</w:t>
      </w:r>
    </w:p>
    <w:p w14:paraId="197B23A7" w14:textId="77777777" w:rsidR="003B79BC" w:rsidRDefault="00000000">
      <w:pPr>
        <w:pStyle w:val="ListParagraph"/>
        <w:numPr>
          <w:ilvl w:val="5"/>
          <w:numId w:val="23"/>
        </w:numPr>
        <w:tabs>
          <w:tab w:val="left" w:pos="426"/>
        </w:tabs>
        <w:spacing w:line="360" w:lineRule="auto"/>
        <w:ind w:hanging="4500"/>
        <w:contextualSpacing w:val="0"/>
        <w:jc w:val="both"/>
        <w:rPr>
          <w:b/>
        </w:rPr>
      </w:pPr>
      <w:r>
        <w:t>Pelaporan</w:t>
      </w:r>
    </w:p>
    <w:p w14:paraId="24136BC0" w14:textId="77777777" w:rsidR="003B79BC" w:rsidRDefault="00000000">
      <w:pPr>
        <w:pStyle w:val="ListParagraph"/>
        <w:numPr>
          <w:ilvl w:val="0"/>
          <w:numId w:val="26"/>
        </w:numPr>
        <w:tabs>
          <w:tab w:val="left" w:pos="426"/>
        </w:tabs>
        <w:spacing w:line="360" w:lineRule="auto"/>
        <w:contextualSpacing w:val="0"/>
        <w:jc w:val="both"/>
        <w:rPr>
          <w:b/>
        </w:rPr>
      </w:pPr>
      <w:r>
        <w:t>Penulisan laporan akhir</w:t>
      </w:r>
      <w:r>
        <w:tab/>
      </w:r>
      <w:r>
        <w:rPr>
          <w:lang w:eastAsia="zh-CN"/>
        </w:rPr>
        <w:tab/>
      </w:r>
      <w:r>
        <w:t xml:space="preserve">: 1 </w:t>
      </w:r>
      <w:r>
        <w:rPr>
          <w:lang w:val="en-US"/>
        </w:rPr>
        <w:t>pekan</w:t>
      </w:r>
    </w:p>
    <w:p w14:paraId="1819736D" w14:textId="77777777" w:rsidR="003B79BC" w:rsidRDefault="00000000">
      <w:pPr>
        <w:pStyle w:val="ListParagraph"/>
        <w:numPr>
          <w:ilvl w:val="0"/>
          <w:numId w:val="26"/>
        </w:numPr>
        <w:tabs>
          <w:tab w:val="left" w:pos="426"/>
        </w:tabs>
        <w:spacing w:line="360" w:lineRule="auto"/>
        <w:contextualSpacing w:val="0"/>
        <w:jc w:val="both"/>
        <w:rPr>
          <w:b/>
        </w:rPr>
      </w:pPr>
      <w:r>
        <w:t>Seminar hasil</w:t>
      </w:r>
      <w:r>
        <w:tab/>
      </w:r>
      <w:r>
        <w:tab/>
      </w:r>
      <w:r>
        <w:tab/>
      </w:r>
      <w:r>
        <w:rPr>
          <w:lang w:eastAsia="zh-CN"/>
        </w:rPr>
        <w:tab/>
      </w:r>
      <w:r>
        <w:t xml:space="preserve">: 1 </w:t>
      </w:r>
      <w:r>
        <w:rPr>
          <w:lang w:val="en-US"/>
        </w:rPr>
        <w:t>pekan</w:t>
      </w:r>
    </w:p>
    <w:p w14:paraId="236DEBCD" w14:textId="77777777" w:rsidR="003B79BC" w:rsidRDefault="003B79BC">
      <w:pPr>
        <w:pStyle w:val="ListParagraph"/>
        <w:tabs>
          <w:tab w:val="left" w:pos="426"/>
        </w:tabs>
        <w:spacing w:line="360" w:lineRule="auto"/>
        <w:contextualSpacing w:val="0"/>
        <w:jc w:val="both"/>
        <w:rPr>
          <w:b/>
        </w:rPr>
      </w:pPr>
    </w:p>
    <w:p w14:paraId="4AFBCAB9" w14:textId="77777777" w:rsidR="003B79BC" w:rsidRDefault="00000000">
      <w:pPr>
        <w:pStyle w:val="Heading2"/>
        <w:numPr>
          <w:ilvl w:val="1"/>
          <w:numId w:val="13"/>
        </w:numPr>
        <w:spacing w:after="0"/>
        <w:ind w:left="567" w:hanging="567"/>
        <w:rPr>
          <w:rFonts w:cs="Times New Roman"/>
          <w:szCs w:val="24"/>
        </w:rPr>
      </w:pPr>
      <w:bookmarkStart w:id="119" w:name="_Toc97906500"/>
      <w:bookmarkStart w:id="120" w:name="_Toc158290291"/>
      <w:r>
        <w:rPr>
          <w:rFonts w:cs="Times New Roman"/>
          <w:color w:val="auto"/>
          <w:szCs w:val="24"/>
        </w:rPr>
        <w:t>Personalia</w:t>
      </w:r>
      <w:r>
        <w:rPr>
          <w:rFonts w:cs="Times New Roman"/>
          <w:szCs w:val="24"/>
        </w:rPr>
        <w:t xml:space="preserve"> Penelitian</w:t>
      </w:r>
      <w:bookmarkEnd w:id="119"/>
      <w:bookmarkEnd w:id="120"/>
    </w:p>
    <w:p w14:paraId="389CFE57" w14:textId="77777777" w:rsidR="003B79BC" w:rsidRDefault="00000000">
      <w:pPr>
        <w:pStyle w:val="ListParagraph"/>
        <w:numPr>
          <w:ilvl w:val="0"/>
          <w:numId w:val="27"/>
        </w:numPr>
        <w:tabs>
          <w:tab w:val="left" w:pos="2552"/>
        </w:tabs>
        <w:spacing w:line="360" w:lineRule="auto"/>
        <w:contextualSpacing w:val="0"/>
        <w:jc w:val="both"/>
      </w:pPr>
      <w:r>
        <w:t xml:space="preserve">Pelaksana </w:t>
      </w:r>
      <w:r>
        <w:tab/>
        <w:t xml:space="preserve">:  </w:t>
      </w:r>
      <w:r>
        <w:rPr>
          <w:lang w:val="en-US"/>
        </w:rPr>
        <w:t xml:space="preserve">dr. Herman Mangasi Silaban dan Residen </w:t>
      </w:r>
      <w:proofErr w:type="spellStart"/>
      <w:r>
        <w:rPr>
          <w:lang w:val="en-US"/>
        </w:rPr>
        <w:t>Anestesi</w:t>
      </w:r>
      <w:proofErr w:type="spellEnd"/>
    </w:p>
    <w:p w14:paraId="79D60EFE" w14:textId="77777777" w:rsidR="003B79BC" w:rsidRDefault="00000000">
      <w:pPr>
        <w:pStyle w:val="ListParagraph"/>
        <w:numPr>
          <w:ilvl w:val="0"/>
          <w:numId w:val="27"/>
        </w:numPr>
        <w:tabs>
          <w:tab w:val="left" w:pos="340"/>
          <w:tab w:val="left" w:pos="2560"/>
        </w:tabs>
        <w:spacing w:line="360" w:lineRule="auto"/>
        <w:ind w:left="2740" w:hanging="2740"/>
        <w:jc w:val="both"/>
        <w:rPr>
          <w:b/>
          <w:bCs/>
          <w:lang w:val="en-US" w:eastAsia="zh-CN"/>
        </w:rPr>
      </w:pPr>
      <w:r>
        <w:rPr>
          <w:lang w:eastAsia="zh-CN"/>
        </w:rPr>
        <w:t>Pembimbing 1</w:t>
      </w:r>
      <w:r>
        <w:rPr>
          <w:lang w:eastAsia="zh-CN"/>
        </w:rPr>
        <w:tab/>
        <w:t>:</w:t>
      </w:r>
      <w:r>
        <w:rPr>
          <w:lang w:val="en-US" w:eastAsia="zh-CN"/>
        </w:rPr>
        <w:tab/>
        <w:t xml:space="preserve">dr. Ari </w:t>
      </w:r>
      <w:proofErr w:type="spellStart"/>
      <w:r>
        <w:rPr>
          <w:lang w:val="en-US" w:eastAsia="zh-CN"/>
        </w:rPr>
        <w:t>Santri</w:t>
      </w:r>
      <w:proofErr w:type="spellEnd"/>
      <w:r>
        <w:rPr>
          <w:lang w:val="en-US" w:eastAsia="zh-CN"/>
        </w:rPr>
        <w:t xml:space="preserve"> </w:t>
      </w:r>
      <w:proofErr w:type="spellStart"/>
      <w:r>
        <w:rPr>
          <w:lang w:val="en-US" w:eastAsia="zh-CN"/>
        </w:rPr>
        <w:t>Palinrungi</w:t>
      </w:r>
      <w:proofErr w:type="spellEnd"/>
      <w:r>
        <w:rPr>
          <w:lang w:val="en-US" w:eastAsia="zh-CN"/>
        </w:rPr>
        <w:t xml:space="preserve">, </w:t>
      </w:r>
      <w:proofErr w:type="spellStart"/>
      <w:proofErr w:type="gramStart"/>
      <w:r>
        <w:rPr>
          <w:lang w:val="en-US" w:eastAsia="zh-CN"/>
        </w:rPr>
        <w:t>M.Kes</w:t>
      </w:r>
      <w:proofErr w:type="spellEnd"/>
      <w:proofErr w:type="gramEnd"/>
      <w:r>
        <w:rPr>
          <w:lang w:val="en-US" w:eastAsia="zh-CN"/>
        </w:rPr>
        <w:t>,</w:t>
      </w:r>
      <w:r>
        <w:rPr>
          <w:lang w:eastAsia="zh-CN"/>
        </w:rPr>
        <w:t xml:space="preserve"> </w:t>
      </w:r>
      <w:proofErr w:type="spellStart"/>
      <w:r>
        <w:rPr>
          <w:lang w:val="en-US" w:eastAsia="zh-CN"/>
        </w:rPr>
        <w:t>Sp.An</w:t>
      </w:r>
      <w:proofErr w:type="spellEnd"/>
      <w:r>
        <w:rPr>
          <w:lang w:val="en-US" w:eastAsia="zh-CN"/>
        </w:rPr>
        <w:t xml:space="preserve">-T.I, </w:t>
      </w:r>
      <w:proofErr w:type="spellStart"/>
      <w:r>
        <w:rPr>
          <w:lang w:val="en-US" w:eastAsia="zh-CN"/>
        </w:rPr>
        <w:t>Subsp.T.I</w:t>
      </w:r>
      <w:proofErr w:type="spellEnd"/>
      <w:r>
        <w:rPr>
          <w:lang w:val="en-US" w:eastAsia="zh-CN"/>
        </w:rPr>
        <w:t>.(K)</w:t>
      </w:r>
    </w:p>
    <w:p w14:paraId="240A19BD" w14:textId="77777777" w:rsidR="003B79BC" w:rsidRDefault="00000000">
      <w:pPr>
        <w:pStyle w:val="ListParagraph"/>
        <w:numPr>
          <w:ilvl w:val="0"/>
          <w:numId w:val="27"/>
        </w:numPr>
        <w:tabs>
          <w:tab w:val="left" w:pos="378"/>
          <w:tab w:val="left" w:pos="2552"/>
          <w:tab w:val="left" w:pos="2730"/>
        </w:tabs>
        <w:spacing w:line="360" w:lineRule="auto"/>
        <w:ind w:left="2730" w:hanging="2730"/>
        <w:jc w:val="both"/>
        <w:rPr>
          <w:lang w:val="en-US"/>
        </w:rPr>
      </w:pPr>
      <w:r>
        <w:t>Pembimbing 2</w:t>
      </w:r>
      <w:r>
        <w:rPr>
          <w:rFonts w:eastAsiaTheme="minorEastAsia"/>
          <w:lang w:eastAsia="zh-CN"/>
        </w:rPr>
        <w:tab/>
      </w:r>
      <w:r>
        <w:t>:</w:t>
      </w:r>
      <w:r>
        <w:rPr>
          <w:lang w:val="en-US"/>
        </w:rPr>
        <w:tab/>
      </w:r>
      <w:proofErr w:type="spellStart"/>
      <w:r>
        <w:rPr>
          <w:lang w:val="en-US"/>
        </w:rPr>
        <w:t>Prof.Dr.dr</w:t>
      </w:r>
      <w:proofErr w:type="spellEnd"/>
      <w:r>
        <w:rPr>
          <w:lang w:val="en-US"/>
        </w:rPr>
        <w:t xml:space="preserve">. Muh. Ramli Ahmad, </w:t>
      </w:r>
      <w:proofErr w:type="spellStart"/>
      <w:proofErr w:type="gramStart"/>
      <w:r>
        <w:rPr>
          <w:lang w:val="en-US"/>
        </w:rPr>
        <w:t>Sp.An</w:t>
      </w:r>
      <w:proofErr w:type="spellEnd"/>
      <w:proofErr w:type="gramEnd"/>
      <w:r>
        <w:rPr>
          <w:lang w:val="en-US"/>
        </w:rPr>
        <w:t>-T.I, Subsp. M.N.(K), Subsp. A.O.(K)</w:t>
      </w:r>
    </w:p>
    <w:p w14:paraId="328A3E0E" w14:textId="77777777" w:rsidR="003B79BC" w:rsidRDefault="00000000">
      <w:pPr>
        <w:pStyle w:val="ListParagraph"/>
        <w:numPr>
          <w:ilvl w:val="0"/>
          <w:numId w:val="27"/>
        </w:numPr>
        <w:tabs>
          <w:tab w:val="left" w:pos="2552"/>
        </w:tabs>
        <w:spacing w:line="360" w:lineRule="auto"/>
        <w:jc w:val="both"/>
        <w:rPr>
          <w:lang w:val="en-US"/>
        </w:rPr>
      </w:pPr>
      <w:proofErr w:type="spellStart"/>
      <w:r>
        <w:rPr>
          <w:lang w:val="en-US"/>
        </w:rPr>
        <w:t>Pembimbing</w:t>
      </w:r>
      <w:proofErr w:type="spellEnd"/>
      <w:r>
        <w:rPr>
          <w:lang w:val="en-US"/>
        </w:rPr>
        <w:t xml:space="preserve"> </w:t>
      </w:r>
      <w:proofErr w:type="spellStart"/>
      <w:r>
        <w:rPr>
          <w:lang w:val="en-US"/>
        </w:rPr>
        <w:t>Statistik</w:t>
      </w:r>
      <w:proofErr w:type="spellEnd"/>
      <w:r>
        <w:rPr>
          <w:lang w:val="en-US"/>
        </w:rPr>
        <w:tab/>
        <w:t xml:space="preserve">: Dr. dr. Arifin </w:t>
      </w:r>
      <w:proofErr w:type="spellStart"/>
      <w:r>
        <w:rPr>
          <w:lang w:val="en-US"/>
        </w:rPr>
        <w:t>Seweng</w:t>
      </w:r>
      <w:proofErr w:type="spellEnd"/>
      <w:r>
        <w:rPr>
          <w:lang w:val="en-US"/>
        </w:rPr>
        <w:t>, MPH</w:t>
      </w:r>
    </w:p>
    <w:p w14:paraId="7C7B631E" w14:textId="77777777" w:rsidR="003B79BC" w:rsidRDefault="003B79BC">
      <w:pPr>
        <w:pStyle w:val="ListParagraph"/>
        <w:numPr>
          <w:ilvl w:val="0"/>
          <w:numId w:val="27"/>
        </w:numPr>
        <w:tabs>
          <w:tab w:val="left" w:pos="2552"/>
        </w:tabs>
        <w:spacing w:line="360" w:lineRule="auto"/>
        <w:contextualSpacing w:val="0"/>
        <w:jc w:val="both"/>
        <w:rPr>
          <w:rFonts w:asciiTheme="majorBidi" w:hAnsiTheme="majorBidi" w:cstheme="majorBidi"/>
        </w:rPr>
        <w:sectPr w:rsidR="003B79BC" w:rsidSect="00275E84">
          <w:pgSz w:w="11907" w:h="16840"/>
          <w:pgMar w:top="2268" w:right="1701" w:bottom="1701" w:left="2268" w:header="720" w:footer="720" w:gutter="0"/>
          <w:cols w:space="720"/>
          <w:docGrid w:linePitch="360"/>
        </w:sectPr>
      </w:pPr>
    </w:p>
    <w:p w14:paraId="24967368" w14:textId="77777777" w:rsidR="003B79BC" w:rsidRDefault="00000000">
      <w:pPr>
        <w:pStyle w:val="Heading2"/>
        <w:numPr>
          <w:ilvl w:val="1"/>
          <w:numId w:val="13"/>
        </w:numPr>
        <w:spacing w:after="0"/>
        <w:ind w:left="567" w:hanging="567"/>
        <w:rPr>
          <w:lang w:val="en-US"/>
        </w:rPr>
      </w:pPr>
      <w:bookmarkStart w:id="121" w:name="_Toc158290292"/>
      <w:r>
        <w:rPr>
          <w:lang w:val="en-US"/>
        </w:rPr>
        <w:lastRenderedPageBreak/>
        <w:t xml:space="preserve">Alur </w:t>
      </w:r>
      <w:r>
        <w:rPr>
          <w:rFonts w:cs="Times New Roman"/>
          <w:szCs w:val="24"/>
        </w:rPr>
        <w:t>Penelitian</w:t>
      </w:r>
      <w:bookmarkEnd w:id="121"/>
    </w:p>
    <w:p w14:paraId="3AD619D9" w14:textId="77777777" w:rsidR="003B79BC" w:rsidRDefault="00000000">
      <w:pPr>
        <w:rPr>
          <w:rFonts w:eastAsiaTheme="minorEastAsia"/>
          <w:lang w:eastAsia="zh-CN"/>
        </w:rPr>
      </w:pPr>
      <w:r>
        <w:rPr>
          <w:noProof/>
          <w:lang w:eastAsia="zh-CN"/>
        </w:rPr>
        <mc:AlternateContent>
          <mc:Choice Requires="wps">
            <w:drawing>
              <wp:anchor distT="0" distB="0" distL="114300" distR="114300" simplePos="0" relativeHeight="251693056" behindDoc="0" locked="0" layoutInCell="1" allowOverlap="1" wp14:anchorId="0488E861" wp14:editId="13478517">
                <wp:simplePos x="0" y="0"/>
                <wp:positionH relativeFrom="margin">
                  <wp:posOffset>257175</wp:posOffset>
                </wp:positionH>
                <wp:positionV relativeFrom="paragraph">
                  <wp:posOffset>42545</wp:posOffset>
                </wp:positionV>
                <wp:extent cx="4404360" cy="263525"/>
                <wp:effectExtent l="0" t="0" r="15240" b="22225"/>
                <wp:wrapNone/>
                <wp:docPr id="884031756" name="Rectangle 884031756"/>
                <wp:cNvGraphicFramePr/>
                <a:graphic xmlns:a="http://schemas.openxmlformats.org/drawingml/2006/main">
                  <a:graphicData uri="http://schemas.microsoft.com/office/word/2010/wordprocessingShape">
                    <wps:wsp>
                      <wps:cNvSpPr/>
                      <wps:spPr>
                        <a:xfrm>
                          <a:off x="0" y="0"/>
                          <a:ext cx="4404360" cy="263525"/>
                        </a:xfrm>
                        <a:prstGeom prst="rect">
                          <a:avLst/>
                        </a:prstGeom>
                        <a:solidFill>
                          <a:schemeClr val="bg1"/>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89D7F4" w14:textId="77777777" w:rsidR="003B79BC" w:rsidRDefault="00000000">
                            <w:pPr>
                              <w:jc w:val="center"/>
                              <w:rPr>
                                <w:color w:val="000000" w:themeColor="text1"/>
                                <w:sz w:val="20"/>
                                <w:szCs w:val="20"/>
                                <w:lang w:val="id-ID"/>
                              </w:rPr>
                            </w:pPr>
                            <w:r>
                              <w:rPr>
                                <w:color w:val="000000" w:themeColor="text1"/>
                                <w:sz w:val="20"/>
                                <w:szCs w:val="20"/>
                                <w:lang w:val="id-ID"/>
                              </w:rPr>
                              <w:t>Pasien yang memenuhi kriteria inklusi</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0488E861" id="Rectangle 884031756" o:spid="_x0000_s1052" style="position:absolute;margin-left:20.25pt;margin-top:3.35pt;width:346.8pt;height:20.75pt;z-index:25169305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" fillcolor="white [3212]" strokecolor="#1f497d [3215]" strokeweight="2pt">
                <v:textbox>
                  <w:txbxContent>
                    <w:p w14:paraId="3589D7F4" w14:textId="77777777" w:rsidR="003B79BC" w:rsidRDefault="00000000">
                      <w:pPr>
                        <w:jc w:val="center"/>
                        <w:rPr>
                          <w:color w:val="000000" w:themeColor="text1"/>
                          <w:sz w:val="20"/>
                          <w:szCs w:val="20"/>
                          <w:lang w:val="id-ID"/>
                        </w:rPr>
                      </w:pPr>
                      <w:r>
                        <w:rPr>
                          <w:color w:val="000000" w:themeColor="text1"/>
                          <w:sz w:val="20"/>
                          <w:szCs w:val="20"/>
                          <w:lang w:val="id-ID"/>
                        </w:rPr>
                        <w:t>Pasien yang memenuhi kriteria inklusi</w:t>
                      </w:r>
                    </w:p>
                  </w:txbxContent>
                </v:textbox>
                <w10:wrap anchorx="margin"/>
              </v:rect>
            </w:pict>
          </mc:Fallback>
        </mc:AlternateContent>
      </w:r>
    </w:p>
    <w:p w14:paraId="42AA7518" w14:textId="77777777" w:rsidR="003B79BC" w:rsidRDefault="00000000">
      <w:pPr>
        <w:pStyle w:val="NormalWeb"/>
        <w:rPr>
          <w:lang w:eastAsia="zh-CN"/>
        </w:rPr>
      </w:pPr>
      <w:r>
        <w:rPr>
          <w:noProof/>
          <w:lang w:eastAsia="zh-CN"/>
        </w:rPr>
        <mc:AlternateContent>
          <mc:Choice Requires="wps">
            <w:drawing>
              <wp:anchor distT="0" distB="0" distL="114300" distR="114300" simplePos="0" relativeHeight="251677696" behindDoc="0" locked="0" layoutInCell="1" allowOverlap="1" wp14:anchorId="39C99182" wp14:editId="04DFED04">
                <wp:simplePos x="0" y="0"/>
                <wp:positionH relativeFrom="margin">
                  <wp:posOffset>243840</wp:posOffset>
                </wp:positionH>
                <wp:positionV relativeFrom="paragraph">
                  <wp:posOffset>319405</wp:posOffset>
                </wp:positionV>
                <wp:extent cx="4404360" cy="263525"/>
                <wp:effectExtent l="0" t="0" r="15240" b="22225"/>
                <wp:wrapNone/>
                <wp:docPr id="16" name="Rectangle 16"/>
                <wp:cNvGraphicFramePr/>
                <a:graphic xmlns:a="http://schemas.openxmlformats.org/drawingml/2006/main">
                  <a:graphicData uri="http://schemas.microsoft.com/office/word/2010/wordprocessingShape">
                    <wps:wsp>
                      <wps:cNvSpPr/>
                      <wps:spPr>
                        <a:xfrm>
                          <a:off x="0" y="0"/>
                          <a:ext cx="4404360" cy="263525"/>
                        </a:xfrm>
                        <a:prstGeom prst="rect">
                          <a:avLst/>
                        </a:prstGeom>
                        <a:solidFill>
                          <a:schemeClr val="bg1"/>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FD0EC6" w14:textId="77777777" w:rsidR="003B79BC" w:rsidRDefault="00000000">
                            <w:pPr>
                              <w:jc w:val="center"/>
                              <w:rPr>
                                <w:i/>
                                <w:iCs/>
                                <w:color w:val="000000" w:themeColor="text1"/>
                                <w:sz w:val="20"/>
                                <w:szCs w:val="20"/>
                                <w:lang w:val="id-ID"/>
                              </w:rPr>
                            </w:pPr>
                            <w:r>
                              <w:rPr>
                                <w:i/>
                                <w:iCs/>
                                <w:color w:val="000000" w:themeColor="text1"/>
                                <w:sz w:val="20"/>
                                <w:szCs w:val="20"/>
                                <w:lang w:val="id-ID"/>
                              </w:rPr>
                              <w:t>Informed consent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9C99182" id="Rectangle 16" o:spid="_x0000_s1053" style="position:absolute;margin-left:19.2pt;margin-top:25.15pt;width:346.8pt;height:20.75pt;z-index:2516776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" fillcolor="white [3212]" strokecolor="#1f497d [3215]" strokeweight="2pt">
                <v:textbox>
                  <w:txbxContent>
                    <w:p w14:paraId="07FD0EC6" w14:textId="77777777" w:rsidR="003B79BC" w:rsidRDefault="00000000">
                      <w:pPr>
                        <w:jc w:val="center"/>
                        <w:rPr>
                          <w:i/>
                          <w:iCs/>
                          <w:color w:val="000000" w:themeColor="text1"/>
                          <w:sz w:val="20"/>
                          <w:szCs w:val="20"/>
                          <w:lang w:val="id-ID"/>
                        </w:rPr>
                      </w:pPr>
                      <w:r>
                        <w:rPr>
                          <w:i/>
                          <w:iCs/>
                          <w:color w:val="000000" w:themeColor="text1"/>
                          <w:sz w:val="20"/>
                          <w:szCs w:val="20"/>
                          <w:lang w:val="id-ID"/>
                        </w:rPr>
                        <w:t>Informed consent</w:t>
                      </w:r>
                    </w:p>
                  </w:txbxContent>
                </v:textbox>
                <w10:wrap anchorx="margin"/>
              </v:rect>
            </w:pict>
          </mc:Fallback>
        </mc:AlternateContent>
      </w:r>
      <w:r>
        <w:rPr>
          <w:noProof/>
          <w:lang w:eastAsia="zh-CN"/>
        </w:rPr>
        <mc:AlternateContent>
          <mc:Choice Requires="wps">
            <w:drawing>
              <wp:anchor distT="0" distB="0" distL="114300" distR="114300" simplePos="0" relativeHeight="251694080" behindDoc="0" locked="0" layoutInCell="1" allowOverlap="1" wp14:anchorId="1D945C31" wp14:editId="5FA17DF2">
                <wp:simplePos x="0" y="0"/>
                <wp:positionH relativeFrom="page">
                  <wp:posOffset>3809365</wp:posOffset>
                </wp:positionH>
                <wp:positionV relativeFrom="paragraph">
                  <wp:posOffset>121285</wp:posOffset>
                </wp:positionV>
                <wp:extent cx="0" cy="188595"/>
                <wp:effectExtent l="76200" t="0" r="57150" b="59055"/>
                <wp:wrapNone/>
                <wp:docPr id="184326366" name="Straight Arrow Connector 184326366"/>
                <wp:cNvGraphicFramePr/>
                <a:graphic xmlns:a="http://schemas.openxmlformats.org/drawingml/2006/main">
                  <a:graphicData uri="http://schemas.microsoft.com/office/word/2010/wordprocessingShape">
                    <wps:wsp>
                      <wps:cNvCnPr/>
                      <wps:spPr>
                        <a:xfrm>
                          <a:off x="0" y="0"/>
                          <a:ext cx="0" cy="188651"/>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299.95pt;margin-top:9.55pt;height:14.85pt;width:0pt;mso-position-horizontal-relative:page;z-index:251694080;mso-width-relative:page;mso-height-relative:page;" filled="f" stroked="t" coordsize="21600,21600" o:gfxdata="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nH1+h1gAAAAkBAAAPAAAAAAAAAAEAIAAAACIAAABkcnMv&#10;ZG93bnJldi54bWxQSwECFAAUAAAACACHTuJAIXkVzgUCAAAWBAAADgAAAAAAAAABACAAAAAlAQAA&#10;ZHJzL2Uyb0RvYy54bWxQSwUGAAAAAAYABgBZAQAAnAUAAAAA&#10;">
                <v:fill on="f" focussize="0,0"/>
                <v:stroke weight="1.5pt" color="#4A7EBB [3204]" joinstyle="round" endarrow="block"/>
                <v:imagedata o:title=""/>
                <o:lock v:ext="edit" aspectratio="f"/>
              </v:shape>
            </w:pict>
          </mc:Fallback>
        </mc:AlternateContent>
      </w:r>
    </w:p>
    <w:p w14:paraId="205AFCB4" w14:textId="77777777" w:rsidR="003B79BC" w:rsidRDefault="00000000">
      <w:pPr>
        <w:pStyle w:val="NormalWeb"/>
        <w:rPr>
          <w:lang w:eastAsia="zh-CN"/>
        </w:rPr>
      </w:pPr>
      <w:r>
        <w:rPr>
          <w:noProof/>
          <w:lang w:eastAsia="zh-CN"/>
        </w:rPr>
        <mc:AlternateContent>
          <mc:Choice Requires="wps">
            <w:drawing>
              <wp:anchor distT="0" distB="0" distL="114300" distR="114300" simplePos="0" relativeHeight="251678720" behindDoc="0" locked="0" layoutInCell="1" allowOverlap="1" wp14:anchorId="516984F4" wp14:editId="581E6EE3">
                <wp:simplePos x="0" y="0"/>
                <wp:positionH relativeFrom="margin">
                  <wp:posOffset>226695</wp:posOffset>
                </wp:positionH>
                <wp:positionV relativeFrom="paragraph">
                  <wp:posOffset>243840</wp:posOffset>
                </wp:positionV>
                <wp:extent cx="4404360" cy="263525"/>
                <wp:effectExtent l="0" t="0" r="15240" b="22225"/>
                <wp:wrapNone/>
                <wp:docPr id="879226583" name="Rectangle 879226583"/>
                <wp:cNvGraphicFramePr/>
                <a:graphic xmlns:a="http://schemas.openxmlformats.org/drawingml/2006/main">
                  <a:graphicData uri="http://schemas.microsoft.com/office/word/2010/wordprocessingShape">
                    <wps:wsp>
                      <wps:cNvSpPr/>
                      <wps:spPr>
                        <a:xfrm>
                          <a:off x="0" y="0"/>
                          <a:ext cx="4404360" cy="263525"/>
                        </a:xfrm>
                        <a:prstGeom prst="rect">
                          <a:avLst/>
                        </a:prstGeom>
                        <a:solidFill>
                          <a:schemeClr val="bg1"/>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B5330F" w14:textId="77777777" w:rsidR="003B79BC" w:rsidRDefault="00000000">
                            <w:pPr>
                              <w:jc w:val="center"/>
                              <w:rPr>
                                <w:color w:val="000000" w:themeColor="text1"/>
                                <w:sz w:val="20"/>
                                <w:szCs w:val="20"/>
                                <w:lang w:val="en-US"/>
                              </w:rPr>
                            </w:pPr>
                            <w:r>
                              <w:rPr>
                                <w:color w:val="000000" w:themeColor="text1"/>
                                <w:sz w:val="20"/>
                                <w:szCs w:val="20"/>
                                <w:lang w:val="en-US"/>
                              </w:rPr>
                              <w:t>Randomisasi dan pemeriksaan IL-6</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16984F4" id="Rectangle 879226583" o:spid="_x0000_s1054" style="position:absolute;margin-left:17.85pt;margin-top:19.2pt;width:346.8pt;height:20.75pt;z-index:2516787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" fillcolor="white [3212]" strokecolor="#1f497d [3215]" strokeweight="2pt">
                <v:textbox>
                  <w:txbxContent>
                    <w:p w14:paraId="4DB5330F" w14:textId="77777777" w:rsidR="003B79BC" w:rsidRDefault="00000000">
                      <w:pPr>
                        <w:jc w:val="center"/>
                        <w:rPr>
                          <w:color w:val="000000" w:themeColor="text1"/>
                          <w:sz w:val="20"/>
                          <w:szCs w:val="20"/>
                          <w:lang w:val="en-US"/>
                        </w:rPr>
                      </w:pPr>
                      <w:r>
                        <w:rPr>
                          <w:color w:val="000000" w:themeColor="text1"/>
                          <w:sz w:val="20"/>
                          <w:szCs w:val="20"/>
                          <w:lang w:val="en-US"/>
                        </w:rPr>
                        <w:t>Randomisasi dan pemeriksaan IL-6</w:t>
                      </w:r>
                    </w:p>
                  </w:txbxContent>
                </v:textbox>
                <w10:wrap anchorx="margin"/>
              </v:rect>
            </w:pict>
          </mc:Fallback>
        </mc:AlternateContent>
      </w:r>
      <w:r>
        <w:rPr>
          <w:noProof/>
          <w:lang w:eastAsia="zh-CN"/>
        </w:rPr>
        <mc:AlternateContent>
          <mc:Choice Requires="wps">
            <w:drawing>
              <wp:anchor distT="0" distB="0" distL="114300" distR="114300" simplePos="0" relativeHeight="251680768" behindDoc="0" locked="0" layoutInCell="1" allowOverlap="1" wp14:anchorId="2290EA09" wp14:editId="2C6F2081">
                <wp:simplePos x="0" y="0"/>
                <wp:positionH relativeFrom="page">
                  <wp:posOffset>3826510</wp:posOffset>
                </wp:positionH>
                <wp:positionV relativeFrom="paragraph">
                  <wp:posOffset>58420</wp:posOffset>
                </wp:positionV>
                <wp:extent cx="0" cy="188595"/>
                <wp:effectExtent l="76200" t="0" r="57150" b="59055"/>
                <wp:wrapNone/>
                <wp:docPr id="15" name="Straight Arrow Connector 15"/>
                <wp:cNvGraphicFramePr/>
                <a:graphic xmlns:a="http://schemas.openxmlformats.org/drawingml/2006/main">
                  <a:graphicData uri="http://schemas.microsoft.com/office/word/2010/wordprocessingShape">
                    <wps:wsp>
                      <wps:cNvCnPr/>
                      <wps:spPr>
                        <a:xfrm>
                          <a:off x="0" y="0"/>
                          <a:ext cx="0" cy="18859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301.3pt;margin-top:4.6pt;height:14.85pt;width:0pt;mso-position-horizontal-relative:page;z-index:251680768;mso-width-relative:page;mso-height-relative:page;" filled="f" stroked="t" coordsize="21600,21600" o:gfxdata="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Xd4dB1QAAAAgBAAAPAAAAAAAAAAEAIAAAACIAAABkcnMvZG93bnJldi54&#10;bWxQSwECFAAUAAAACACHTuJAAMNnHP0BAAAIBAAADgAAAAAAAAABACAAAAAkAQAAZHJzL2Uyb0Rv&#10;Yy54bWxQSwUGAAAAAAYABgBZAQAAkwUAAAAA&#10;">
                <v:fill on="f" focussize="0,0"/>
                <v:stroke weight="1.5pt" color="#4A7EBB [3204]" joinstyle="round" endarrow="block"/>
                <v:imagedata o:title=""/>
                <o:lock v:ext="edit" aspectratio="f"/>
              </v:shape>
            </w:pict>
          </mc:Fallback>
        </mc:AlternateContent>
      </w:r>
    </w:p>
    <w:p w14:paraId="5D9D36D8" w14:textId="77777777" w:rsidR="003B79BC" w:rsidRDefault="00000000">
      <w:pPr>
        <w:pStyle w:val="NormalWeb"/>
        <w:rPr>
          <w:lang w:eastAsia="zh-CN"/>
        </w:rPr>
      </w:pPr>
      <w:r>
        <w:rPr>
          <w:noProof/>
          <w:lang w:eastAsia="zh-CN"/>
        </w:rPr>
        <mc:AlternateContent>
          <mc:Choice Requires="wps">
            <w:drawing>
              <wp:anchor distT="0" distB="0" distL="114300" distR="114300" simplePos="0" relativeHeight="251736064" behindDoc="0" locked="0" layoutInCell="1" allowOverlap="1" wp14:anchorId="3E3EC869" wp14:editId="099B2BEE">
                <wp:simplePos x="0" y="0"/>
                <wp:positionH relativeFrom="page">
                  <wp:posOffset>5148580</wp:posOffset>
                </wp:positionH>
                <wp:positionV relativeFrom="paragraph">
                  <wp:posOffset>183515</wp:posOffset>
                </wp:positionV>
                <wp:extent cx="0" cy="188595"/>
                <wp:effectExtent l="76200" t="0" r="57150" b="59055"/>
                <wp:wrapNone/>
                <wp:docPr id="539654941" name="Straight Arrow Connector 539654941"/>
                <wp:cNvGraphicFramePr/>
                <a:graphic xmlns:a="http://schemas.openxmlformats.org/drawingml/2006/main">
                  <a:graphicData uri="http://schemas.microsoft.com/office/word/2010/wordprocessingShape">
                    <wps:wsp>
                      <wps:cNvCnPr/>
                      <wps:spPr>
                        <a:xfrm>
                          <a:off x="0" y="0"/>
                          <a:ext cx="0" cy="18859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405.4pt;margin-top:14.45pt;height:14.85pt;width:0pt;mso-position-horizontal-relative:page;z-index:251736064;mso-width-relative:page;mso-height-relative:page;" filled="f" stroked="t" coordsize="21600,21600" o:gfxdata="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D3CvGdcAAAAJAQAADwAAAAAAAAABACAAAAAiAAAAZHJz&#10;L2Rvd25yZXYueG1sUEsBAhQAFAAAAAgAh07iQAcjhQEFAgAAFgQAAA4AAAAAAAAAAQAgAAAAJgEA&#10;AGRycy9lMm9Eb2MueG1sUEsFBgAAAAAGAAYAWQEAAJ0FAAAAAA==&#10;">
                <v:fill on="f" focussize="0,0"/>
                <v:stroke weight="1.5pt" color="#4A7EBB [3204]" joinstyle="round" endarrow="block"/>
                <v:imagedata o:title=""/>
                <o:lock v:ext="edit" aspectratio="f"/>
              </v:shape>
            </w:pict>
          </mc:Fallback>
        </mc:AlternateContent>
      </w:r>
      <w:r>
        <w:rPr>
          <w:noProof/>
          <w:lang w:eastAsia="zh-CN"/>
        </w:rPr>
        <mc:AlternateContent>
          <mc:Choice Requires="wps">
            <w:drawing>
              <wp:anchor distT="0" distB="0" distL="114300" distR="114300" simplePos="0" relativeHeight="251735040" behindDoc="0" locked="0" layoutInCell="1" allowOverlap="1" wp14:anchorId="20F0FD63" wp14:editId="58359415">
                <wp:simplePos x="0" y="0"/>
                <wp:positionH relativeFrom="page">
                  <wp:posOffset>2475230</wp:posOffset>
                </wp:positionH>
                <wp:positionV relativeFrom="paragraph">
                  <wp:posOffset>183515</wp:posOffset>
                </wp:positionV>
                <wp:extent cx="0" cy="188595"/>
                <wp:effectExtent l="76200" t="0" r="57150" b="59055"/>
                <wp:wrapNone/>
                <wp:docPr id="1997940777" name="Straight Arrow Connector 1997940777"/>
                <wp:cNvGraphicFramePr/>
                <a:graphic xmlns:a="http://schemas.openxmlformats.org/drawingml/2006/main">
                  <a:graphicData uri="http://schemas.microsoft.com/office/word/2010/wordprocessingShape">
                    <wps:wsp>
                      <wps:cNvCnPr/>
                      <wps:spPr>
                        <a:xfrm>
                          <a:off x="0" y="0"/>
                          <a:ext cx="0" cy="18859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194.9pt;margin-top:14.45pt;height:14.85pt;width:0pt;mso-position-horizontal-relative:page;z-index:251735040;mso-width-relative:page;mso-height-relative:page;" filled="f" stroked="t" coordsize="21600,21600" o:gfxdata="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COg9q1wAAAAkBAAAPAAAAAAAAAAEAIAAAACIAAABkcnMv&#10;ZG93bnJldi54bWxQSwECFAAUAAAACACHTuJAFHCtuQQCAAAYBAAADgAAAAAAAAABACAAAAAmAQAA&#10;ZHJzL2Uyb0RvYy54bWxQSwUGAAAAAAYABgBZAQAAnAUAAAAA&#10;">
                <v:fill on="f" focussize="0,0"/>
                <v:stroke weight="1.5pt" color="#4A7EBB [3204]" joinstyle="round" endarrow="block"/>
                <v:imagedata o:title=""/>
                <o:lock v:ext="edit" aspectratio="f"/>
              </v:shape>
            </w:pict>
          </mc:Fallback>
        </mc:AlternateContent>
      </w:r>
    </w:p>
    <w:p w14:paraId="734DD1CF" w14:textId="77777777" w:rsidR="003B79BC" w:rsidRDefault="00000000">
      <w:pPr>
        <w:pStyle w:val="NormalWeb"/>
        <w:rPr>
          <w:lang w:eastAsia="zh-CN"/>
        </w:rPr>
      </w:pPr>
      <w:r>
        <w:rPr>
          <w:noProof/>
          <w:lang w:eastAsia="zh-CN"/>
        </w:rPr>
        <mc:AlternateContent>
          <mc:Choice Requires="wps">
            <w:drawing>
              <wp:anchor distT="0" distB="0" distL="114300" distR="114300" simplePos="0" relativeHeight="251734016" behindDoc="0" locked="0" layoutInCell="1" allowOverlap="1" wp14:anchorId="1A7ED0A8" wp14:editId="0E178D82">
                <wp:simplePos x="0" y="0"/>
                <wp:positionH relativeFrom="margin">
                  <wp:posOffset>2736850</wp:posOffset>
                </wp:positionH>
                <wp:positionV relativeFrom="paragraph">
                  <wp:posOffset>43815</wp:posOffset>
                </wp:positionV>
                <wp:extent cx="2071370" cy="501650"/>
                <wp:effectExtent l="0" t="0" r="24130" b="12700"/>
                <wp:wrapNone/>
                <wp:docPr id="1668950558" name="Rectangle 1668950558"/>
                <wp:cNvGraphicFramePr/>
                <a:graphic xmlns:a="http://schemas.openxmlformats.org/drawingml/2006/main">
                  <a:graphicData uri="http://schemas.microsoft.com/office/word/2010/wordprocessingShape">
                    <wps:wsp>
                      <wps:cNvSpPr/>
                      <wps:spPr>
                        <a:xfrm>
                          <a:off x="0" y="0"/>
                          <a:ext cx="2071370" cy="501650"/>
                        </a:xfrm>
                        <a:prstGeom prst="rect">
                          <a:avLst/>
                        </a:prstGeom>
                        <a:solidFill>
                          <a:schemeClr val="accent4">
                            <a:lumMod val="20000"/>
                            <a:lumOff val="80000"/>
                          </a:schemeClr>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0B1602" w14:textId="77777777" w:rsidR="003B79BC" w:rsidRDefault="00000000">
                            <w:pPr>
                              <w:jc w:val="center"/>
                              <w:rPr>
                                <w:color w:val="000000" w:themeColor="text1"/>
                                <w:sz w:val="20"/>
                                <w:szCs w:val="20"/>
                                <w:lang w:val="en-US"/>
                              </w:rPr>
                            </w:pPr>
                            <w:r>
                              <w:rPr>
                                <w:rStyle w:val="hwtze"/>
                                <w:rFonts w:eastAsiaTheme="minorEastAsia"/>
                                <w:color w:val="000000" w:themeColor="text1"/>
                                <w:sz w:val="20"/>
                                <w:szCs w:val="20"/>
                                <w:lang w:val="en-US" w:eastAsia="zh-CN"/>
                              </w:rPr>
                              <w:t>Kelompok K</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A7ED0A8" id="Rectangle 1668950558" o:spid="_x0000_s1055" style="position:absolute;margin-left:215.5pt;margin-top:3.45pt;width:163.1pt;height:39.5pt;z-index:2517340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" fillcolor="#e5dfec [663]" strokecolor="#1f497d [3215]" strokeweight="2pt">
                <v:textbox>
                  <w:txbxContent>
                    <w:p w14:paraId="030B1602" w14:textId="77777777" w:rsidR="003B79BC" w:rsidRDefault="00000000">
                      <w:pPr>
                        <w:jc w:val="center"/>
                        <w:rPr>
                          <w:color w:val="000000" w:themeColor="text1"/>
                          <w:sz w:val="20"/>
                          <w:szCs w:val="20"/>
                          <w:lang w:val="en-US"/>
                        </w:rPr>
                      </w:pPr>
                      <w:r>
                        <w:rPr>
                          <w:rStyle w:val="hwtze"/>
                          <w:rFonts w:eastAsiaTheme="minorEastAsia"/>
                          <w:color w:val="000000" w:themeColor="text1"/>
                          <w:sz w:val="20"/>
                          <w:szCs w:val="20"/>
                          <w:lang w:val="en-US" w:eastAsia="zh-CN"/>
                        </w:rPr>
                        <w:t>Kelompok K</w:t>
                      </w:r>
                    </w:p>
                  </w:txbxContent>
                </v:textbox>
                <w10:wrap anchorx="margin"/>
              </v:rect>
            </w:pict>
          </mc:Fallback>
        </mc:AlternateContent>
      </w:r>
      <w:r>
        <w:rPr>
          <w:noProof/>
          <w:lang w:eastAsia="zh-CN"/>
        </w:rPr>
        <mc:AlternateContent>
          <mc:Choice Requires="wps">
            <w:drawing>
              <wp:anchor distT="0" distB="0" distL="114300" distR="114300" simplePos="0" relativeHeight="251732992" behindDoc="0" locked="0" layoutInCell="1" allowOverlap="1" wp14:anchorId="389C6ADA" wp14:editId="63BBF0A1">
                <wp:simplePos x="0" y="0"/>
                <wp:positionH relativeFrom="margin">
                  <wp:posOffset>0</wp:posOffset>
                </wp:positionH>
                <wp:positionV relativeFrom="paragraph">
                  <wp:posOffset>37465</wp:posOffset>
                </wp:positionV>
                <wp:extent cx="2071370" cy="473075"/>
                <wp:effectExtent l="0" t="0" r="24130" b="22225"/>
                <wp:wrapNone/>
                <wp:docPr id="1056026583" name="Rectangle 1056026583"/>
                <wp:cNvGraphicFramePr/>
                <a:graphic xmlns:a="http://schemas.openxmlformats.org/drawingml/2006/main">
                  <a:graphicData uri="http://schemas.microsoft.com/office/word/2010/wordprocessingShape">
                    <wps:wsp>
                      <wps:cNvSpPr/>
                      <wps:spPr>
                        <a:xfrm>
                          <a:off x="0" y="0"/>
                          <a:ext cx="2071370" cy="473075"/>
                        </a:xfrm>
                        <a:prstGeom prst="rect">
                          <a:avLst/>
                        </a:prstGeom>
                        <a:solidFill>
                          <a:schemeClr val="accent6">
                            <a:lumMod val="40000"/>
                            <a:lumOff val="60000"/>
                          </a:schemeClr>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AB97F5" w14:textId="77777777" w:rsidR="003B79BC" w:rsidRDefault="00000000">
                            <w:pPr>
                              <w:jc w:val="center"/>
                              <w:rPr>
                                <w:rFonts w:eastAsiaTheme="minorEastAsia"/>
                                <w:color w:val="000000" w:themeColor="text1"/>
                                <w:sz w:val="20"/>
                                <w:szCs w:val="20"/>
                                <w:lang w:val="en-US" w:eastAsia="zh-CN"/>
                              </w:rPr>
                            </w:pPr>
                            <w:r>
                              <w:rPr>
                                <w:rStyle w:val="hwtze"/>
                                <w:rFonts w:eastAsiaTheme="minorEastAsia"/>
                                <w:color w:val="000000" w:themeColor="text1"/>
                                <w:sz w:val="20"/>
                                <w:szCs w:val="20"/>
                                <w:lang w:val="en-US" w:eastAsia="zh-CN"/>
                              </w:rPr>
                              <w:t>Kelompok I</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89C6ADA" id="Rectangle 1056026583" o:spid="_x0000_s1056" style="position:absolute;margin-left:0;margin-top:2.95pt;width:163.1pt;height:37.25pt;z-index:25173299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" fillcolor="#fbd4b4 [1305]" strokecolor="#1f497d [3215]" strokeweight="2pt">
                <v:textbox>
                  <w:txbxContent>
                    <w:p w14:paraId="5AAB97F5" w14:textId="77777777" w:rsidR="003B79BC" w:rsidRDefault="00000000">
                      <w:pPr>
                        <w:jc w:val="center"/>
                        <w:rPr>
                          <w:rFonts w:eastAsiaTheme="minorEastAsia"/>
                          <w:color w:val="000000" w:themeColor="text1"/>
                          <w:sz w:val="20"/>
                          <w:szCs w:val="20"/>
                          <w:lang w:val="en-US" w:eastAsia="zh-CN"/>
                        </w:rPr>
                      </w:pPr>
                      <w:r>
                        <w:rPr>
                          <w:rStyle w:val="hwtze"/>
                          <w:rFonts w:eastAsiaTheme="minorEastAsia"/>
                          <w:color w:val="000000" w:themeColor="text1"/>
                          <w:sz w:val="20"/>
                          <w:szCs w:val="20"/>
                          <w:lang w:val="en-US" w:eastAsia="zh-CN"/>
                        </w:rPr>
                        <w:t>Kelompok I</w:t>
                      </w:r>
                    </w:p>
                  </w:txbxContent>
                </v:textbox>
                <w10:wrap anchorx="margin"/>
              </v:rect>
            </w:pict>
          </mc:Fallback>
        </mc:AlternateContent>
      </w:r>
    </w:p>
    <w:p w14:paraId="0B76EE22" w14:textId="77777777" w:rsidR="003B79BC" w:rsidRDefault="00000000">
      <w:pPr>
        <w:pStyle w:val="NormalWeb"/>
        <w:rPr>
          <w:lang w:eastAsia="zh-CN"/>
        </w:rPr>
      </w:pPr>
      <w:r>
        <w:rPr>
          <w:noProof/>
          <w:lang w:eastAsia="zh-CN"/>
        </w:rPr>
        <mc:AlternateContent>
          <mc:Choice Requires="wps">
            <w:drawing>
              <wp:anchor distT="0" distB="0" distL="114300" distR="114300" simplePos="0" relativeHeight="251738112" behindDoc="0" locked="0" layoutInCell="1" allowOverlap="1" wp14:anchorId="3C0B3C9C" wp14:editId="16210AA3">
                <wp:simplePos x="0" y="0"/>
                <wp:positionH relativeFrom="page">
                  <wp:posOffset>5168900</wp:posOffset>
                </wp:positionH>
                <wp:positionV relativeFrom="paragraph">
                  <wp:posOffset>204470</wp:posOffset>
                </wp:positionV>
                <wp:extent cx="0" cy="227965"/>
                <wp:effectExtent l="76200" t="0" r="57150" b="57785"/>
                <wp:wrapNone/>
                <wp:docPr id="451259824" name="Straight Arrow Connector 451259824"/>
                <wp:cNvGraphicFramePr/>
                <a:graphic xmlns:a="http://schemas.openxmlformats.org/drawingml/2006/main">
                  <a:graphicData uri="http://schemas.microsoft.com/office/word/2010/wordprocessingShape">
                    <wps:wsp>
                      <wps:cNvCnPr/>
                      <wps:spPr>
                        <a:xfrm>
                          <a:off x="0" y="0"/>
                          <a:ext cx="0" cy="22796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407pt;margin-top:16.1pt;height:17.95pt;width:0pt;mso-position-horizontal-relative:page;z-index:251738112;mso-width-relative:page;mso-height-relative:page;" filled="f" stroked="t" coordsize="21600,21600" o:gfxdata="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Ih94a1wAAAAkBAAAPAAAAAAAAAAEAIAAAACIAAABkcnMv&#10;ZG93bnJldi54bWxQSwECFAAUAAAACACHTuJAl8xmAwQCAAAWBAAADgAAAAAAAAABACAAAAAmAQAA&#10;ZHJzL2Uyb0RvYy54bWxQSwUGAAAAAAYABgBZAQAAnAUAAAAA&#10;">
                <v:fill on="f" focussize="0,0"/>
                <v:stroke weight="1.5pt" color="#4A7EBB [3204]" joinstyle="round" endarrow="block"/>
                <v:imagedata o:title=""/>
                <o:lock v:ext="edit" aspectratio="f"/>
              </v:shape>
            </w:pict>
          </mc:Fallback>
        </mc:AlternateContent>
      </w:r>
      <w:r>
        <w:rPr>
          <w:noProof/>
          <w:lang w:eastAsia="zh-CN"/>
        </w:rPr>
        <mc:AlternateContent>
          <mc:Choice Requires="wps">
            <w:drawing>
              <wp:anchor distT="0" distB="0" distL="114300" distR="114300" simplePos="0" relativeHeight="251737088" behindDoc="0" locked="0" layoutInCell="1" allowOverlap="1" wp14:anchorId="0CA1BA27" wp14:editId="336F20B8">
                <wp:simplePos x="0" y="0"/>
                <wp:positionH relativeFrom="page">
                  <wp:posOffset>2495550</wp:posOffset>
                </wp:positionH>
                <wp:positionV relativeFrom="paragraph">
                  <wp:posOffset>198120</wp:posOffset>
                </wp:positionV>
                <wp:extent cx="0" cy="227965"/>
                <wp:effectExtent l="76200" t="0" r="57150" b="57785"/>
                <wp:wrapNone/>
                <wp:docPr id="1882755454" name="Straight Arrow Connector 1882755454"/>
                <wp:cNvGraphicFramePr/>
                <a:graphic xmlns:a="http://schemas.openxmlformats.org/drawingml/2006/main">
                  <a:graphicData uri="http://schemas.microsoft.com/office/word/2010/wordprocessingShape">
                    <wps:wsp>
                      <wps:cNvCnPr/>
                      <wps:spPr>
                        <a:xfrm>
                          <a:off x="0" y="0"/>
                          <a:ext cx="0" cy="228203"/>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196.5pt;margin-top:15.6pt;height:17.95pt;width:0pt;mso-position-horizontal-relative:page;z-index:251737088;mso-width-relative:page;mso-height-relative:page;" filled="f" stroked="t" coordsize="21600,21600" o:gfxdata="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GIotONcAAAAJAQAADwAAAAAAAAABACAAAAAiAAAAZHJz&#10;L2Rvd25yZXYueG1sUEsBAhQAFAAAAAgAh07iQLXvz0EFAgAAGAQAAA4AAAAAAAAAAQAgAAAAJgEA&#10;AGRycy9lMm9Eb2MueG1sUEsFBgAAAAAGAAYAWQEAAJ0FAAAAAA==&#10;">
                <v:fill on="f" focussize="0,0"/>
                <v:stroke weight="1.5pt" color="#4A7EBB [3204]" joinstyle="round" endarrow="block"/>
                <v:imagedata o:title=""/>
                <o:lock v:ext="edit" aspectratio="f"/>
              </v:shape>
            </w:pict>
          </mc:Fallback>
        </mc:AlternateContent>
      </w:r>
    </w:p>
    <w:p w14:paraId="6C9A529C" w14:textId="77777777" w:rsidR="003B79BC" w:rsidRDefault="00000000">
      <w:pPr>
        <w:pStyle w:val="NormalWeb"/>
        <w:rPr>
          <w:lang w:eastAsia="zh-CN"/>
        </w:rPr>
      </w:pPr>
      <w:r>
        <w:rPr>
          <w:noProof/>
          <w:lang w:eastAsia="zh-CN"/>
        </w:rPr>
        <mc:AlternateContent>
          <mc:Choice Requires="wps">
            <w:drawing>
              <wp:anchor distT="0" distB="0" distL="114300" distR="114300" simplePos="0" relativeHeight="251727872" behindDoc="0" locked="0" layoutInCell="1" allowOverlap="1" wp14:anchorId="4946EF50" wp14:editId="415799F1">
                <wp:simplePos x="0" y="0"/>
                <wp:positionH relativeFrom="margin">
                  <wp:posOffset>217170</wp:posOffset>
                </wp:positionH>
                <wp:positionV relativeFrom="paragraph">
                  <wp:posOffset>124460</wp:posOffset>
                </wp:positionV>
                <wp:extent cx="4404360" cy="263525"/>
                <wp:effectExtent l="0" t="0" r="15240" b="22225"/>
                <wp:wrapNone/>
                <wp:docPr id="142231640" name="Rectangle 142231640"/>
                <wp:cNvGraphicFramePr/>
                <a:graphic xmlns:a="http://schemas.openxmlformats.org/drawingml/2006/main">
                  <a:graphicData uri="http://schemas.microsoft.com/office/word/2010/wordprocessingShape">
                    <wps:wsp>
                      <wps:cNvSpPr/>
                      <wps:spPr>
                        <a:xfrm>
                          <a:off x="0" y="0"/>
                          <a:ext cx="4404360" cy="263525"/>
                        </a:xfrm>
                        <a:prstGeom prst="rect">
                          <a:avLst/>
                        </a:prstGeom>
                        <a:solidFill>
                          <a:schemeClr val="bg1"/>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3DFB8A" w14:textId="77777777" w:rsidR="003B79BC" w:rsidRDefault="00000000">
                            <w:pPr>
                              <w:jc w:val="center"/>
                              <w:rPr>
                                <w:color w:val="000000" w:themeColor="text1"/>
                                <w:sz w:val="20"/>
                                <w:szCs w:val="20"/>
                                <w:lang w:val="en-US"/>
                              </w:rPr>
                            </w:pPr>
                            <w:r>
                              <w:rPr>
                                <w:color w:val="000000" w:themeColor="text1"/>
                                <w:sz w:val="20"/>
                                <w:szCs w:val="20"/>
                                <w:lang w:val="en-US"/>
                              </w:rPr>
                              <w:t>Premedikasi, induksi dan intubasi orotrakeal</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4946EF50" id="Rectangle 142231640" o:spid="_x0000_s1057" style="position:absolute;margin-left:17.1pt;margin-top:9.8pt;width:346.8pt;height:20.75pt;z-index:2517278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" fillcolor="white [3212]" strokecolor="#1f497d [3215]" strokeweight="2pt">
                <v:textbox>
                  <w:txbxContent>
                    <w:p w14:paraId="643DFB8A" w14:textId="77777777" w:rsidR="003B79BC" w:rsidRDefault="00000000">
                      <w:pPr>
                        <w:jc w:val="center"/>
                        <w:rPr>
                          <w:color w:val="000000" w:themeColor="text1"/>
                          <w:sz w:val="20"/>
                          <w:szCs w:val="20"/>
                          <w:lang w:val="en-US"/>
                        </w:rPr>
                      </w:pPr>
                      <w:r>
                        <w:rPr>
                          <w:color w:val="000000" w:themeColor="text1"/>
                          <w:sz w:val="20"/>
                          <w:szCs w:val="20"/>
                          <w:lang w:val="en-US"/>
                        </w:rPr>
                        <w:t>Premedikasi, induksi dan intubasi orotrakeal</w:t>
                      </w:r>
                    </w:p>
                  </w:txbxContent>
                </v:textbox>
                <w10:wrap anchorx="margin"/>
              </v:rect>
            </w:pict>
          </mc:Fallback>
        </mc:AlternateContent>
      </w:r>
    </w:p>
    <w:p w14:paraId="776016B7" w14:textId="77777777" w:rsidR="003B79BC" w:rsidRDefault="00000000">
      <w:pPr>
        <w:pStyle w:val="NormalWeb"/>
        <w:rPr>
          <w:lang w:eastAsia="zh-CN"/>
        </w:rPr>
      </w:pPr>
      <w:r>
        <w:rPr>
          <w:noProof/>
          <w:lang w:eastAsia="zh-CN"/>
        </w:rPr>
        <mc:AlternateContent>
          <mc:Choice Requires="wps">
            <w:drawing>
              <wp:anchor distT="0" distB="0" distL="114300" distR="114300" simplePos="0" relativeHeight="251741184" behindDoc="0" locked="0" layoutInCell="1" allowOverlap="1" wp14:anchorId="58B99023" wp14:editId="61DB6388">
                <wp:simplePos x="0" y="0"/>
                <wp:positionH relativeFrom="page">
                  <wp:posOffset>2501900</wp:posOffset>
                </wp:positionH>
                <wp:positionV relativeFrom="paragraph">
                  <wp:posOffset>58420</wp:posOffset>
                </wp:positionV>
                <wp:extent cx="0" cy="227965"/>
                <wp:effectExtent l="76200" t="0" r="57150" b="57785"/>
                <wp:wrapNone/>
                <wp:docPr id="1204790543" name="Straight Arrow Connector 1204790543"/>
                <wp:cNvGraphicFramePr/>
                <a:graphic xmlns:a="http://schemas.openxmlformats.org/drawingml/2006/main">
                  <a:graphicData uri="http://schemas.microsoft.com/office/word/2010/wordprocessingShape">
                    <wps:wsp>
                      <wps:cNvCnPr/>
                      <wps:spPr>
                        <a:xfrm>
                          <a:off x="0" y="0"/>
                          <a:ext cx="0" cy="22796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197pt;margin-top:4.6pt;height:17.95pt;width:0pt;mso-position-horizontal-relative:page;z-index:251741184;mso-width-relative:page;mso-height-relative:page;" filled="f" stroked="t" coordsize="21600,21600" o:gfxdata="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LhSn/WAAAACAEAAA8AAAAAAAAAAQAgAAAAIgAAAGRycy9k&#10;b3ducmV2LnhtbFBLAQIUABQAAAAIAIdO4kDvmns1BAIAABgEAAAOAAAAAAAAAAEAIAAAACUBAABk&#10;cnMvZTJvRG9jLnhtbFBLBQYAAAAABgAGAFkBAACbBQAAAAA=&#10;">
                <v:fill on="f" focussize="0,0"/>
                <v:stroke weight="1.5pt" color="#4A7EBB [3204]" joinstyle="round" endarrow="block"/>
                <v:imagedata o:title=""/>
                <o:lock v:ext="edit" aspectratio="f"/>
              </v:shape>
            </w:pict>
          </mc:Fallback>
        </mc:AlternateContent>
      </w:r>
      <w:r>
        <w:rPr>
          <w:noProof/>
          <w:lang w:eastAsia="zh-CN"/>
        </w:rPr>
        <mc:AlternateContent>
          <mc:Choice Requires="wps">
            <w:drawing>
              <wp:anchor distT="0" distB="0" distL="114300" distR="114300" simplePos="0" relativeHeight="251739136" behindDoc="0" locked="0" layoutInCell="1" allowOverlap="1" wp14:anchorId="388649EC" wp14:editId="12CEC3B2">
                <wp:simplePos x="0" y="0"/>
                <wp:positionH relativeFrom="page">
                  <wp:posOffset>5181600</wp:posOffset>
                </wp:positionH>
                <wp:positionV relativeFrom="paragraph">
                  <wp:posOffset>64770</wp:posOffset>
                </wp:positionV>
                <wp:extent cx="0" cy="227965"/>
                <wp:effectExtent l="76200" t="0" r="57150" b="57785"/>
                <wp:wrapNone/>
                <wp:docPr id="723649903" name="Straight Arrow Connector 723649903"/>
                <wp:cNvGraphicFramePr/>
                <a:graphic xmlns:a="http://schemas.openxmlformats.org/drawingml/2006/main">
                  <a:graphicData uri="http://schemas.microsoft.com/office/word/2010/wordprocessingShape">
                    <wps:wsp>
                      <wps:cNvCnPr/>
                      <wps:spPr>
                        <a:xfrm>
                          <a:off x="0" y="0"/>
                          <a:ext cx="0" cy="22796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408pt;margin-top:5.1pt;height:17.95pt;width:0pt;mso-position-horizontal-relative:page;z-index:251739136;mso-width-relative:page;mso-height-relative:page;" filled="f" stroked="t" coordsize="21600,21600" o:gfxdata="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LtCVi1gAAAAkBAAAPAAAAAAAAAAEAIAAAACIAAABkcnMv&#10;ZG93bnJldi54bWxQSwECFAAUAAAACACHTuJAo1wfLQUCAAAWBAAADgAAAAAAAAABACAAAAAlAQAA&#10;ZHJzL2Uyb0RvYy54bWxQSwUGAAAAAAYABgBZAQAAnAUAAAAA&#10;">
                <v:fill on="f" focussize="0,0"/>
                <v:stroke weight="1.5pt" color="#4A7EBB [3204]" joinstyle="round" endarrow="block"/>
                <v:imagedata o:title=""/>
                <o:lock v:ext="edit" aspectratio="f"/>
              </v:shape>
            </w:pict>
          </mc:Fallback>
        </mc:AlternateContent>
      </w:r>
    </w:p>
    <w:p w14:paraId="3C5467FC" w14:textId="77777777" w:rsidR="003B79BC" w:rsidRDefault="00000000">
      <w:pPr>
        <w:pStyle w:val="NormalWeb"/>
        <w:rPr>
          <w:lang w:eastAsia="zh-CN"/>
        </w:rPr>
      </w:pPr>
      <w:r>
        <w:rPr>
          <w:noProof/>
          <w:lang w:eastAsia="zh-CN"/>
        </w:rPr>
        <mc:AlternateContent>
          <mc:Choice Requires="wps">
            <w:drawing>
              <wp:anchor distT="0" distB="0" distL="114300" distR="114300" simplePos="0" relativeHeight="251742208" behindDoc="0" locked="0" layoutInCell="1" allowOverlap="1" wp14:anchorId="213638CA" wp14:editId="382D6EE8">
                <wp:simplePos x="0" y="0"/>
                <wp:positionH relativeFrom="page">
                  <wp:posOffset>2514600</wp:posOffset>
                </wp:positionH>
                <wp:positionV relativeFrom="paragraph">
                  <wp:posOffset>280670</wp:posOffset>
                </wp:positionV>
                <wp:extent cx="0" cy="227965"/>
                <wp:effectExtent l="76200" t="0" r="57150" b="57785"/>
                <wp:wrapNone/>
                <wp:docPr id="754134111" name="Straight Arrow Connector 754134111"/>
                <wp:cNvGraphicFramePr/>
                <a:graphic xmlns:a="http://schemas.openxmlformats.org/drawingml/2006/main">
                  <a:graphicData uri="http://schemas.microsoft.com/office/word/2010/wordprocessingShape">
                    <wps:wsp>
                      <wps:cNvCnPr/>
                      <wps:spPr>
                        <a:xfrm>
                          <a:off x="0" y="0"/>
                          <a:ext cx="0" cy="22796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198pt;margin-top:22.1pt;height:17.95pt;width:0pt;mso-position-horizontal-relative:page;z-index:251742208;mso-width-relative:page;mso-height-relative:page;" filled="f" stroked="t" coordsize="21600,21600" o:gfxdata="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YRZitdcAAAAJAQAADwAAAAAAAAABACAAAAAiAAAAZHJz&#10;L2Rvd25yZXYueG1sUEsBAhQAFAAAAAgAh07iQLaT5JcFAgAAFgQAAA4AAAAAAAAAAQAgAAAAJgEA&#10;AGRycy9lMm9Eb2MueG1sUEsFBgAAAAAGAAYAWQEAAJ0FAAAAAA==&#10;">
                <v:fill on="f" focussize="0,0"/>
                <v:stroke weight="1.5pt" color="#4A7EBB [3204]" joinstyle="round" endarrow="block"/>
                <v:imagedata o:title=""/>
                <o:lock v:ext="edit" aspectratio="f"/>
              </v:shape>
            </w:pict>
          </mc:Fallback>
        </mc:AlternateContent>
      </w:r>
      <w:r>
        <w:rPr>
          <w:noProof/>
          <w:lang w:eastAsia="zh-CN"/>
        </w:rPr>
        <mc:AlternateContent>
          <mc:Choice Requires="wps">
            <w:drawing>
              <wp:anchor distT="0" distB="0" distL="114300" distR="114300" simplePos="0" relativeHeight="251740160" behindDoc="0" locked="0" layoutInCell="1" allowOverlap="1" wp14:anchorId="420485BC" wp14:editId="428B53C4">
                <wp:simplePos x="0" y="0"/>
                <wp:positionH relativeFrom="page">
                  <wp:posOffset>5194300</wp:posOffset>
                </wp:positionH>
                <wp:positionV relativeFrom="paragraph">
                  <wp:posOffset>274320</wp:posOffset>
                </wp:positionV>
                <wp:extent cx="0" cy="227965"/>
                <wp:effectExtent l="76200" t="0" r="57150" b="57785"/>
                <wp:wrapNone/>
                <wp:docPr id="1754616921" name="Straight Arrow Connector 1754616921"/>
                <wp:cNvGraphicFramePr/>
                <a:graphic xmlns:a="http://schemas.openxmlformats.org/drawingml/2006/main">
                  <a:graphicData uri="http://schemas.microsoft.com/office/word/2010/wordprocessingShape">
                    <wps:wsp>
                      <wps:cNvCnPr/>
                      <wps:spPr>
                        <a:xfrm>
                          <a:off x="0" y="0"/>
                          <a:ext cx="0" cy="22796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409pt;margin-top:21.6pt;height:17.95pt;width:0pt;mso-position-horizontal-relative:page;z-index:251740160;mso-width-relative:page;mso-height-relative:page;" filled="f" stroked="t" coordsize="21600,21600" o:gfxdata="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&#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sznoLYAAAACQEAAA8AAAAAAAAAAQAgAAAAIgAAAGRy&#10;cy9kb3ducmV2LnhtbFBLAQIUABQAAAAIAIdO4kD/8PUCBQIAABgEAAAOAAAAAAAAAAEAIAAAACcB&#10;AABkcnMvZTJvRG9jLnhtbFBLBQYAAAAABgAGAFkBAACeBQAAAAA=&#10;">
                <v:fill on="f" focussize="0,0"/>
                <v:stroke weight="1.5pt" color="#4A7EBB [3204]" joinstyle="round" endarrow="block"/>
                <v:imagedata o:title=""/>
                <o:lock v:ext="edit" aspectratio="f"/>
              </v:shape>
            </w:pict>
          </mc:Fallback>
        </mc:AlternateContent>
      </w:r>
      <w:r>
        <w:rPr>
          <w:noProof/>
          <w:lang w:eastAsia="zh-CN"/>
        </w:rPr>
        <mc:AlternateContent>
          <mc:Choice Requires="wps">
            <w:drawing>
              <wp:anchor distT="0" distB="0" distL="114300" distR="114300" simplePos="0" relativeHeight="251682816" behindDoc="0" locked="0" layoutInCell="1" allowOverlap="1" wp14:anchorId="76195134" wp14:editId="444D3146">
                <wp:simplePos x="0" y="0"/>
                <wp:positionH relativeFrom="margin">
                  <wp:posOffset>213995</wp:posOffset>
                </wp:positionH>
                <wp:positionV relativeFrom="paragraph">
                  <wp:posOffset>15875</wp:posOffset>
                </wp:positionV>
                <wp:extent cx="4404360" cy="263525"/>
                <wp:effectExtent l="0" t="0" r="15240" b="22225"/>
                <wp:wrapNone/>
                <wp:docPr id="366901629" name="Rectangle 366901629"/>
                <wp:cNvGraphicFramePr/>
                <a:graphic xmlns:a="http://schemas.openxmlformats.org/drawingml/2006/main">
                  <a:graphicData uri="http://schemas.microsoft.com/office/word/2010/wordprocessingShape">
                    <wps:wsp>
                      <wps:cNvSpPr/>
                      <wps:spPr>
                        <a:xfrm>
                          <a:off x="0" y="0"/>
                          <a:ext cx="4404360" cy="263525"/>
                        </a:xfrm>
                        <a:prstGeom prst="rect">
                          <a:avLst/>
                        </a:prstGeom>
                        <a:solidFill>
                          <a:schemeClr val="bg1"/>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1E17B9" w14:textId="77777777" w:rsidR="003B79BC" w:rsidRDefault="00000000">
                            <w:pPr>
                              <w:jc w:val="center"/>
                              <w:rPr>
                                <w:color w:val="000000" w:themeColor="text1"/>
                                <w:sz w:val="20"/>
                                <w:szCs w:val="20"/>
                                <w:lang w:val="en-US"/>
                              </w:rPr>
                            </w:pPr>
                            <w:r>
                              <w:rPr>
                                <w:color w:val="000000" w:themeColor="text1"/>
                                <w:sz w:val="20"/>
                                <w:szCs w:val="20"/>
                                <w:lang w:val="en-US"/>
                              </w:rPr>
                              <w:t>Pemeliharaan anestesi</w:t>
                            </w:r>
                          </w:p>
                          <w:p w14:paraId="7680EE45" w14:textId="77777777" w:rsidR="003B79BC" w:rsidRDefault="003B79BC">
                            <w:pPr>
                              <w:jc w:val="center"/>
                              <w:rPr>
                                <w:color w:val="000000" w:themeColor="text1"/>
                                <w:sz w:val="20"/>
                                <w:szCs w:val="20"/>
                                <w:lang w:val="id-ID"/>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76195134" id="Rectangle 366901629" o:spid="_x0000_s1058" style="position:absolute;margin-left:16.85pt;margin-top:1.25pt;width:346.8pt;height:20.75pt;z-index:2516828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" fillcolor="white [3212]" strokecolor="#1f497d [3215]" strokeweight="2pt">
                <v:textbox>
                  <w:txbxContent>
                    <w:p w14:paraId="2D1E17B9" w14:textId="77777777" w:rsidR="003B79BC" w:rsidRDefault="00000000">
                      <w:pPr>
                        <w:jc w:val="center"/>
                        <w:rPr>
                          <w:color w:val="000000" w:themeColor="text1"/>
                          <w:sz w:val="20"/>
                          <w:szCs w:val="20"/>
                          <w:lang w:val="en-US"/>
                        </w:rPr>
                      </w:pPr>
                      <w:r>
                        <w:rPr>
                          <w:color w:val="000000" w:themeColor="text1"/>
                          <w:sz w:val="20"/>
                          <w:szCs w:val="20"/>
                          <w:lang w:val="en-US"/>
                        </w:rPr>
                        <w:t>Pemeliharaan anestesi</w:t>
                      </w:r>
                    </w:p>
                    <w:p w14:paraId="7680EE45" w14:textId="77777777" w:rsidR="003B79BC" w:rsidRDefault="003B79BC">
                      <w:pPr>
                        <w:jc w:val="center"/>
                        <w:rPr>
                          <w:color w:val="000000" w:themeColor="text1"/>
                          <w:sz w:val="20"/>
                          <w:szCs w:val="20"/>
                          <w:lang w:val="id-ID"/>
                        </w:rPr>
                      </w:pPr>
                    </w:p>
                  </w:txbxContent>
                </v:textbox>
                <w10:wrap anchorx="margin"/>
              </v:rect>
            </w:pict>
          </mc:Fallback>
        </mc:AlternateContent>
      </w:r>
    </w:p>
    <w:p w14:paraId="0D2611FB" w14:textId="77777777" w:rsidR="003B79BC" w:rsidRDefault="00000000">
      <w:pPr>
        <w:pStyle w:val="NormalWeb"/>
        <w:rPr>
          <w:lang w:eastAsia="zh-CN"/>
        </w:rPr>
      </w:pPr>
      <w:r>
        <w:rPr>
          <w:noProof/>
          <w:lang w:eastAsia="zh-CN"/>
        </w:rPr>
        <mc:AlternateContent>
          <mc:Choice Requires="wps">
            <w:drawing>
              <wp:anchor distT="0" distB="0" distL="114300" distR="114300" simplePos="0" relativeHeight="251684864" behindDoc="0" locked="0" layoutInCell="1" allowOverlap="1" wp14:anchorId="60682E28" wp14:editId="17BFABAC">
                <wp:simplePos x="0" y="0"/>
                <wp:positionH relativeFrom="margin">
                  <wp:posOffset>217805</wp:posOffset>
                </wp:positionH>
                <wp:positionV relativeFrom="paragraph">
                  <wp:posOffset>229870</wp:posOffset>
                </wp:positionV>
                <wp:extent cx="4404360" cy="263525"/>
                <wp:effectExtent l="0" t="0" r="15240" b="22225"/>
                <wp:wrapNone/>
                <wp:docPr id="1414355928" name="Rectangle 1414355928"/>
                <wp:cNvGraphicFramePr/>
                <a:graphic xmlns:a="http://schemas.openxmlformats.org/drawingml/2006/main">
                  <a:graphicData uri="http://schemas.microsoft.com/office/word/2010/wordprocessingShape">
                    <wps:wsp>
                      <wps:cNvSpPr/>
                      <wps:spPr>
                        <a:xfrm>
                          <a:off x="0" y="0"/>
                          <a:ext cx="4404360" cy="263525"/>
                        </a:xfrm>
                        <a:prstGeom prst="rect">
                          <a:avLst/>
                        </a:prstGeom>
                        <a:solidFill>
                          <a:schemeClr val="bg1"/>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958E0B" w14:textId="77777777" w:rsidR="003B79BC" w:rsidRDefault="00000000">
                            <w:pPr>
                              <w:jc w:val="center"/>
                              <w:rPr>
                                <w:color w:val="000000" w:themeColor="text1"/>
                                <w:sz w:val="20"/>
                                <w:szCs w:val="20"/>
                                <w:lang w:val="en-US"/>
                              </w:rPr>
                            </w:pPr>
                            <w:r>
                              <w:rPr>
                                <w:color w:val="000000" w:themeColor="text1"/>
                                <w:sz w:val="20"/>
                                <w:szCs w:val="20"/>
                                <w:lang w:val="en-US"/>
                              </w:rPr>
                              <w:t>Tonsilektomi</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60682E28" id="Rectangle 1414355928" o:spid="_x0000_s1059" style="position:absolute;margin-left:17.15pt;margin-top:18.1pt;width:346.8pt;height:20.75pt;z-index:2516848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" fillcolor="white [3212]" strokecolor="#1f497d [3215]" strokeweight="2pt">
                <v:textbox>
                  <w:txbxContent>
                    <w:p w14:paraId="32958E0B" w14:textId="77777777" w:rsidR="003B79BC" w:rsidRDefault="00000000">
                      <w:pPr>
                        <w:jc w:val="center"/>
                        <w:rPr>
                          <w:color w:val="000000" w:themeColor="text1"/>
                          <w:sz w:val="20"/>
                          <w:szCs w:val="20"/>
                          <w:lang w:val="en-US"/>
                        </w:rPr>
                      </w:pPr>
                      <w:r>
                        <w:rPr>
                          <w:color w:val="000000" w:themeColor="text1"/>
                          <w:sz w:val="20"/>
                          <w:szCs w:val="20"/>
                          <w:lang w:val="en-US"/>
                        </w:rPr>
                        <w:t>Tonsilektomi</w:t>
                      </w:r>
                    </w:p>
                  </w:txbxContent>
                </v:textbox>
                <w10:wrap anchorx="margin"/>
              </v:rect>
            </w:pict>
          </mc:Fallback>
        </mc:AlternateContent>
      </w:r>
    </w:p>
    <w:p w14:paraId="088C7F16" w14:textId="77777777" w:rsidR="003B79BC" w:rsidRDefault="00000000">
      <w:pPr>
        <w:rPr>
          <w:rFonts w:eastAsiaTheme="minorEastAsia"/>
          <w:lang w:eastAsia="zh-CN"/>
        </w:rPr>
      </w:pPr>
      <w:r>
        <w:rPr>
          <w:noProof/>
          <w:lang w:eastAsia="zh-CN"/>
        </w:rPr>
        <mc:AlternateContent>
          <mc:Choice Requires="wps">
            <w:drawing>
              <wp:anchor distT="0" distB="0" distL="114300" distR="114300" simplePos="0" relativeHeight="251688960" behindDoc="0" locked="0" layoutInCell="1" allowOverlap="1" wp14:anchorId="2F29919E" wp14:editId="68C433B6">
                <wp:simplePos x="0" y="0"/>
                <wp:positionH relativeFrom="margin">
                  <wp:posOffset>1067435</wp:posOffset>
                </wp:positionH>
                <wp:positionV relativeFrom="paragraph">
                  <wp:posOffset>170180</wp:posOffset>
                </wp:positionV>
                <wp:extent cx="0" cy="188595"/>
                <wp:effectExtent l="76200" t="0" r="57150" b="59055"/>
                <wp:wrapNone/>
                <wp:docPr id="53" name="Straight Arrow Connector 53"/>
                <wp:cNvGraphicFramePr/>
                <a:graphic xmlns:a="http://schemas.openxmlformats.org/drawingml/2006/main">
                  <a:graphicData uri="http://schemas.microsoft.com/office/word/2010/wordprocessingShape">
                    <wps:wsp>
                      <wps:cNvCnPr/>
                      <wps:spPr>
                        <a:xfrm>
                          <a:off x="0" y="0"/>
                          <a:ext cx="0" cy="188595"/>
                        </a:xfrm>
                        <a:prstGeom prst="straightConnector1">
                          <a:avLst/>
                        </a:prstGeom>
                        <a:ln w="1905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84.05pt;margin-top:13.4pt;height:14.85pt;width:0pt;mso-position-horizontal-relative:margin;z-index:251688960;mso-width-relative:page;mso-height-relative:page;" filled="f" stroked="t" coordsize="21600,21600" o:gfxdata="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AqVi4bWAAAACQEA&#10;AA8AAAAAAAAAAQAgAAAAIgAAAGRycy9kb3ducmV2LnhtbFBLAQIUABQAAAAIAIdO4kComOlE4wEA&#10;AM8DAAAOAAAAAAAAAAEAIAAAACUBAABkcnMvZTJvRG9jLnhtbFBLBQYAAAAABgAGAFkBAAB6BQAA&#10;AAA=&#10;">
                <v:fill on="f" focussize="0,0"/>
                <v:stroke weight="1.5pt" color="#4F81BD [3204]" joinstyle="round" endarrow="block"/>
                <v:imagedata o:title=""/>
                <o:lock v:ext="edit" aspectratio="f"/>
              </v:shape>
            </w:pict>
          </mc:Fallback>
        </mc:AlternateContent>
      </w:r>
    </w:p>
    <w:p w14:paraId="10F42B9D" w14:textId="77777777" w:rsidR="003B79BC" w:rsidRDefault="00000000">
      <w:pPr>
        <w:rPr>
          <w:rFonts w:eastAsiaTheme="minorEastAsia"/>
          <w:lang w:eastAsia="zh-CN"/>
        </w:rPr>
      </w:pPr>
      <w:r>
        <w:rPr>
          <w:noProof/>
          <w:lang w:eastAsia="zh-CN"/>
        </w:rPr>
        <mc:AlternateContent>
          <mc:Choice Requires="wps">
            <w:drawing>
              <wp:anchor distT="0" distB="0" distL="114300" distR="114300" simplePos="0" relativeHeight="251689984" behindDoc="0" locked="0" layoutInCell="1" allowOverlap="1" wp14:anchorId="4A00BABD" wp14:editId="1908B489">
                <wp:simplePos x="0" y="0"/>
                <wp:positionH relativeFrom="margin">
                  <wp:posOffset>3764280</wp:posOffset>
                </wp:positionH>
                <wp:positionV relativeFrom="paragraph">
                  <wp:posOffset>5080</wp:posOffset>
                </wp:positionV>
                <wp:extent cx="0" cy="188595"/>
                <wp:effectExtent l="76200" t="0" r="57150" b="59055"/>
                <wp:wrapNone/>
                <wp:docPr id="54" name="Straight Arrow Connector 54"/>
                <wp:cNvGraphicFramePr/>
                <a:graphic xmlns:a="http://schemas.openxmlformats.org/drawingml/2006/main">
                  <a:graphicData uri="http://schemas.microsoft.com/office/word/2010/wordprocessingShape">
                    <wps:wsp>
                      <wps:cNvCnPr/>
                      <wps:spPr>
                        <a:xfrm>
                          <a:off x="0" y="0"/>
                          <a:ext cx="0" cy="188595"/>
                        </a:xfrm>
                        <a:prstGeom prst="straightConnector1">
                          <a:avLst/>
                        </a:prstGeom>
                        <a:ln w="1905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296.4pt;margin-top:0.4pt;height:14.85pt;width:0pt;mso-position-horizontal-relative:margin;z-index:251689984;mso-width-relative:page;mso-height-relative:page;" filled="f" stroked="t" coordsize="21600,21600" o:gfxdata="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WHT2ptUAAAAHAQAA&#10;DwAAAAAAAAABACAAAAAiAAAAZHJzL2Rvd25yZXYueG1sUEsBAhQAFAAAAAgAh07iQNDniLrjAQAA&#10;zwMAAA4AAAAAAAAAAQAgAAAAJAEAAGRycy9lMm9Eb2MueG1sUEsFBgAAAAAGAAYAWQEAAHkFAAAA&#10;AA==&#10;">
                <v:fill on="f" focussize="0,0"/>
                <v:stroke weight="1.5pt" color="#4F81BD [3204]" joinstyle="round" endarrow="block"/>
                <v:imagedata o:title=""/>
                <o:lock v:ext="edit" aspectratio="f"/>
              </v:shape>
            </w:pict>
          </mc:Fallback>
        </mc:AlternateContent>
      </w:r>
    </w:p>
    <w:p w14:paraId="0239D77E" w14:textId="77777777" w:rsidR="003B79BC" w:rsidRDefault="00000000">
      <w:pPr>
        <w:rPr>
          <w:rFonts w:eastAsiaTheme="minorEastAsia"/>
          <w:lang w:eastAsia="zh-CN"/>
        </w:rPr>
      </w:pPr>
      <w:r>
        <w:rPr>
          <w:noProof/>
          <w:lang w:eastAsia="zh-CN"/>
        </w:rPr>
        <mc:AlternateContent>
          <mc:Choice Requires="wps">
            <w:drawing>
              <wp:anchor distT="0" distB="0" distL="114300" distR="114300" simplePos="0" relativeHeight="251686912" behindDoc="0" locked="0" layoutInCell="1" allowOverlap="1" wp14:anchorId="7E02B75E" wp14:editId="49419BEA">
                <wp:simplePos x="0" y="0"/>
                <wp:positionH relativeFrom="margin">
                  <wp:posOffset>2560320</wp:posOffset>
                </wp:positionH>
                <wp:positionV relativeFrom="paragraph">
                  <wp:posOffset>12700</wp:posOffset>
                </wp:positionV>
                <wp:extent cx="2071370" cy="501650"/>
                <wp:effectExtent l="0" t="0" r="24130" b="12700"/>
                <wp:wrapNone/>
                <wp:docPr id="177899213" name="Rectangle 177899213"/>
                <wp:cNvGraphicFramePr/>
                <a:graphic xmlns:a="http://schemas.openxmlformats.org/drawingml/2006/main">
                  <a:graphicData uri="http://schemas.microsoft.com/office/word/2010/wordprocessingShape">
                    <wps:wsp>
                      <wps:cNvSpPr/>
                      <wps:spPr>
                        <a:xfrm>
                          <a:off x="0" y="0"/>
                          <a:ext cx="2071370" cy="501650"/>
                        </a:xfrm>
                        <a:prstGeom prst="rect">
                          <a:avLst/>
                        </a:prstGeom>
                        <a:solidFill>
                          <a:schemeClr val="accent4">
                            <a:lumMod val="20000"/>
                            <a:lumOff val="80000"/>
                          </a:schemeClr>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066A7E" w14:textId="77777777" w:rsidR="003B79BC" w:rsidRDefault="00000000">
                            <w:pPr>
                              <w:jc w:val="center"/>
                              <w:rPr>
                                <w:rFonts w:eastAsiaTheme="minorEastAsia"/>
                                <w:color w:val="000000" w:themeColor="text1"/>
                                <w:sz w:val="20"/>
                                <w:szCs w:val="20"/>
                                <w:lang w:val="en-US" w:eastAsia="zh-CN"/>
                              </w:rPr>
                            </w:pPr>
                            <w:r>
                              <w:rPr>
                                <w:rStyle w:val="hwtze"/>
                                <w:rFonts w:eastAsiaTheme="minorEastAsia"/>
                                <w:color w:val="000000" w:themeColor="text1"/>
                                <w:sz w:val="20"/>
                                <w:szCs w:val="20"/>
                                <w:lang w:val="en-US" w:eastAsia="zh-CN"/>
                              </w:rPr>
                              <w:t>Tanpa blok peritonsiler dengan L</w:t>
                            </w:r>
                            <w:r>
                              <w:rPr>
                                <w:rStyle w:val="hwtze"/>
                                <w:rFonts w:eastAsiaTheme="minorEastAsia"/>
                                <w:color w:val="000000" w:themeColor="text1"/>
                                <w:sz w:val="20"/>
                                <w:szCs w:val="20"/>
                                <w:lang w:val="id-ID" w:eastAsia="zh-CN"/>
                              </w:rPr>
                              <w:t>evo</w:t>
                            </w:r>
                            <w:r>
                              <w:rPr>
                                <w:rStyle w:val="rynqvb"/>
                                <w:color w:val="000000" w:themeColor="text1"/>
                                <w:sz w:val="20"/>
                                <w:szCs w:val="20"/>
                                <w:lang w:val="id-ID"/>
                              </w:rPr>
                              <w:t xml:space="preserve">bupivacaine </w:t>
                            </w:r>
                            <w:r>
                              <w:rPr>
                                <w:rStyle w:val="rynqvb"/>
                                <w:color w:val="000000" w:themeColor="text1"/>
                                <w:sz w:val="20"/>
                                <w:szCs w:val="20"/>
                                <w:lang w:val="en-US"/>
                              </w:rPr>
                              <w:t>0,125%</w:t>
                            </w:r>
                          </w:p>
                          <w:p w14:paraId="76303F08" w14:textId="77777777" w:rsidR="003B79BC" w:rsidRDefault="003B79BC">
                            <w:pPr>
                              <w:jc w:val="center"/>
                              <w:rPr>
                                <w:color w:val="000000" w:themeColor="text1"/>
                                <w:sz w:val="20"/>
                                <w:szCs w:val="20"/>
                                <w:lang w:val="id-ID"/>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7E02B75E" id="Rectangle 177899213" o:spid="_x0000_s1060" style="position:absolute;margin-left:201.6pt;margin-top:1pt;width:163.1pt;height:39.5pt;z-index:2516869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" fillcolor="#e5dfec [663]" strokecolor="#1f497d [3215]" strokeweight="2pt">
                <v:textbox>
                  <w:txbxContent>
                    <w:p w14:paraId="29066A7E" w14:textId="77777777" w:rsidR="003B79BC" w:rsidRDefault="00000000">
                      <w:pPr>
                        <w:jc w:val="center"/>
                        <w:rPr>
                          <w:rFonts w:eastAsiaTheme="minorEastAsia"/>
                          <w:color w:val="000000" w:themeColor="text1"/>
                          <w:sz w:val="20"/>
                          <w:szCs w:val="20"/>
                          <w:lang w:val="en-US" w:eastAsia="zh-CN"/>
                        </w:rPr>
                      </w:pPr>
                      <w:r>
                        <w:rPr>
                          <w:rStyle w:val="hwtze"/>
                          <w:rFonts w:eastAsiaTheme="minorEastAsia"/>
                          <w:color w:val="000000" w:themeColor="text1"/>
                          <w:sz w:val="20"/>
                          <w:szCs w:val="20"/>
                          <w:lang w:val="en-US" w:eastAsia="zh-CN"/>
                        </w:rPr>
                        <w:t>Tanpa blok peritonsiler dengan L</w:t>
                      </w:r>
                      <w:r>
                        <w:rPr>
                          <w:rStyle w:val="hwtze"/>
                          <w:rFonts w:eastAsiaTheme="minorEastAsia"/>
                          <w:color w:val="000000" w:themeColor="text1"/>
                          <w:sz w:val="20"/>
                          <w:szCs w:val="20"/>
                          <w:lang w:val="id-ID" w:eastAsia="zh-CN"/>
                        </w:rPr>
                        <w:t>evo</w:t>
                      </w:r>
                      <w:r>
                        <w:rPr>
                          <w:rStyle w:val="rynqvb"/>
                          <w:color w:val="000000" w:themeColor="text1"/>
                          <w:sz w:val="20"/>
                          <w:szCs w:val="20"/>
                          <w:lang w:val="id-ID"/>
                        </w:rPr>
                        <w:t xml:space="preserve">bupivacaine </w:t>
                      </w:r>
                      <w:r>
                        <w:rPr>
                          <w:rStyle w:val="rynqvb"/>
                          <w:color w:val="000000" w:themeColor="text1"/>
                          <w:sz w:val="20"/>
                          <w:szCs w:val="20"/>
                          <w:lang w:val="en-US"/>
                        </w:rPr>
                        <w:t>0,125%</w:t>
                      </w:r>
                    </w:p>
                    <w:p w14:paraId="76303F08" w14:textId="77777777" w:rsidR="003B79BC" w:rsidRDefault="003B79BC">
                      <w:pPr>
                        <w:jc w:val="center"/>
                        <w:rPr>
                          <w:color w:val="000000" w:themeColor="text1"/>
                          <w:sz w:val="20"/>
                          <w:szCs w:val="20"/>
                          <w:lang w:val="id-ID"/>
                        </w:rPr>
                      </w:pPr>
                    </w:p>
                  </w:txbxContent>
                </v:textbox>
                <w10:wrap anchorx="margin"/>
              </v:rect>
            </w:pict>
          </mc:Fallback>
        </mc:AlternateContent>
      </w:r>
      <w:r>
        <w:rPr>
          <w:noProof/>
          <w:lang w:eastAsia="zh-CN"/>
        </w:rPr>
        <mc:AlternateContent>
          <mc:Choice Requires="wps">
            <w:drawing>
              <wp:anchor distT="0" distB="0" distL="114300" distR="114300" simplePos="0" relativeHeight="251685888" behindDoc="0" locked="0" layoutInCell="1" allowOverlap="1" wp14:anchorId="75074921" wp14:editId="338D711F">
                <wp:simplePos x="0" y="0"/>
                <wp:positionH relativeFrom="margin">
                  <wp:posOffset>274320</wp:posOffset>
                </wp:positionH>
                <wp:positionV relativeFrom="paragraph">
                  <wp:posOffset>41275</wp:posOffset>
                </wp:positionV>
                <wp:extent cx="2071370" cy="473075"/>
                <wp:effectExtent l="0" t="0" r="24130" b="22225"/>
                <wp:wrapNone/>
                <wp:docPr id="1220001169" name="Rectangle 1220001169"/>
                <wp:cNvGraphicFramePr/>
                <a:graphic xmlns:a="http://schemas.openxmlformats.org/drawingml/2006/main">
                  <a:graphicData uri="http://schemas.microsoft.com/office/word/2010/wordprocessingShape">
                    <wps:wsp>
                      <wps:cNvSpPr/>
                      <wps:spPr>
                        <a:xfrm>
                          <a:off x="0" y="0"/>
                          <a:ext cx="2071370" cy="473075"/>
                        </a:xfrm>
                        <a:prstGeom prst="rect">
                          <a:avLst/>
                        </a:prstGeom>
                        <a:solidFill>
                          <a:schemeClr val="accent6">
                            <a:lumMod val="40000"/>
                            <a:lumOff val="60000"/>
                          </a:schemeClr>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8EB223" w14:textId="77777777" w:rsidR="003B79BC" w:rsidRDefault="00000000">
                            <w:pPr>
                              <w:jc w:val="center"/>
                              <w:rPr>
                                <w:rFonts w:eastAsiaTheme="minorEastAsia"/>
                                <w:color w:val="000000" w:themeColor="text1"/>
                                <w:sz w:val="20"/>
                                <w:szCs w:val="20"/>
                                <w:lang w:val="en-US" w:eastAsia="zh-CN"/>
                              </w:rPr>
                            </w:pPr>
                            <w:r>
                              <w:rPr>
                                <w:rStyle w:val="hwtze"/>
                                <w:rFonts w:eastAsiaTheme="minorEastAsia"/>
                                <w:color w:val="000000" w:themeColor="text1"/>
                                <w:sz w:val="20"/>
                                <w:szCs w:val="20"/>
                                <w:lang w:val="en-US" w:eastAsia="zh-CN"/>
                              </w:rPr>
                              <w:t>Blok peritonsiler dengan L</w:t>
                            </w:r>
                            <w:r>
                              <w:rPr>
                                <w:rStyle w:val="hwtze"/>
                                <w:rFonts w:eastAsiaTheme="minorEastAsia"/>
                                <w:color w:val="000000" w:themeColor="text1"/>
                                <w:sz w:val="20"/>
                                <w:szCs w:val="20"/>
                                <w:lang w:val="id-ID" w:eastAsia="zh-CN"/>
                              </w:rPr>
                              <w:t>evo</w:t>
                            </w:r>
                            <w:r>
                              <w:rPr>
                                <w:rStyle w:val="rynqvb"/>
                                <w:color w:val="000000" w:themeColor="text1"/>
                                <w:sz w:val="20"/>
                                <w:szCs w:val="20"/>
                                <w:lang w:val="id-ID"/>
                              </w:rPr>
                              <w:t xml:space="preserve">bupivacaine </w:t>
                            </w:r>
                            <w:r>
                              <w:rPr>
                                <w:rStyle w:val="rynqvb"/>
                                <w:color w:val="000000" w:themeColor="text1"/>
                                <w:sz w:val="20"/>
                                <w:szCs w:val="20"/>
                                <w:lang w:val="en-US"/>
                              </w:rPr>
                              <w:t>0,125%</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75074921" id="Rectangle 1220001169" o:spid="_x0000_s1061" style="position:absolute;margin-left:21.6pt;margin-top:3.25pt;width:163.1pt;height:37.25pt;z-index:2516858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" fillcolor="#fbd4b4 [1305]" strokecolor="#1f497d [3215]" strokeweight="2pt">
                <v:textbox>
                  <w:txbxContent>
                    <w:p w14:paraId="778EB223" w14:textId="77777777" w:rsidR="003B79BC" w:rsidRDefault="00000000">
                      <w:pPr>
                        <w:jc w:val="center"/>
                        <w:rPr>
                          <w:rFonts w:eastAsiaTheme="minorEastAsia"/>
                          <w:color w:val="000000" w:themeColor="text1"/>
                          <w:sz w:val="20"/>
                          <w:szCs w:val="20"/>
                          <w:lang w:val="en-US" w:eastAsia="zh-CN"/>
                        </w:rPr>
                      </w:pPr>
                      <w:r>
                        <w:rPr>
                          <w:rStyle w:val="hwtze"/>
                          <w:rFonts w:eastAsiaTheme="minorEastAsia"/>
                          <w:color w:val="000000" w:themeColor="text1"/>
                          <w:sz w:val="20"/>
                          <w:szCs w:val="20"/>
                          <w:lang w:val="en-US" w:eastAsia="zh-CN"/>
                        </w:rPr>
                        <w:t>Blok peritonsiler dengan L</w:t>
                      </w:r>
                      <w:r>
                        <w:rPr>
                          <w:rStyle w:val="hwtze"/>
                          <w:rFonts w:eastAsiaTheme="minorEastAsia"/>
                          <w:color w:val="000000" w:themeColor="text1"/>
                          <w:sz w:val="20"/>
                          <w:szCs w:val="20"/>
                          <w:lang w:val="id-ID" w:eastAsia="zh-CN"/>
                        </w:rPr>
                        <w:t>evo</w:t>
                      </w:r>
                      <w:r>
                        <w:rPr>
                          <w:rStyle w:val="rynqvb"/>
                          <w:color w:val="000000" w:themeColor="text1"/>
                          <w:sz w:val="20"/>
                          <w:szCs w:val="20"/>
                          <w:lang w:val="id-ID"/>
                        </w:rPr>
                        <w:t xml:space="preserve">bupivacaine </w:t>
                      </w:r>
                      <w:r>
                        <w:rPr>
                          <w:rStyle w:val="rynqvb"/>
                          <w:color w:val="000000" w:themeColor="text1"/>
                          <w:sz w:val="20"/>
                          <w:szCs w:val="20"/>
                          <w:lang w:val="en-US"/>
                        </w:rPr>
                        <w:t>0,125%</w:t>
                      </w:r>
                    </w:p>
                  </w:txbxContent>
                </v:textbox>
                <w10:wrap anchorx="margin"/>
              </v:rect>
            </w:pict>
          </mc:Fallback>
        </mc:AlternateContent>
      </w:r>
    </w:p>
    <w:p w14:paraId="000CABC2" w14:textId="77777777" w:rsidR="003B79BC" w:rsidRDefault="003B79BC">
      <w:pPr>
        <w:rPr>
          <w:rFonts w:eastAsiaTheme="minorEastAsia"/>
          <w:lang w:eastAsia="zh-CN"/>
        </w:rPr>
      </w:pPr>
    </w:p>
    <w:p w14:paraId="0125E0B0" w14:textId="77777777" w:rsidR="003B79BC" w:rsidRDefault="00000000">
      <w:pPr>
        <w:rPr>
          <w:rFonts w:eastAsiaTheme="minorEastAsia"/>
          <w:lang w:eastAsia="zh-CN"/>
        </w:rPr>
      </w:pPr>
      <w:r>
        <w:rPr>
          <w:noProof/>
          <w:lang w:eastAsia="zh-CN"/>
        </w:rPr>
        <mc:AlternateContent>
          <mc:Choice Requires="wps">
            <w:drawing>
              <wp:anchor distT="0" distB="0" distL="114300" distR="114300" simplePos="0" relativeHeight="251691008" behindDoc="0" locked="0" layoutInCell="1" allowOverlap="1" wp14:anchorId="54398F19" wp14:editId="3F338DF2">
                <wp:simplePos x="0" y="0"/>
                <wp:positionH relativeFrom="margin">
                  <wp:posOffset>1087120</wp:posOffset>
                </wp:positionH>
                <wp:positionV relativeFrom="paragraph">
                  <wp:posOffset>157480</wp:posOffset>
                </wp:positionV>
                <wp:extent cx="0" cy="188595"/>
                <wp:effectExtent l="76200" t="0" r="57150" b="59055"/>
                <wp:wrapNone/>
                <wp:docPr id="59" name="Straight Arrow Connector 59"/>
                <wp:cNvGraphicFramePr/>
                <a:graphic xmlns:a="http://schemas.openxmlformats.org/drawingml/2006/main">
                  <a:graphicData uri="http://schemas.microsoft.com/office/word/2010/wordprocessingShape">
                    <wps:wsp>
                      <wps:cNvCnPr/>
                      <wps:spPr>
                        <a:xfrm>
                          <a:off x="0" y="0"/>
                          <a:ext cx="0" cy="188595"/>
                        </a:xfrm>
                        <a:prstGeom prst="straightConnector1">
                          <a:avLst/>
                        </a:prstGeom>
                        <a:ln w="1905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85.6pt;margin-top:12.4pt;height:14.85pt;width:0pt;mso-position-horizontal-relative:margin;z-index:251691008;mso-width-relative:page;mso-height-relative:page;" filled="f" stroked="t" coordsize="21600,21600" o:gfxdata="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1gJz01wAAAAkB&#10;AAAPAAAAAAAAAAEAIAAAACIAAABkcnMvZG93bnJldi54bWxQSwECFAAUAAAACACHTuJAFPFdP+MB&#10;AADPAwAADgAAAAAAAAABACAAAAAmAQAAZHJzL2Uyb0RvYy54bWxQSwUGAAAAAAYABgBZAQAAewUA&#10;AAAA&#10;">
                <v:fill on="f" focussize="0,0"/>
                <v:stroke weight="1.5pt" color="#4F81BD [3204]" joinstyle="round" endarrow="block"/>
                <v:imagedata o:title=""/>
                <o:lock v:ext="edit" aspectratio="f"/>
              </v:shape>
            </w:pict>
          </mc:Fallback>
        </mc:AlternateContent>
      </w:r>
      <w:r>
        <w:rPr>
          <w:noProof/>
          <w:lang w:eastAsia="zh-CN"/>
        </w:rPr>
        <mc:AlternateContent>
          <mc:Choice Requires="wps">
            <w:drawing>
              <wp:anchor distT="0" distB="0" distL="114300" distR="114300" simplePos="0" relativeHeight="251692032" behindDoc="0" locked="0" layoutInCell="1" allowOverlap="1" wp14:anchorId="37D94AEA" wp14:editId="261BD038">
                <wp:simplePos x="0" y="0"/>
                <wp:positionH relativeFrom="margin">
                  <wp:posOffset>3793490</wp:posOffset>
                </wp:positionH>
                <wp:positionV relativeFrom="paragraph">
                  <wp:posOffset>157480</wp:posOffset>
                </wp:positionV>
                <wp:extent cx="0" cy="188595"/>
                <wp:effectExtent l="76200" t="0" r="57150" b="59055"/>
                <wp:wrapNone/>
                <wp:docPr id="60" name="Straight Arrow Connector 60"/>
                <wp:cNvGraphicFramePr/>
                <a:graphic xmlns:a="http://schemas.openxmlformats.org/drawingml/2006/main">
                  <a:graphicData uri="http://schemas.microsoft.com/office/word/2010/wordprocessingShape">
                    <wps:wsp>
                      <wps:cNvCnPr/>
                      <wps:spPr>
                        <a:xfrm>
                          <a:off x="0" y="0"/>
                          <a:ext cx="0" cy="188595"/>
                        </a:xfrm>
                        <a:prstGeom prst="straightConnector1">
                          <a:avLst/>
                        </a:prstGeom>
                        <a:ln w="1905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298.7pt;margin-top:12.4pt;height:14.85pt;width:0pt;mso-position-horizontal-relative:margin;z-index:251692032;mso-width-relative:page;mso-height-relative:page;" filled="f" stroked="t" coordsize="21600,21600" o:gfxdata="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lgt7t2AAAAAkB&#10;AAAPAAAAAAAAAAEAIAAAACIAAABkcnMvZG93bnJldi54bWxQSwECFAAUAAAACACHTuJAgJVCxuIB&#10;AADPAwAADgAAAAAAAAABACAAAAAnAQAAZHJzL2Uyb0RvYy54bWxQSwUGAAAAAAYABgBZAQAAewUA&#10;AAAA&#10;">
                <v:fill on="f" focussize="0,0"/>
                <v:stroke weight="1.5pt" color="#4F81BD [3204]" joinstyle="round" endarrow="block"/>
                <v:imagedata o:title=""/>
                <o:lock v:ext="edit" aspectratio="f"/>
              </v:shape>
            </w:pict>
          </mc:Fallback>
        </mc:AlternateContent>
      </w:r>
    </w:p>
    <w:p w14:paraId="252974AF" w14:textId="77777777" w:rsidR="003B79BC" w:rsidRDefault="003B79BC">
      <w:pPr>
        <w:rPr>
          <w:rFonts w:eastAsiaTheme="majorEastAsia"/>
          <w:lang w:eastAsia="zh-CN"/>
        </w:rPr>
      </w:pPr>
    </w:p>
    <w:p w14:paraId="426E21A6" w14:textId="77777777" w:rsidR="003B79BC" w:rsidRDefault="00000000">
      <w:pPr>
        <w:rPr>
          <w:rFonts w:eastAsia="DengXian"/>
          <w:lang w:eastAsia="zh-CN"/>
        </w:rPr>
      </w:pPr>
      <w:r>
        <w:rPr>
          <w:noProof/>
          <w:lang w:eastAsia="zh-CN"/>
        </w:rPr>
        <mc:AlternateContent>
          <mc:Choice Requires="wps">
            <w:drawing>
              <wp:anchor distT="0" distB="0" distL="114300" distR="114300" simplePos="0" relativeHeight="251687936" behindDoc="0" locked="0" layoutInCell="1" allowOverlap="1" wp14:anchorId="140FCCB0" wp14:editId="3D2C3555">
                <wp:simplePos x="0" y="0"/>
                <wp:positionH relativeFrom="margin">
                  <wp:posOffset>267970</wp:posOffset>
                </wp:positionH>
                <wp:positionV relativeFrom="paragraph">
                  <wp:posOffset>22860</wp:posOffset>
                </wp:positionV>
                <wp:extent cx="4404360" cy="635000"/>
                <wp:effectExtent l="0" t="0" r="15240" b="12700"/>
                <wp:wrapNone/>
                <wp:docPr id="52" name="Rectangle 52"/>
                <wp:cNvGraphicFramePr/>
                <a:graphic xmlns:a="http://schemas.openxmlformats.org/drawingml/2006/main">
                  <a:graphicData uri="http://schemas.microsoft.com/office/word/2010/wordprocessingShape">
                    <wps:wsp>
                      <wps:cNvSpPr/>
                      <wps:spPr>
                        <a:xfrm>
                          <a:off x="0" y="0"/>
                          <a:ext cx="4404360" cy="635000"/>
                        </a:xfrm>
                        <a:prstGeom prst="rect">
                          <a:avLst/>
                        </a:prstGeom>
                        <a:solidFill>
                          <a:schemeClr val="bg1"/>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D72CC7" w14:textId="77777777" w:rsidR="003B79BC" w:rsidRDefault="00000000">
                            <w:pPr>
                              <w:pStyle w:val="ListParagraph"/>
                              <w:numPr>
                                <w:ilvl w:val="0"/>
                                <w:numId w:val="28"/>
                              </w:numPr>
                              <w:spacing w:after="160" w:line="259" w:lineRule="auto"/>
                              <w:ind w:left="284" w:hanging="284"/>
                              <w:jc w:val="center"/>
                              <w:rPr>
                                <w:rFonts w:cstheme="minorHAnsi"/>
                                <w:bCs/>
                                <w:color w:val="000000" w:themeColor="text1"/>
                                <w:sz w:val="20"/>
                                <w:szCs w:val="20"/>
                                <w:lang w:val="en-US"/>
                              </w:rPr>
                            </w:pPr>
                            <w:r>
                              <w:rPr>
                                <w:rFonts w:cstheme="minorHAnsi"/>
                                <w:bCs/>
                                <w:color w:val="000000" w:themeColor="text1"/>
                                <w:sz w:val="20"/>
                                <w:szCs w:val="20"/>
                                <w:lang w:val="en-US"/>
                              </w:rPr>
                              <w:t>Pemantauan efek samping dan skala nyeri (NRS) jam ke 4,8,12,24 pascabedah</w:t>
                            </w:r>
                          </w:p>
                          <w:p w14:paraId="55DD92C7" w14:textId="77777777" w:rsidR="003B79BC" w:rsidRPr="00F426C1" w:rsidRDefault="00000000">
                            <w:pPr>
                              <w:pStyle w:val="ListParagraph"/>
                              <w:numPr>
                                <w:ilvl w:val="0"/>
                                <w:numId w:val="28"/>
                              </w:numPr>
                              <w:spacing w:after="160" w:line="259" w:lineRule="auto"/>
                              <w:ind w:left="284" w:hanging="284"/>
                              <w:jc w:val="center"/>
                              <w:rPr>
                                <w:rFonts w:cstheme="minorHAnsi"/>
                                <w:bCs/>
                                <w:color w:val="000000" w:themeColor="text1"/>
                                <w:sz w:val="20"/>
                                <w:szCs w:val="20"/>
                                <w:lang w:val="pt-BR"/>
                              </w:rPr>
                            </w:pPr>
                            <w:r w:rsidRPr="00F426C1">
                              <w:rPr>
                                <w:rFonts w:cstheme="minorHAnsi"/>
                                <w:bCs/>
                                <w:color w:val="000000" w:themeColor="text1"/>
                                <w:sz w:val="20"/>
                                <w:szCs w:val="20"/>
                                <w:lang w:val="pt-BR"/>
                              </w:rPr>
                              <w:t xml:space="preserve">Waktu pertama </w:t>
                            </w:r>
                            <w:r w:rsidRPr="00F426C1">
                              <w:rPr>
                                <w:rFonts w:cstheme="minorHAnsi"/>
                                <w:bCs/>
                                <w:i/>
                                <w:color w:val="000000" w:themeColor="text1"/>
                                <w:sz w:val="20"/>
                                <w:szCs w:val="20"/>
                                <w:lang w:val="pt-BR"/>
                              </w:rPr>
                              <w:t xml:space="preserve">rescue </w:t>
                            </w:r>
                            <w:r w:rsidRPr="00F426C1">
                              <w:rPr>
                                <w:rFonts w:cstheme="minorHAnsi"/>
                                <w:bCs/>
                                <w:color w:val="000000" w:themeColor="text1"/>
                                <w:sz w:val="20"/>
                                <w:szCs w:val="20"/>
                                <w:lang w:val="pt-BR"/>
                              </w:rPr>
                              <w:t>opioid (jika NRS ≥4)</w:t>
                            </w:r>
                          </w:p>
                          <w:p w14:paraId="3054B6E2" w14:textId="77777777" w:rsidR="003B79BC" w:rsidRDefault="00000000">
                            <w:pPr>
                              <w:pStyle w:val="ListParagraph"/>
                              <w:numPr>
                                <w:ilvl w:val="0"/>
                                <w:numId w:val="28"/>
                              </w:numPr>
                              <w:spacing w:after="160" w:line="259" w:lineRule="auto"/>
                              <w:ind w:left="284" w:hanging="284"/>
                              <w:jc w:val="center"/>
                              <w:rPr>
                                <w:rFonts w:cstheme="minorHAnsi"/>
                                <w:bCs/>
                                <w:color w:val="000000" w:themeColor="text1"/>
                                <w:sz w:val="20"/>
                                <w:szCs w:val="20"/>
                                <w:lang w:val="en-US"/>
                              </w:rPr>
                            </w:pPr>
                            <w:r>
                              <w:rPr>
                                <w:rFonts w:cstheme="minorHAnsi"/>
                                <w:bCs/>
                                <w:color w:val="000000" w:themeColor="text1"/>
                                <w:sz w:val="20"/>
                                <w:szCs w:val="20"/>
                                <w:lang w:val="en-US"/>
                              </w:rPr>
                              <w:t>Pemeriksaan IL-6 pada 12 jam pascabedah</w:t>
                            </w:r>
                          </w:p>
                          <w:p w14:paraId="3CF8C6BB" w14:textId="77777777" w:rsidR="003B79BC" w:rsidRDefault="003B79BC">
                            <w:pPr>
                              <w:jc w:val="center"/>
                              <w:rPr>
                                <w:color w:val="000000" w:themeColor="text1"/>
                                <w:sz w:val="20"/>
                                <w:szCs w:val="20"/>
                                <w:lang w:val="id-ID"/>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40FCCB0" id="Rectangle 52" o:spid="_x0000_s1062" style="position:absolute;margin-left:21.1pt;margin-top:1.8pt;width:346.8pt;height:50pt;z-index:251687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" fillcolor="white [3212]" strokecolor="#1f497d [3215]" strokeweight="2pt">
                <v:textbox>
                  <w:txbxContent>
                    <w:p w14:paraId="2CD72CC7" w14:textId="77777777" w:rsidR="003B79BC" w:rsidRDefault="00000000">
                      <w:pPr>
                        <w:pStyle w:val="ListParagraph"/>
                        <w:numPr>
                          <w:ilvl w:val="0"/>
                          <w:numId w:val="28"/>
                        </w:numPr>
                        <w:spacing w:after="160" w:line="259" w:lineRule="auto"/>
                        <w:ind w:left="284" w:hanging="284"/>
                        <w:jc w:val="center"/>
                        <w:rPr>
                          <w:rFonts w:cstheme="minorHAnsi"/>
                          <w:bCs/>
                          <w:color w:val="000000" w:themeColor="text1"/>
                          <w:sz w:val="20"/>
                          <w:szCs w:val="20"/>
                          <w:lang w:val="en-US"/>
                        </w:rPr>
                      </w:pPr>
                      <w:r>
                        <w:rPr>
                          <w:rFonts w:cstheme="minorHAnsi"/>
                          <w:bCs/>
                          <w:color w:val="000000" w:themeColor="text1"/>
                          <w:sz w:val="20"/>
                          <w:szCs w:val="20"/>
                          <w:lang w:val="en-US"/>
                        </w:rPr>
                        <w:t>Pemantauan efek samping dan skala nyeri (NRS) jam ke 4,8,12,24 pascabedah</w:t>
                      </w:r>
                    </w:p>
                    <w:p w14:paraId="55DD92C7" w14:textId="77777777" w:rsidR="003B79BC" w:rsidRPr="00F426C1" w:rsidRDefault="00000000">
                      <w:pPr>
                        <w:pStyle w:val="ListParagraph"/>
                        <w:numPr>
                          <w:ilvl w:val="0"/>
                          <w:numId w:val="28"/>
                        </w:numPr>
                        <w:spacing w:after="160" w:line="259" w:lineRule="auto"/>
                        <w:ind w:left="284" w:hanging="284"/>
                        <w:jc w:val="center"/>
                        <w:rPr>
                          <w:rFonts w:cstheme="minorHAnsi"/>
                          <w:bCs/>
                          <w:color w:val="000000" w:themeColor="text1"/>
                          <w:sz w:val="20"/>
                          <w:szCs w:val="20"/>
                          <w:lang w:val="pt-BR"/>
                        </w:rPr>
                      </w:pPr>
                      <w:r w:rsidRPr="00F426C1">
                        <w:rPr>
                          <w:rFonts w:cstheme="minorHAnsi"/>
                          <w:bCs/>
                          <w:color w:val="000000" w:themeColor="text1"/>
                          <w:sz w:val="20"/>
                          <w:szCs w:val="20"/>
                          <w:lang w:val="pt-BR"/>
                        </w:rPr>
                        <w:t xml:space="preserve">Waktu pertama </w:t>
                      </w:r>
                      <w:r w:rsidRPr="00F426C1">
                        <w:rPr>
                          <w:rFonts w:cstheme="minorHAnsi"/>
                          <w:bCs/>
                          <w:i/>
                          <w:color w:val="000000" w:themeColor="text1"/>
                          <w:sz w:val="20"/>
                          <w:szCs w:val="20"/>
                          <w:lang w:val="pt-BR"/>
                        </w:rPr>
                        <w:t xml:space="preserve">rescue </w:t>
                      </w:r>
                      <w:r w:rsidRPr="00F426C1">
                        <w:rPr>
                          <w:rFonts w:cstheme="minorHAnsi"/>
                          <w:bCs/>
                          <w:color w:val="000000" w:themeColor="text1"/>
                          <w:sz w:val="20"/>
                          <w:szCs w:val="20"/>
                          <w:lang w:val="pt-BR"/>
                        </w:rPr>
                        <w:t>opioid (jika NRS ≥4)</w:t>
                      </w:r>
                    </w:p>
                    <w:p w14:paraId="3054B6E2" w14:textId="77777777" w:rsidR="003B79BC" w:rsidRDefault="00000000">
                      <w:pPr>
                        <w:pStyle w:val="ListParagraph"/>
                        <w:numPr>
                          <w:ilvl w:val="0"/>
                          <w:numId w:val="28"/>
                        </w:numPr>
                        <w:spacing w:after="160" w:line="259" w:lineRule="auto"/>
                        <w:ind w:left="284" w:hanging="284"/>
                        <w:jc w:val="center"/>
                        <w:rPr>
                          <w:rFonts w:cstheme="minorHAnsi"/>
                          <w:bCs/>
                          <w:color w:val="000000" w:themeColor="text1"/>
                          <w:sz w:val="20"/>
                          <w:szCs w:val="20"/>
                          <w:lang w:val="en-US"/>
                        </w:rPr>
                      </w:pPr>
                      <w:r>
                        <w:rPr>
                          <w:rFonts w:cstheme="minorHAnsi"/>
                          <w:bCs/>
                          <w:color w:val="000000" w:themeColor="text1"/>
                          <w:sz w:val="20"/>
                          <w:szCs w:val="20"/>
                          <w:lang w:val="en-US"/>
                        </w:rPr>
                        <w:t>Pemeriksaan IL-6 pada 12 jam pascabedah</w:t>
                      </w:r>
                    </w:p>
                    <w:p w14:paraId="3CF8C6BB" w14:textId="77777777" w:rsidR="003B79BC" w:rsidRDefault="003B79BC">
                      <w:pPr>
                        <w:jc w:val="center"/>
                        <w:rPr>
                          <w:color w:val="000000" w:themeColor="text1"/>
                          <w:sz w:val="20"/>
                          <w:szCs w:val="20"/>
                          <w:lang w:val="id-ID"/>
                        </w:rPr>
                      </w:pPr>
                    </w:p>
                  </w:txbxContent>
                </v:textbox>
                <w10:wrap anchorx="margin"/>
              </v:rect>
            </w:pict>
          </mc:Fallback>
        </mc:AlternateContent>
      </w:r>
    </w:p>
    <w:p w14:paraId="160DB041" w14:textId="77777777" w:rsidR="003B79BC" w:rsidRDefault="003B79BC">
      <w:pPr>
        <w:rPr>
          <w:rFonts w:eastAsiaTheme="majorEastAsia"/>
          <w:lang w:eastAsia="zh-CN"/>
        </w:rPr>
      </w:pPr>
    </w:p>
    <w:p w14:paraId="262F6403" w14:textId="77777777" w:rsidR="003B79BC" w:rsidRDefault="003B79BC">
      <w:pPr>
        <w:rPr>
          <w:rFonts w:eastAsiaTheme="majorEastAsia"/>
          <w:lang w:eastAsia="zh-CN"/>
        </w:rPr>
      </w:pPr>
    </w:p>
    <w:p w14:paraId="031C9BFD" w14:textId="77777777" w:rsidR="003B79BC" w:rsidRDefault="00000000">
      <w:pPr>
        <w:rPr>
          <w:rFonts w:eastAsiaTheme="majorEastAsia"/>
          <w:lang w:eastAsia="zh-CN"/>
        </w:rPr>
      </w:pPr>
      <w:r>
        <w:rPr>
          <w:noProof/>
          <w:lang w:eastAsia="zh-CN"/>
        </w:rPr>
        <mc:AlternateContent>
          <mc:Choice Requires="wps">
            <w:drawing>
              <wp:anchor distT="0" distB="0" distL="114300" distR="114300" simplePos="0" relativeHeight="251712512" behindDoc="0" locked="0" layoutInCell="1" allowOverlap="1" wp14:anchorId="6406DCF6" wp14:editId="7657B676">
                <wp:simplePos x="0" y="0"/>
                <wp:positionH relativeFrom="page">
                  <wp:posOffset>3891915</wp:posOffset>
                </wp:positionH>
                <wp:positionV relativeFrom="paragraph">
                  <wp:posOffset>130810</wp:posOffset>
                </wp:positionV>
                <wp:extent cx="0" cy="188595"/>
                <wp:effectExtent l="76200" t="0" r="57150" b="59055"/>
                <wp:wrapNone/>
                <wp:docPr id="1767628667" name="Straight Arrow Connector 1767628667"/>
                <wp:cNvGraphicFramePr/>
                <a:graphic xmlns:a="http://schemas.openxmlformats.org/drawingml/2006/main">
                  <a:graphicData uri="http://schemas.microsoft.com/office/word/2010/wordprocessingShape">
                    <wps:wsp>
                      <wps:cNvCnPr/>
                      <wps:spPr>
                        <a:xfrm>
                          <a:off x="0" y="0"/>
                          <a:ext cx="0" cy="188595"/>
                        </a:xfrm>
                        <a:prstGeom prst="straightConnector1">
                          <a:avLst/>
                        </a:prstGeom>
                        <a:ln w="1905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306.45pt;margin-top:10.3pt;height:14.85pt;width:0pt;mso-position-horizontal-relative:page;z-index:251712512;mso-width-relative:page;mso-height-relative:page;" filled="f" stroked="t" coordsize="21600,21600" o:gfxdata="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O5v&#10;THLXAAAACQEAAA8AAAAAAAAAAQAgAAAAIgAAAGRycy9kb3ducmV2LnhtbFBLAQIUABQAAAAIAIdO&#10;4kCbO+pL6wEAAN8DAAAOAAAAAAAAAAEAIAAAACYBAABkcnMvZTJvRG9jLnhtbFBLBQYAAAAABgAG&#10;AFkBAACDBQAAAAA=&#10;">
                <v:fill on="f" focussize="0,0"/>
                <v:stroke weight="1.5pt" color="#4F81BD [3204]" joinstyle="round" endarrow="block"/>
                <v:imagedata o:title=""/>
                <o:lock v:ext="edit" aspectratio="f"/>
              </v:shape>
            </w:pict>
          </mc:Fallback>
        </mc:AlternateContent>
      </w:r>
    </w:p>
    <w:p w14:paraId="7B98E4AA" w14:textId="77777777" w:rsidR="003B79BC" w:rsidRDefault="00000000">
      <w:pPr>
        <w:rPr>
          <w:rFonts w:eastAsiaTheme="majorEastAsia"/>
          <w:lang w:eastAsia="zh-CN"/>
        </w:rPr>
      </w:pPr>
      <w:r>
        <w:rPr>
          <w:noProof/>
          <w:lang w:eastAsia="zh-CN"/>
        </w:rPr>
        <mc:AlternateContent>
          <mc:Choice Requires="wps">
            <w:drawing>
              <wp:anchor distT="0" distB="0" distL="114300" distR="114300" simplePos="0" relativeHeight="251679744" behindDoc="0" locked="0" layoutInCell="1" allowOverlap="1" wp14:anchorId="1DFFB8B1" wp14:editId="765D2076">
                <wp:simplePos x="0" y="0"/>
                <wp:positionH relativeFrom="margin">
                  <wp:posOffset>239395</wp:posOffset>
                </wp:positionH>
                <wp:positionV relativeFrom="paragraph">
                  <wp:posOffset>172085</wp:posOffset>
                </wp:positionV>
                <wp:extent cx="4404360" cy="263525"/>
                <wp:effectExtent l="0" t="0" r="15240" b="22225"/>
                <wp:wrapNone/>
                <wp:docPr id="21" name="Rectangle 21"/>
                <wp:cNvGraphicFramePr/>
                <a:graphic xmlns:a="http://schemas.openxmlformats.org/drawingml/2006/main">
                  <a:graphicData uri="http://schemas.microsoft.com/office/word/2010/wordprocessingShape">
                    <wps:wsp>
                      <wps:cNvSpPr/>
                      <wps:spPr>
                        <a:xfrm>
                          <a:off x="0" y="0"/>
                          <a:ext cx="4404360" cy="263525"/>
                        </a:xfrm>
                        <a:prstGeom prst="rect">
                          <a:avLst/>
                        </a:prstGeom>
                        <a:solidFill>
                          <a:schemeClr val="bg1"/>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207C4B" w14:textId="77777777" w:rsidR="003B79BC" w:rsidRDefault="00000000">
                            <w:pPr>
                              <w:jc w:val="center"/>
                              <w:rPr>
                                <w:color w:val="000000" w:themeColor="text1"/>
                                <w:sz w:val="20"/>
                                <w:szCs w:val="20"/>
                                <w:lang w:val="id-ID"/>
                              </w:rPr>
                            </w:pPr>
                            <w:r>
                              <w:rPr>
                                <w:color w:val="000000" w:themeColor="text1"/>
                                <w:sz w:val="20"/>
                                <w:szCs w:val="20"/>
                                <w:lang w:val="id-ID"/>
                              </w:rPr>
                              <w:t>Rekapitulasi data dan analisis data</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DFFB8B1" id="Rectangle 21" o:spid="_x0000_s1063" style="position:absolute;margin-left:18.85pt;margin-top:13.55pt;width:346.8pt;height:20.75pt;z-index:251679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" fillcolor="white [3212]" strokecolor="#1f497d [3215]" strokeweight="2pt">
                <v:textbox>
                  <w:txbxContent>
                    <w:p w14:paraId="4D207C4B" w14:textId="77777777" w:rsidR="003B79BC" w:rsidRDefault="00000000">
                      <w:pPr>
                        <w:jc w:val="center"/>
                        <w:rPr>
                          <w:color w:val="000000" w:themeColor="text1"/>
                          <w:sz w:val="20"/>
                          <w:szCs w:val="20"/>
                          <w:lang w:val="id-ID"/>
                        </w:rPr>
                      </w:pPr>
                      <w:r>
                        <w:rPr>
                          <w:color w:val="000000" w:themeColor="text1"/>
                          <w:sz w:val="20"/>
                          <w:szCs w:val="20"/>
                          <w:lang w:val="id-ID"/>
                        </w:rPr>
                        <w:t>Rekapitulasi data dan analisis data</w:t>
                      </w:r>
                    </w:p>
                  </w:txbxContent>
                </v:textbox>
                <w10:wrap anchorx="margin"/>
              </v:rect>
            </w:pict>
          </mc:Fallback>
        </mc:AlternateContent>
      </w:r>
    </w:p>
    <w:p w14:paraId="338950F6" w14:textId="77777777" w:rsidR="003B79BC" w:rsidRDefault="003B79BC">
      <w:pPr>
        <w:rPr>
          <w:rFonts w:eastAsiaTheme="majorEastAsia"/>
          <w:lang w:eastAsia="zh-CN"/>
        </w:rPr>
      </w:pPr>
    </w:p>
    <w:p w14:paraId="35F3B9DF" w14:textId="77777777" w:rsidR="003B79BC" w:rsidRDefault="00000000">
      <w:pPr>
        <w:rPr>
          <w:rFonts w:eastAsiaTheme="majorEastAsia"/>
          <w:lang w:eastAsia="zh-CN"/>
        </w:rPr>
      </w:pPr>
      <w:r>
        <w:rPr>
          <w:noProof/>
          <w:lang w:eastAsia="zh-CN"/>
        </w:rPr>
        <mc:AlternateContent>
          <mc:Choice Requires="wps">
            <w:drawing>
              <wp:anchor distT="0" distB="0" distL="114300" distR="114300" simplePos="0" relativeHeight="251681792" behindDoc="0" locked="0" layoutInCell="1" allowOverlap="1" wp14:anchorId="6DB3379D" wp14:editId="0F697FD8">
                <wp:simplePos x="0" y="0"/>
                <wp:positionH relativeFrom="margin">
                  <wp:posOffset>2456180</wp:posOffset>
                </wp:positionH>
                <wp:positionV relativeFrom="paragraph">
                  <wp:posOffset>81280</wp:posOffset>
                </wp:positionV>
                <wp:extent cx="0" cy="188595"/>
                <wp:effectExtent l="76200" t="0" r="57150" b="59055"/>
                <wp:wrapNone/>
                <wp:docPr id="2057203326" name="Straight Arrow Connector 2057203326"/>
                <wp:cNvGraphicFramePr/>
                <a:graphic xmlns:a="http://schemas.openxmlformats.org/drawingml/2006/main">
                  <a:graphicData uri="http://schemas.microsoft.com/office/word/2010/wordprocessingShape">
                    <wps:wsp>
                      <wps:cNvCnPr/>
                      <wps:spPr>
                        <a:xfrm>
                          <a:off x="0" y="0"/>
                          <a:ext cx="0" cy="188595"/>
                        </a:xfrm>
                        <a:prstGeom prst="straightConnector1">
                          <a:avLst/>
                        </a:prstGeom>
                        <a:ln w="1905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193.4pt;margin-top:6.4pt;height:14.85pt;width:0pt;mso-position-horizontal-relative:margin;z-index:251681792;mso-width-relative:page;mso-height-relative:page;" filled="f" stroked="t" coordsize="21600,21600" o:gfxdata="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W&#10;m5YV1wAAAAkBAAAPAAAAAAAAAAEAIAAAACIAAABkcnMvZG93bnJldi54bWxQSwECFAAUAAAACACH&#10;TuJAY4MoxOwBAADfAwAADgAAAAAAAAABACAAAAAmAQAAZHJzL2Uyb0RvYy54bWxQSwUGAAAAAAYA&#10;BgBZAQAAhAUAAAAA&#10;">
                <v:fill on="f" focussize="0,0"/>
                <v:stroke weight="1.5pt" color="#4F81BD [3204]" joinstyle="round" endarrow="block"/>
                <v:imagedata o:title=""/>
                <o:lock v:ext="edit" aspectratio="f"/>
              </v:shape>
            </w:pict>
          </mc:Fallback>
        </mc:AlternateContent>
      </w:r>
    </w:p>
    <w:p w14:paraId="622E64F2" w14:textId="77777777" w:rsidR="003B79BC" w:rsidRDefault="00000000">
      <w:pPr>
        <w:rPr>
          <w:rFonts w:eastAsiaTheme="majorEastAsia"/>
          <w:lang w:eastAsia="zh-CN"/>
        </w:rPr>
      </w:pPr>
      <w:r>
        <w:rPr>
          <w:noProof/>
          <w:lang w:eastAsia="zh-CN"/>
        </w:rPr>
        <mc:AlternateContent>
          <mc:Choice Requires="wps">
            <w:drawing>
              <wp:anchor distT="0" distB="0" distL="114300" distR="114300" simplePos="0" relativeHeight="251683840" behindDoc="0" locked="0" layoutInCell="1" allowOverlap="1" wp14:anchorId="5D5A340B" wp14:editId="688B7B23">
                <wp:simplePos x="0" y="0"/>
                <wp:positionH relativeFrom="margin">
                  <wp:posOffset>219075</wp:posOffset>
                </wp:positionH>
                <wp:positionV relativeFrom="paragraph">
                  <wp:posOffset>118745</wp:posOffset>
                </wp:positionV>
                <wp:extent cx="4404360" cy="263525"/>
                <wp:effectExtent l="0" t="0" r="15240" b="22225"/>
                <wp:wrapNone/>
                <wp:docPr id="1066824243" name="Rectangle 1066824243"/>
                <wp:cNvGraphicFramePr/>
                <a:graphic xmlns:a="http://schemas.openxmlformats.org/drawingml/2006/main">
                  <a:graphicData uri="http://schemas.microsoft.com/office/word/2010/wordprocessingShape">
                    <wps:wsp>
                      <wps:cNvSpPr/>
                      <wps:spPr>
                        <a:xfrm>
                          <a:off x="0" y="0"/>
                          <a:ext cx="4404360" cy="263525"/>
                        </a:xfrm>
                        <a:prstGeom prst="rect">
                          <a:avLst/>
                        </a:prstGeom>
                        <a:solidFill>
                          <a:schemeClr val="bg1"/>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A4278C" w14:textId="77777777" w:rsidR="003B79BC" w:rsidRDefault="00000000">
                            <w:pPr>
                              <w:jc w:val="center"/>
                              <w:rPr>
                                <w:color w:val="000000" w:themeColor="text1"/>
                                <w:sz w:val="20"/>
                                <w:szCs w:val="20"/>
                                <w:lang w:val="id-ID"/>
                              </w:rPr>
                            </w:pPr>
                            <w:r>
                              <w:rPr>
                                <w:color w:val="000000" w:themeColor="text1"/>
                                <w:sz w:val="20"/>
                                <w:szCs w:val="20"/>
                                <w:lang w:val="id-ID"/>
                              </w:rPr>
                              <w:t>Pelaporan hasil</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D5A340B" id="Rectangle 1066824243" o:spid="_x0000_s1064" style="position:absolute;margin-left:17.25pt;margin-top:9.35pt;width:346.8pt;height:20.75pt;z-index:2516838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" fillcolor="white [3212]" strokecolor="#1f497d [3215]" strokeweight="2pt">
                <v:textbox>
                  <w:txbxContent>
                    <w:p w14:paraId="12A4278C" w14:textId="77777777" w:rsidR="003B79BC" w:rsidRDefault="00000000">
                      <w:pPr>
                        <w:jc w:val="center"/>
                        <w:rPr>
                          <w:color w:val="000000" w:themeColor="text1"/>
                          <w:sz w:val="20"/>
                          <w:szCs w:val="20"/>
                          <w:lang w:val="id-ID"/>
                        </w:rPr>
                      </w:pPr>
                      <w:r>
                        <w:rPr>
                          <w:color w:val="000000" w:themeColor="text1"/>
                          <w:sz w:val="20"/>
                          <w:szCs w:val="20"/>
                          <w:lang w:val="id-ID"/>
                        </w:rPr>
                        <w:t>Pelaporan hasil</w:t>
                      </w:r>
                    </w:p>
                  </w:txbxContent>
                </v:textbox>
                <w10:wrap anchorx="margin"/>
              </v:rect>
            </w:pict>
          </mc:Fallback>
        </mc:AlternateContent>
      </w:r>
    </w:p>
    <w:p w14:paraId="28E375F3" w14:textId="77777777" w:rsidR="003B79BC" w:rsidRDefault="003B79BC">
      <w:pPr>
        <w:rPr>
          <w:rFonts w:eastAsiaTheme="majorEastAsia"/>
          <w:lang w:eastAsia="zh-CN"/>
        </w:rPr>
      </w:pPr>
    </w:p>
    <w:p w14:paraId="3930C38B" w14:textId="77777777" w:rsidR="003B79BC" w:rsidRDefault="003B79BC">
      <w:pPr>
        <w:rPr>
          <w:rFonts w:eastAsiaTheme="majorEastAsia"/>
          <w:lang w:eastAsia="zh-CN"/>
        </w:rPr>
      </w:pPr>
    </w:p>
    <w:p w14:paraId="1ECA844A" w14:textId="77777777" w:rsidR="003B79BC" w:rsidRDefault="003B79BC">
      <w:pPr>
        <w:rPr>
          <w:rFonts w:eastAsiaTheme="majorEastAsia"/>
        </w:rPr>
      </w:pPr>
    </w:p>
    <w:p w14:paraId="5A41C7B9" w14:textId="77777777" w:rsidR="003B79BC" w:rsidRDefault="003B79BC">
      <w:pPr>
        <w:rPr>
          <w:rFonts w:eastAsiaTheme="majorEastAsia"/>
        </w:rPr>
      </w:pPr>
    </w:p>
    <w:p w14:paraId="2897F0EE" w14:textId="37885716" w:rsidR="003B79BC" w:rsidRDefault="00000000">
      <w:pPr>
        <w:pStyle w:val="Caption"/>
        <w:rPr>
          <w:rFonts w:eastAsiaTheme="minorEastAsia"/>
          <w:i w:val="0"/>
          <w:iCs w:val="0"/>
          <w:sz w:val="24"/>
          <w:szCs w:val="24"/>
          <w:lang w:eastAsia="zh-CN"/>
        </w:rPr>
      </w:pPr>
      <w:r>
        <w:rPr>
          <w:i w:val="0"/>
          <w:iCs w:val="0"/>
          <w:color w:val="000000" w:themeColor="text1"/>
          <w:sz w:val="24"/>
          <w:szCs w:val="24"/>
        </w:rPr>
        <w:t xml:space="preserve">Gambar </w:t>
      </w:r>
      <w:r>
        <w:rPr>
          <w:i w:val="0"/>
          <w:iCs w:val="0"/>
          <w:color w:val="000000" w:themeColor="text1"/>
          <w:sz w:val="24"/>
          <w:szCs w:val="24"/>
        </w:rPr>
        <w:fldChar w:fldCharType="begin"/>
      </w:r>
      <w:r>
        <w:rPr>
          <w:i w:val="0"/>
          <w:iCs w:val="0"/>
          <w:color w:val="000000" w:themeColor="text1"/>
          <w:sz w:val="24"/>
          <w:szCs w:val="24"/>
        </w:rPr>
        <w:instrText xml:space="preserve"> SEQ Gambar \* ARABIC </w:instrText>
      </w:r>
      <w:r>
        <w:rPr>
          <w:i w:val="0"/>
          <w:iCs w:val="0"/>
          <w:color w:val="000000" w:themeColor="text1"/>
          <w:sz w:val="24"/>
          <w:szCs w:val="24"/>
        </w:rPr>
        <w:fldChar w:fldCharType="separate"/>
      </w:r>
      <w:r w:rsidR="00D671E3">
        <w:rPr>
          <w:i w:val="0"/>
          <w:iCs w:val="0"/>
          <w:noProof/>
          <w:color w:val="000000" w:themeColor="text1"/>
          <w:sz w:val="24"/>
          <w:szCs w:val="24"/>
        </w:rPr>
        <w:t>10</w:t>
      </w:r>
      <w:r>
        <w:rPr>
          <w:i w:val="0"/>
          <w:iCs w:val="0"/>
          <w:color w:val="000000" w:themeColor="text1"/>
          <w:sz w:val="24"/>
          <w:szCs w:val="24"/>
        </w:rPr>
        <w:fldChar w:fldCharType="end"/>
      </w:r>
      <w:r>
        <w:rPr>
          <w:i w:val="0"/>
          <w:iCs w:val="0"/>
          <w:color w:val="000000" w:themeColor="text1"/>
          <w:sz w:val="24"/>
          <w:szCs w:val="24"/>
          <w:lang w:val="id-ID"/>
        </w:rPr>
        <w:t>. Alur Penelitian</w:t>
      </w:r>
      <w:r>
        <w:rPr>
          <w:rFonts w:eastAsiaTheme="minorEastAsia"/>
          <w:i w:val="0"/>
          <w:iCs w:val="0"/>
          <w:sz w:val="24"/>
          <w:szCs w:val="24"/>
          <w:lang w:eastAsia="zh-CN"/>
        </w:rPr>
        <w:br w:type="page"/>
      </w:r>
    </w:p>
    <w:p w14:paraId="0F9B5ED5" w14:textId="20A32751" w:rsidR="00C364AF" w:rsidRPr="007A47B4" w:rsidRDefault="00C364AF" w:rsidP="007A47B4">
      <w:pPr>
        <w:pStyle w:val="Heading1"/>
        <w:spacing w:after="0"/>
        <w:rPr>
          <w:sz w:val="24"/>
          <w:szCs w:val="24"/>
        </w:rPr>
      </w:pPr>
      <w:bookmarkStart w:id="122" w:name="_Toc158290293"/>
      <w:r w:rsidRPr="007A47B4">
        <w:rPr>
          <w:sz w:val="24"/>
          <w:szCs w:val="24"/>
        </w:rPr>
        <w:lastRenderedPageBreak/>
        <w:t>BAB VI</w:t>
      </w:r>
      <w:bookmarkEnd w:id="122"/>
    </w:p>
    <w:p w14:paraId="124A4E40" w14:textId="21748EEA" w:rsidR="00C364AF" w:rsidRDefault="00C364AF" w:rsidP="007A47B4">
      <w:pPr>
        <w:pStyle w:val="Heading1"/>
        <w:spacing w:after="0"/>
        <w:rPr>
          <w:lang w:val="en-US" w:eastAsia="zh-CN"/>
        </w:rPr>
      </w:pPr>
      <w:bookmarkStart w:id="123" w:name="_Toc158290294"/>
      <w:r w:rsidRPr="007A47B4">
        <w:rPr>
          <w:sz w:val="24"/>
          <w:szCs w:val="24"/>
        </w:rPr>
        <w:t>HASIL PENELITIAN</w:t>
      </w:r>
      <w:bookmarkEnd w:id="123"/>
    </w:p>
    <w:p w14:paraId="513F5CAF" w14:textId="3FE86065" w:rsidR="00C364AF" w:rsidRPr="008E4D08" w:rsidRDefault="00C364AF" w:rsidP="00C364AF">
      <w:pPr>
        <w:pStyle w:val="ListParagraph"/>
        <w:numPr>
          <w:ilvl w:val="0"/>
          <w:numId w:val="29"/>
        </w:numPr>
        <w:rPr>
          <w:b/>
          <w:bCs/>
          <w:color w:val="FFFFFF" w:themeColor="background1"/>
          <w:lang w:val="en-US" w:eastAsia="zh-CN"/>
        </w:rPr>
      </w:pPr>
      <w:r w:rsidRPr="008E4D08">
        <w:rPr>
          <w:b/>
          <w:bCs/>
          <w:color w:val="FFFFFF" w:themeColor="background1"/>
          <w:lang w:val="en-US" w:eastAsia="zh-CN"/>
        </w:rPr>
        <w:t>A</w:t>
      </w:r>
    </w:p>
    <w:p w14:paraId="5D32B09F" w14:textId="616AE995" w:rsidR="00C364AF" w:rsidRDefault="007A47B4" w:rsidP="00807811">
      <w:pPr>
        <w:pStyle w:val="Heading2"/>
        <w:spacing w:after="0"/>
        <w:ind w:left="567" w:hanging="567"/>
        <w:rPr>
          <w:lang w:val="en-US" w:eastAsia="zh-CN"/>
        </w:rPr>
      </w:pPr>
      <w:bookmarkStart w:id="124" w:name="_Toc158290295"/>
      <w:r>
        <w:rPr>
          <w:lang w:val="id-ID" w:eastAsia="zh-CN"/>
        </w:rPr>
        <w:t>6.1</w:t>
      </w:r>
      <w:r>
        <w:rPr>
          <w:lang w:val="id-ID" w:eastAsia="zh-CN"/>
        </w:rPr>
        <w:tab/>
      </w:r>
      <w:proofErr w:type="spellStart"/>
      <w:r w:rsidR="00C364AF" w:rsidRPr="00C364AF">
        <w:rPr>
          <w:lang w:val="en-US" w:eastAsia="zh-CN"/>
        </w:rPr>
        <w:t>Karakteristik</w:t>
      </w:r>
      <w:proofErr w:type="spellEnd"/>
      <w:r w:rsidR="00C364AF" w:rsidRPr="00C364AF">
        <w:rPr>
          <w:lang w:val="en-US" w:eastAsia="zh-CN"/>
        </w:rPr>
        <w:t xml:space="preserve"> </w:t>
      </w:r>
      <w:r w:rsidR="00807811" w:rsidRPr="00CE23F9">
        <w:rPr>
          <w:lang w:val="en-US" w:eastAsia="zh-CN"/>
        </w:rPr>
        <w:t>S</w:t>
      </w:r>
      <w:r w:rsidR="00CE23F9">
        <w:rPr>
          <w:lang w:val="id-ID" w:eastAsia="zh-CN"/>
        </w:rPr>
        <w:t>ubyek</w:t>
      </w:r>
      <w:r w:rsidR="00C364AF" w:rsidRPr="00C364AF">
        <w:rPr>
          <w:lang w:val="en-US" w:eastAsia="zh-CN"/>
        </w:rPr>
        <w:t xml:space="preserve"> </w:t>
      </w:r>
      <w:proofErr w:type="spellStart"/>
      <w:r w:rsidR="00C364AF" w:rsidRPr="00C364AF">
        <w:rPr>
          <w:lang w:val="en-US" w:eastAsia="zh-CN"/>
        </w:rPr>
        <w:t>Penelitian</w:t>
      </w:r>
      <w:bookmarkEnd w:id="124"/>
      <w:proofErr w:type="spellEnd"/>
      <w:r w:rsidR="00C364AF" w:rsidRPr="00C364AF">
        <w:rPr>
          <w:lang w:val="en-US" w:eastAsia="zh-CN"/>
        </w:rPr>
        <w:t xml:space="preserve"> </w:t>
      </w:r>
    </w:p>
    <w:p w14:paraId="4E0AEB6B" w14:textId="45DFF039" w:rsidR="008E4D08" w:rsidRDefault="00807811" w:rsidP="0060231C">
      <w:pPr>
        <w:spacing w:line="360" w:lineRule="auto"/>
        <w:ind w:firstLine="567"/>
        <w:jc w:val="both"/>
        <w:rPr>
          <w:lang w:val="id-ID" w:eastAsia="zh-CN"/>
        </w:rPr>
      </w:pPr>
      <w:r>
        <w:rPr>
          <w:lang w:val="id-ID"/>
        </w:rPr>
        <w:t>Penelitian ini dilakukan pada</w:t>
      </w:r>
      <w:r>
        <w:t xml:space="preserve"> </w:t>
      </w:r>
      <w:r w:rsidR="0060231C">
        <w:rPr>
          <w:lang w:val="id-ID"/>
        </w:rPr>
        <w:t xml:space="preserve">30 </w:t>
      </w:r>
      <w:r>
        <w:t xml:space="preserve">pasien yang menjalani prosedur pembedahan </w:t>
      </w:r>
      <w:r>
        <w:rPr>
          <w:lang w:val="id-ID"/>
        </w:rPr>
        <w:t xml:space="preserve">tonsilektomi </w:t>
      </w:r>
      <w:r>
        <w:t>di RSUP Wahidin Sudirohusodo dan RS jejaring pendidikan.</w:t>
      </w:r>
      <w:r w:rsidR="0060231C">
        <w:rPr>
          <w:lang w:val="id-ID"/>
        </w:rPr>
        <w:t xml:space="preserve"> Pasien dibagi menjadi dua kelompok dimana masing-masing kelompok terdiri dari 15 pasien yaitu </w:t>
      </w:r>
      <w:r w:rsidR="0060231C">
        <w:rPr>
          <w:color w:val="000000" w:themeColor="text1"/>
          <w:lang w:val="id-ID"/>
        </w:rPr>
        <w:t>k</w:t>
      </w:r>
      <w:r w:rsidR="0060231C" w:rsidRPr="0060231C">
        <w:rPr>
          <w:color w:val="000000" w:themeColor="text1"/>
        </w:rPr>
        <w:t xml:space="preserve">elompok </w:t>
      </w:r>
      <w:r w:rsidR="0060231C" w:rsidRPr="00F426C1">
        <w:rPr>
          <w:color w:val="000000" w:themeColor="text1"/>
          <w:lang w:val="id-ID"/>
        </w:rPr>
        <w:t>I</w:t>
      </w:r>
      <w:r w:rsidR="0060231C" w:rsidRPr="0060231C">
        <w:rPr>
          <w:color w:val="000000" w:themeColor="text1"/>
          <w:lang w:val="id-ID"/>
        </w:rPr>
        <w:t>ntervensi (I)</w:t>
      </w:r>
      <w:r w:rsidR="0060231C" w:rsidRPr="00F426C1">
        <w:rPr>
          <w:color w:val="000000" w:themeColor="text1"/>
          <w:lang w:val="id-ID"/>
        </w:rPr>
        <w:t xml:space="preserve"> </w:t>
      </w:r>
      <w:r w:rsidR="0060231C" w:rsidRPr="00F426C1">
        <w:rPr>
          <w:color w:val="000000" w:themeColor="text1"/>
          <w:lang w:val="id-ID"/>
        </w:rPr>
        <w:tab/>
        <w:t xml:space="preserve">dilakukan blok peritonsiler dengan </w:t>
      </w:r>
      <w:r w:rsidR="0060231C" w:rsidRPr="0060231C">
        <w:rPr>
          <w:color w:val="000000" w:themeColor="text1"/>
          <w:lang w:val="id-ID"/>
        </w:rPr>
        <w:t>levo</w:t>
      </w:r>
      <w:r w:rsidR="0060231C" w:rsidRPr="00F426C1">
        <w:rPr>
          <w:color w:val="000000" w:themeColor="text1"/>
          <w:lang w:val="id-ID"/>
        </w:rPr>
        <w:t>bupivacaine isobarik 0,125% sebanyak 2 ml untuk masing-masing sisi pada regio pilar anterior tonsil</w:t>
      </w:r>
      <w:r w:rsidR="0060231C">
        <w:rPr>
          <w:color w:val="000000" w:themeColor="text1"/>
          <w:lang w:val="id-ID"/>
        </w:rPr>
        <w:t xml:space="preserve"> dan</w:t>
      </w:r>
      <w:r w:rsidR="0060231C">
        <w:rPr>
          <w:lang w:val="id-ID"/>
        </w:rPr>
        <w:t xml:space="preserve"> </w:t>
      </w:r>
      <w:r w:rsidR="0060231C" w:rsidRPr="0060231C">
        <w:rPr>
          <w:rFonts w:eastAsiaTheme="minorEastAsia"/>
          <w:lang w:val="id-ID" w:eastAsia="zh-CN"/>
        </w:rPr>
        <w:t>k</w:t>
      </w:r>
      <w:r w:rsidR="0060231C" w:rsidRPr="00F426C1">
        <w:rPr>
          <w:color w:val="000000" w:themeColor="text1"/>
          <w:lang w:val="id-ID"/>
        </w:rPr>
        <w:t xml:space="preserve">elompok </w:t>
      </w:r>
      <w:r w:rsidR="0060231C">
        <w:rPr>
          <w:color w:val="000000" w:themeColor="text1"/>
          <w:lang w:val="id-ID"/>
        </w:rPr>
        <w:t>k</w:t>
      </w:r>
      <w:r w:rsidR="0060231C" w:rsidRPr="0060231C">
        <w:rPr>
          <w:color w:val="000000" w:themeColor="text1"/>
          <w:lang w:val="id-ID"/>
        </w:rPr>
        <w:t>ontrol (K)</w:t>
      </w:r>
      <w:r w:rsidR="0060231C">
        <w:rPr>
          <w:color w:val="000000" w:themeColor="text1"/>
          <w:lang w:val="id-ID"/>
        </w:rPr>
        <w:t xml:space="preserve"> yaitu</w:t>
      </w:r>
      <w:r w:rsidR="0060231C" w:rsidRPr="00F426C1">
        <w:rPr>
          <w:color w:val="000000" w:themeColor="text1"/>
          <w:lang w:val="id-ID"/>
        </w:rPr>
        <w:t xml:space="preserve"> </w:t>
      </w:r>
      <w:r w:rsidR="0060231C" w:rsidRPr="0060231C">
        <w:rPr>
          <w:color w:val="000000" w:themeColor="text1"/>
          <w:lang w:val="id-ID"/>
        </w:rPr>
        <w:t xml:space="preserve">pasien yang tidak </w:t>
      </w:r>
      <w:r w:rsidR="0060231C" w:rsidRPr="00F426C1">
        <w:rPr>
          <w:color w:val="000000" w:themeColor="text1"/>
          <w:lang w:val="id-ID"/>
        </w:rPr>
        <w:t>dilakukan blok peritonsiler.</w:t>
      </w:r>
      <w:r w:rsidR="0060231C">
        <w:rPr>
          <w:lang w:val="id-ID"/>
        </w:rPr>
        <w:t xml:space="preserve"> Perbandingan </w:t>
      </w:r>
      <w:r w:rsidR="0060231C">
        <w:rPr>
          <w:lang w:val="id-ID" w:eastAsia="zh-CN"/>
        </w:rPr>
        <w:t>k</w:t>
      </w:r>
      <w:proofErr w:type="spellStart"/>
      <w:r w:rsidR="008E4D08" w:rsidRPr="00807811">
        <w:rPr>
          <w:lang w:val="en-US" w:eastAsia="zh-CN"/>
        </w:rPr>
        <w:t>arakteristik</w:t>
      </w:r>
      <w:proofErr w:type="spellEnd"/>
      <w:r w:rsidR="008E4D08" w:rsidRPr="00807811">
        <w:rPr>
          <w:lang w:val="en-US" w:eastAsia="zh-CN"/>
        </w:rPr>
        <w:t xml:space="preserve"> </w:t>
      </w:r>
      <w:r w:rsidR="0060231C">
        <w:rPr>
          <w:lang w:val="id-ID" w:eastAsia="zh-CN"/>
        </w:rPr>
        <w:t>subyek</w:t>
      </w:r>
      <w:r w:rsidR="008E4D08" w:rsidRPr="00807811">
        <w:rPr>
          <w:lang w:val="en-US" w:eastAsia="zh-CN"/>
        </w:rPr>
        <w:t xml:space="preserve"> </w:t>
      </w:r>
      <w:proofErr w:type="spellStart"/>
      <w:r w:rsidR="008E4D08" w:rsidRPr="00807811">
        <w:rPr>
          <w:lang w:val="en-US" w:eastAsia="zh-CN"/>
        </w:rPr>
        <w:t>penelitian</w:t>
      </w:r>
      <w:proofErr w:type="spellEnd"/>
      <w:r w:rsidR="008E4D08" w:rsidRPr="00807811">
        <w:rPr>
          <w:lang w:val="en-US" w:eastAsia="zh-CN"/>
        </w:rPr>
        <w:t xml:space="preserve"> </w:t>
      </w:r>
      <w:proofErr w:type="spellStart"/>
      <w:r w:rsidR="008E4D08" w:rsidRPr="00807811">
        <w:rPr>
          <w:lang w:val="en-US" w:eastAsia="zh-CN"/>
        </w:rPr>
        <w:t>kedua</w:t>
      </w:r>
      <w:proofErr w:type="spellEnd"/>
      <w:r w:rsidR="008E4D08" w:rsidRPr="00807811">
        <w:rPr>
          <w:lang w:val="en-US" w:eastAsia="zh-CN"/>
        </w:rPr>
        <w:t xml:space="preserve"> </w:t>
      </w:r>
      <w:proofErr w:type="spellStart"/>
      <w:r w:rsidR="008E4D08" w:rsidRPr="00807811">
        <w:rPr>
          <w:lang w:val="en-US" w:eastAsia="zh-CN"/>
        </w:rPr>
        <w:t>kelompok</w:t>
      </w:r>
      <w:proofErr w:type="spellEnd"/>
      <w:r w:rsidR="008E4D08" w:rsidRPr="00807811">
        <w:rPr>
          <w:lang w:val="en-US" w:eastAsia="zh-CN"/>
        </w:rPr>
        <w:t xml:space="preserve"> dapat </w:t>
      </w:r>
      <w:proofErr w:type="spellStart"/>
      <w:r w:rsidR="008E4D08" w:rsidRPr="00807811">
        <w:rPr>
          <w:lang w:val="en-US" w:eastAsia="zh-CN"/>
        </w:rPr>
        <w:t>dilihat</w:t>
      </w:r>
      <w:proofErr w:type="spellEnd"/>
      <w:r w:rsidR="008E4D08" w:rsidRPr="00807811">
        <w:rPr>
          <w:lang w:val="en-US" w:eastAsia="zh-CN"/>
        </w:rPr>
        <w:t xml:space="preserve"> pada </w:t>
      </w:r>
      <w:r w:rsidR="0060231C">
        <w:rPr>
          <w:lang w:val="id-ID" w:eastAsia="zh-CN"/>
        </w:rPr>
        <w:t>T</w:t>
      </w:r>
      <w:proofErr w:type="spellStart"/>
      <w:r w:rsidR="008E4D08" w:rsidRPr="00807811">
        <w:rPr>
          <w:lang w:val="en-US" w:eastAsia="zh-CN"/>
        </w:rPr>
        <w:t>abel</w:t>
      </w:r>
      <w:proofErr w:type="spellEnd"/>
      <w:r w:rsidR="0060231C">
        <w:rPr>
          <w:lang w:val="id-ID" w:eastAsia="zh-CN"/>
        </w:rPr>
        <w:t xml:space="preserve"> </w:t>
      </w:r>
      <w:r w:rsidR="00CE23F9">
        <w:rPr>
          <w:lang w:val="id-ID" w:eastAsia="zh-CN"/>
        </w:rPr>
        <w:t>1.</w:t>
      </w:r>
    </w:p>
    <w:p w14:paraId="74AFD979" w14:textId="77777777" w:rsidR="00E01370" w:rsidRDefault="00E01370" w:rsidP="0060231C">
      <w:pPr>
        <w:spacing w:line="360" w:lineRule="auto"/>
        <w:ind w:firstLine="567"/>
        <w:jc w:val="both"/>
        <w:rPr>
          <w:lang w:val="id-ID" w:eastAsia="zh-CN"/>
        </w:rPr>
      </w:pPr>
    </w:p>
    <w:p w14:paraId="13F6484F" w14:textId="12A3F589" w:rsidR="008E4D08" w:rsidRPr="00CE23F9" w:rsidRDefault="00CE23F9" w:rsidP="00CE23F9">
      <w:pPr>
        <w:pStyle w:val="Caption"/>
        <w:rPr>
          <w:i w:val="0"/>
          <w:iCs w:val="0"/>
          <w:color w:val="auto"/>
          <w:sz w:val="24"/>
          <w:szCs w:val="24"/>
          <w:lang w:val="id-ID"/>
        </w:rPr>
      </w:pPr>
      <w:r w:rsidRPr="00CE23F9">
        <w:rPr>
          <w:i w:val="0"/>
          <w:iCs w:val="0"/>
          <w:color w:val="auto"/>
          <w:sz w:val="24"/>
          <w:szCs w:val="24"/>
        </w:rPr>
        <w:t xml:space="preserve">Tabel </w:t>
      </w:r>
      <w:r w:rsidRPr="00CE23F9">
        <w:rPr>
          <w:i w:val="0"/>
          <w:iCs w:val="0"/>
          <w:color w:val="auto"/>
          <w:sz w:val="24"/>
          <w:szCs w:val="24"/>
        </w:rPr>
        <w:fldChar w:fldCharType="begin"/>
      </w:r>
      <w:r w:rsidRPr="00CE23F9">
        <w:rPr>
          <w:i w:val="0"/>
          <w:iCs w:val="0"/>
          <w:color w:val="auto"/>
          <w:sz w:val="24"/>
          <w:szCs w:val="24"/>
        </w:rPr>
        <w:instrText xml:space="preserve"> SEQ Tabel \* ARABIC </w:instrText>
      </w:r>
      <w:r w:rsidRPr="00CE23F9">
        <w:rPr>
          <w:i w:val="0"/>
          <w:iCs w:val="0"/>
          <w:color w:val="auto"/>
          <w:sz w:val="24"/>
          <w:szCs w:val="24"/>
        </w:rPr>
        <w:fldChar w:fldCharType="separate"/>
      </w:r>
      <w:r w:rsidR="00D671E3">
        <w:rPr>
          <w:i w:val="0"/>
          <w:iCs w:val="0"/>
          <w:noProof/>
          <w:color w:val="auto"/>
          <w:sz w:val="24"/>
          <w:szCs w:val="24"/>
        </w:rPr>
        <w:t>1</w:t>
      </w:r>
      <w:r w:rsidRPr="00CE23F9">
        <w:rPr>
          <w:i w:val="0"/>
          <w:iCs w:val="0"/>
          <w:color w:val="auto"/>
          <w:sz w:val="24"/>
          <w:szCs w:val="24"/>
        </w:rPr>
        <w:fldChar w:fldCharType="end"/>
      </w:r>
      <w:r w:rsidRPr="00CE23F9">
        <w:rPr>
          <w:i w:val="0"/>
          <w:iCs w:val="0"/>
          <w:color w:val="auto"/>
          <w:sz w:val="24"/>
          <w:szCs w:val="24"/>
          <w:lang w:val="id-ID"/>
        </w:rPr>
        <w:t>. Perbandingan karakteristik subyek penelitian</w:t>
      </w:r>
    </w:p>
    <w:tbl>
      <w:tblPr>
        <w:tblStyle w:val="TableGrid"/>
        <w:tblW w:w="7926" w:type="dxa"/>
        <w:tblBorders>
          <w:top w:val="none" w:sz="0" w:space="0" w:color="auto"/>
          <w:left w:val="none" w:sz="0" w:space="0" w:color="auto"/>
          <w:right w:val="none" w:sz="0" w:space="0" w:color="auto"/>
          <w:insideV w:val="none" w:sz="0" w:space="0" w:color="auto"/>
        </w:tblBorders>
        <w:tblLayout w:type="fixed"/>
        <w:tblLook w:val="04A0" w:firstRow="1" w:lastRow="0" w:firstColumn="1" w:lastColumn="0" w:noHBand="0" w:noVBand="1"/>
      </w:tblPr>
      <w:tblGrid>
        <w:gridCol w:w="1170"/>
        <w:gridCol w:w="1896"/>
        <w:gridCol w:w="1800"/>
        <w:gridCol w:w="1800"/>
        <w:gridCol w:w="1260"/>
      </w:tblGrid>
      <w:tr w:rsidR="008E4D08" w:rsidRPr="008E57B8" w14:paraId="3814969C" w14:textId="77777777" w:rsidTr="00CE23F9">
        <w:tc>
          <w:tcPr>
            <w:tcW w:w="3066" w:type="dxa"/>
            <w:gridSpan w:val="2"/>
            <w:tcBorders>
              <w:top w:val="single" w:sz="4" w:space="0" w:color="auto"/>
            </w:tcBorders>
          </w:tcPr>
          <w:p w14:paraId="6A40A968" w14:textId="53DB594C" w:rsidR="008E4D08" w:rsidRPr="00CE23F9" w:rsidRDefault="00CE23F9" w:rsidP="00444FED">
            <w:pPr>
              <w:pStyle w:val="ListParagraph"/>
              <w:widowControl w:val="0"/>
              <w:spacing w:line="360" w:lineRule="auto"/>
              <w:ind w:left="0"/>
              <w:rPr>
                <w:b/>
                <w:lang w:val="id-ID"/>
              </w:rPr>
            </w:pPr>
            <w:r>
              <w:rPr>
                <w:b/>
                <w:lang w:val="id-ID"/>
              </w:rPr>
              <w:t>Karakteristik</w:t>
            </w:r>
          </w:p>
        </w:tc>
        <w:tc>
          <w:tcPr>
            <w:tcW w:w="1800" w:type="dxa"/>
            <w:tcBorders>
              <w:top w:val="single" w:sz="4" w:space="0" w:color="auto"/>
            </w:tcBorders>
          </w:tcPr>
          <w:p w14:paraId="4DAFE926" w14:textId="3DFC6F43" w:rsidR="008E4D08" w:rsidRPr="008E57B8" w:rsidRDefault="00A977BF" w:rsidP="00444FED">
            <w:pPr>
              <w:pStyle w:val="ListParagraph"/>
              <w:widowControl w:val="0"/>
              <w:spacing w:line="360" w:lineRule="auto"/>
              <w:ind w:left="0"/>
              <w:jc w:val="center"/>
              <w:rPr>
                <w:b/>
                <w:lang w:val="en-US"/>
              </w:rPr>
            </w:pPr>
            <w:proofErr w:type="spellStart"/>
            <w:r>
              <w:rPr>
                <w:b/>
                <w:lang w:val="en-US"/>
              </w:rPr>
              <w:t>Intervensi</w:t>
            </w:r>
            <w:proofErr w:type="spellEnd"/>
            <w:r>
              <w:rPr>
                <w:b/>
                <w:lang w:val="en-US"/>
              </w:rPr>
              <w:t xml:space="preserve"> </w:t>
            </w:r>
          </w:p>
          <w:p w14:paraId="709045FF" w14:textId="239D0B08" w:rsidR="008E4D08" w:rsidRPr="008E57B8" w:rsidRDefault="008E4D08" w:rsidP="00444FED">
            <w:pPr>
              <w:pStyle w:val="ListParagraph"/>
              <w:widowControl w:val="0"/>
              <w:spacing w:line="360" w:lineRule="auto"/>
              <w:ind w:left="0"/>
              <w:jc w:val="center"/>
              <w:rPr>
                <w:b/>
                <w:lang w:val="en-US"/>
              </w:rPr>
            </w:pPr>
            <w:r w:rsidRPr="008E57B8">
              <w:rPr>
                <w:b/>
                <w:lang w:val="en-US"/>
              </w:rPr>
              <w:t>(</w:t>
            </w:r>
            <w:r w:rsidRPr="008E57B8">
              <w:rPr>
                <w:b/>
              </w:rPr>
              <w:t>Me</w:t>
            </w:r>
            <w:r w:rsidR="00A977BF">
              <w:rPr>
                <w:b/>
                <w:lang w:val="en-US"/>
              </w:rPr>
              <w:t>an ± SD</w:t>
            </w:r>
            <w:r w:rsidRPr="008E57B8">
              <w:rPr>
                <w:b/>
                <w:lang w:val="en-US"/>
              </w:rPr>
              <w:t>)</w:t>
            </w:r>
          </w:p>
        </w:tc>
        <w:tc>
          <w:tcPr>
            <w:tcW w:w="1800" w:type="dxa"/>
            <w:tcBorders>
              <w:top w:val="single" w:sz="4" w:space="0" w:color="auto"/>
            </w:tcBorders>
          </w:tcPr>
          <w:p w14:paraId="69DA36C1" w14:textId="64BF6AD7" w:rsidR="008E4D08" w:rsidRPr="008E57B8" w:rsidRDefault="00A977BF" w:rsidP="00444FED">
            <w:pPr>
              <w:pStyle w:val="ListParagraph"/>
              <w:widowControl w:val="0"/>
              <w:spacing w:line="360" w:lineRule="auto"/>
              <w:ind w:left="0"/>
              <w:jc w:val="center"/>
              <w:rPr>
                <w:b/>
                <w:lang w:val="en-US"/>
              </w:rPr>
            </w:pPr>
            <w:proofErr w:type="spellStart"/>
            <w:r>
              <w:rPr>
                <w:b/>
                <w:lang w:val="en-US"/>
              </w:rPr>
              <w:t>Kontrol</w:t>
            </w:r>
            <w:proofErr w:type="spellEnd"/>
          </w:p>
          <w:p w14:paraId="73737256" w14:textId="1538A855" w:rsidR="008E4D08" w:rsidRPr="008E57B8" w:rsidRDefault="00A977BF" w:rsidP="00444FED">
            <w:pPr>
              <w:pStyle w:val="ListParagraph"/>
              <w:widowControl w:val="0"/>
              <w:spacing w:line="360" w:lineRule="auto"/>
              <w:ind w:left="0"/>
              <w:jc w:val="center"/>
              <w:rPr>
                <w:b/>
                <w:lang w:val="en-US"/>
              </w:rPr>
            </w:pPr>
            <w:r w:rsidRPr="008E57B8">
              <w:rPr>
                <w:b/>
                <w:lang w:val="en-US"/>
              </w:rPr>
              <w:t>(</w:t>
            </w:r>
            <w:r w:rsidRPr="008E57B8">
              <w:rPr>
                <w:b/>
              </w:rPr>
              <w:t>Me</w:t>
            </w:r>
            <w:r>
              <w:rPr>
                <w:b/>
                <w:lang w:val="en-US"/>
              </w:rPr>
              <w:t>an ± SD</w:t>
            </w:r>
            <w:r w:rsidRPr="008E57B8">
              <w:rPr>
                <w:b/>
                <w:lang w:val="en-US"/>
              </w:rPr>
              <w:t>)</w:t>
            </w:r>
          </w:p>
        </w:tc>
        <w:tc>
          <w:tcPr>
            <w:tcW w:w="1260" w:type="dxa"/>
            <w:tcBorders>
              <w:top w:val="single" w:sz="4" w:space="0" w:color="auto"/>
            </w:tcBorders>
            <w:vAlign w:val="center"/>
          </w:tcPr>
          <w:p w14:paraId="2EF6407C" w14:textId="77777777" w:rsidR="008E4D08" w:rsidRPr="008E57B8" w:rsidRDefault="008E4D08" w:rsidP="00444FED">
            <w:pPr>
              <w:pStyle w:val="ListParagraph"/>
              <w:widowControl w:val="0"/>
              <w:spacing w:line="360" w:lineRule="auto"/>
              <w:ind w:left="0"/>
              <w:jc w:val="center"/>
              <w:rPr>
                <w:b/>
                <w:i/>
                <w:iCs/>
              </w:rPr>
            </w:pPr>
            <w:r w:rsidRPr="008E57B8">
              <w:rPr>
                <w:b/>
                <w:i/>
                <w:iCs/>
              </w:rPr>
              <w:t xml:space="preserve">P </w:t>
            </w:r>
            <w:r w:rsidRPr="008E57B8">
              <w:rPr>
                <w:b/>
              </w:rPr>
              <w:t>Value</w:t>
            </w:r>
          </w:p>
        </w:tc>
      </w:tr>
      <w:tr w:rsidR="008E4D08" w:rsidRPr="008E57B8" w14:paraId="58CDE378" w14:textId="77777777" w:rsidTr="00CE23F9">
        <w:tc>
          <w:tcPr>
            <w:tcW w:w="3066" w:type="dxa"/>
            <w:gridSpan w:val="2"/>
          </w:tcPr>
          <w:p w14:paraId="08E2B60B" w14:textId="77777777" w:rsidR="008E4D08" w:rsidRPr="008E57B8" w:rsidRDefault="008E4D08" w:rsidP="00444FED">
            <w:pPr>
              <w:pStyle w:val="ListParagraph"/>
              <w:widowControl w:val="0"/>
              <w:spacing w:line="360" w:lineRule="auto"/>
              <w:ind w:left="0"/>
              <w:rPr>
                <w:bCs/>
                <w:lang w:val="en-US"/>
              </w:rPr>
            </w:pPr>
            <w:r w:rsidRPr="008E57B8">
              <w:rPr>
                <w:b/>
              </w:rPr>
              <w:t xml:space="preserve">Umur </w:t>
            </w:r>
            <w:r w:rsidRPr="008E57B8">
              <w:rPr>
                <w:b/>
                <w:lang w:val="en-US"/>
              </w:rPr>
              <w:t>(</w:t>
            </w:r>
            <w:proofErr w:type="spellStart"/>
            <w:r w:rsidRPr="008E57B8">
              <w:rPr>
                <w:b/>
                <w:lang w:val="en-US"/>
              </w:rPr>
              <w:t>tahun</w:t>
            </w:r>
            <w:proofErr w:type="spellEnd"/>
            <w:r w:rsidRPr="008E57B8">
              <w:rPr>
                <w:b/>
                <w:lang w:val="en-US"/>
              </w:rPr>
              <w:t>)</w:t>
            </w:r>
          </w:p>
        </w:tc>
        <w:tc>
          <w:tcPr>
            <w:tcW w:w="1800" w:type="dxa"/>
            <w:vAlign w:val="center"/>
          </w:tcPr>
          <w:p w14:paraId="7C6E6F87" w14:textId="25838C2F" w:rsidR="008E4D08" w:rsidRPr="008E57B8" w:rsidRDefault="00945077" w:rsidP="00444FED">
            <w:pPr>
              <w:pStyle w:val="ListParagraph"/>
              <w:widowControl w:val="0"/>
              <w:spacing w:line="360" w:lineRule="auto"/>
              <w:ind w:left="0"/>
              <w:jc w:val="center"/>
              <w:rPr>
                <w:b/>
                <w:lang w:val="en-US"/>
              </w:rPr>
            </w:pPr>
            <w:r>
              <w:rPr>
                <w:bCs/>
                <w:lang w:val="en-US"/>
              </w:rPr>
              <w:t>26</w:t>
            </w:r>
            <w:r w:rsidR="00CE23F9">
              <w:rPr>
                <w:bCs/>
                <w:lang w:val="en-US"/>
              </w:rPr>
              <w:t>,</w:t>
            </w:r>
            <w:r>
              <w:rPr>
                <w:bCs/>
                <w:lang w:val="en-US"/>
              </w:rPr>
              <w:t>3</w:t>
            </w:r>
            <w:r w:rsidR="00E16A0F" w:rsidRPr="00E16A0F">
              <w:rPr>
                <w:bCs/>
                <w:lang w:val="en-US"/>
              </w:rPr>
              <w:t xml:space="preserve"> ± </w:t>
            </w:r>
            <w:r>
              <w:rPr>
                <w:bCs/>
                <w:lang w:val="en-US"/>
              </w:rPr>
              <w:t>8</w:t>
            </w:r>
            <w:r w:rsidR="00CE23F9">
              <w:rPr>
                <w:bCs/>
                <w:lang w:val="en-US"/>
              </w:rPr>
              <w:t>,</w:t>
            </w:r>
            <w:r>
              <w:rPr>
                <w:bCs/>
                <w:lang w:val="en-US"/>
              </w:rPr>
              <w:t>10</w:t>
            </w:r>
          </w:p>
        </w:tc>
        <w:tc>
          <w:tcPr>
            <w:tcW w:w="1800" w:type="dxa"/>
            <w:vAlign w:val="center"/>
          </w:tcPr>
          <w:p w14:paraId="33B97C57" w14:textId="5FA12C98" w:rsidR="008E4D08" w:rsidRPr="008E57B8" w:rsidRDefault="00945077" w:rsidP="00444FED">
            <w:pPr>
              <w:pStyle w:val="ListParagraph"/>
              <w:widowControl w:val="0"/>
              <w:spacing w:line="360" w:lineRule="auto"/>
              <w:ind w:left="0"/>
              <w:jc w:val="center"/>
              <w:rPr>
                <w:b/>
              </w:rPr>
            </w:pPr>
            <w:r>
              <w:rPr>
                <w:bCs/>
                <w:lang w:val="en-US"/>
              </w:rPr>
              <w:t>25</w:t>
            </w:r>
            <w:r w:rsidR="00CE23F9">
              <w:rPr>
                <w:bCs/>
                <w:lang w:val="en-US"/>
              </w:rPr>
              <w:t>,</w:t>
            </w:r>
            <w:r>
              <w:rPr>
                <w:bCs/>
                <w:lang w:val="en-US"/>
              </w:rPr>
              <w:t>5</w:t>
            </w:r>
            <w:r w:rsidR="00E16A0F" w:rsidRPr="00E16A0F">
              <w:rPr>
                <w:bCs/>
                <w:lang w:val="en-US"/>
              </w:rPr>
              <w:t xml:space="preserve"> ± </w:t>
            </w:r>
            <w:r>
              <w:rPr>
                <w:bCs/>
                <w:lang w:val="en-US"/>
              </w:rPr>
              <w:t>9</w:t>
            </w:r>
            <w:r w:rsidR="00CE23F9">
              <w:rPr>
                <w:bCs/>
                <w:lang w:val="en-US"/>
              </w:rPr>
              <w:t>,</w:t>
            </w:r>
            <w:r>
              <w:rPr>
                <w:bCs/>
                <w:lang w:val="en-US"/>
              </w:rPr>
              <w:t>09</w:t>
            </w:r>
          </w:p>
        </w:tc>
        <w:tc>
          <w:tcPr>
            <w:tcW w:w="1260" w:type="dxa"/>
            <w:vAlign w:val="center"/>
          </w:tcPr>
          <w:p w14:paraId="6DE3D777" w14:textId="2A9D1B37" w:rsidR="008E4D08" w:rsidRPr="008E57B8" w:rsidRDefault="008E4D08" w:rsidP="00444FED">
            <w:pPr>
              <w:pStyle w:val="ListParagraph"/>
              <w:widowControl w:val="0"/>
              <w:spacing w:line="360" w:lineRule="auto"/>
              <w:ind w:left="0"/>
              <w:jc w:val="center"/>
              <w:rPr>
                <w:bCs/>
              </w:rPr>
            </w:pPr>
            <w:r w:rsidRPr="008E57B8">
              <w:rPr>
                <w:bCs/>
              </w:rPr>
              <w:t>0</w:t>
            </w:r>
            <w:r w:rsidR="00CE23F9">
              <w:rPr>
                <w:bCs/>
              </w:rPr>
              <w:t>,</w:t>
            </w:r>
            <w:r w:rsidR="00027731">
              <w:rPr>
                <w:bCs/>
                <w:lang w:val="en-US"/>
              </w:rPr>
              <w:t>870</w:t>
            </w:r>
            <w:r w:rsidRPr="008E57B8">
              <w:rPr>
                <w:bCs/>
                <w:vertAlign w:val="superscript"/>
              </w:rPr>
              <w:t>ns</w:t>
            </w:r>
          </w:p>
        </w:tc>
      </w:tr>
      <w:tr w:rsidR="008E4D08" w:rsidRPr="008E57B8" w14:paraId="7359BE52" w14:textId="77777777" w:rsidTr="00CE23F9">
        <w:tc>
          <w:tcPr>
            <w:tcW w:w="1170" w:type="dxa"/>
            <w:vMerge w:val="restart"/>
            <w:vAlign w:val="center"/>
          </w:tcPr>
          <w:p w14:paraId="6D9C5A84" w14:textId="77777777" w:rsidR="008E4D08" w:rsidRPr="008E57B8" w:rsidRDefault="008E4D08" w:rsidP="00444FED">
            <w:pPr>
              <w:pStyle w:val="ListParagraph"/>
              <w:widowControl w:val="0"/>
              <w:spacing w:line="360" w:lineRule="auto"/>
              <w:ind w:left="0"/>
              <w:rPr>
                <w:b/>
              </w:rPr>
            </w:pPr>
            <w:r w:rsidRPr="008E57B8">
              <w:rPr>
                <w:b/>
                <w:sz w:val="22"/>
                <w:szCs w:val="22"/>
              </w:rPr>
              <w:t>Jenis Kelamin</w:t>
            </w:r>
          </w:p>
        </w:tc>
        <w:tc>
          <w:tcPr>
            <w:tcW w:w="1896" w:type="dxa"/>
          </w:tcPr>
          <w:p w14:paraId="224977AF" w14:textId="77777777" w:rsidR="008E4D08" w:rsidRPr="008E57B8" w:rsidRDefault="008E4D08" w:rsidP="00444FED">
            <w:pPr>
              <w:pStyle w:val="ListParagraph"/>
              <w:widowControl w:val="0"/>
              <w:spacing w:line="360" w:lineRule="auto"/>
              <w:ind w:left="0"/>
              <w:rPr>
                <w:b/>
              </w:rPr>
            </w:pPr>
            <w:r w:rsidRPr="008E57B8">
              <w:rPr>
                <w:b/>
              </w:rPr>
              <w:t>Laki-laki (%)</w:t>
            </w:r>
          </w:p>
        </w:tc>
        <w:tc>
          <w:tcPr>
            <w:tcW w:w="1800" w:type="dxa"/>
            <w:vAlign w:val="center"/>
          </w:tcPr>
          <w:p w14:paraId="7781469E" w14:textId="2697E55B" w:rsidR="008E4D08" w:rsidRPr="008E57B8" w:rsidRDefault="008E4D08" w:rsidP="00444FED">
            <w:pPr>
              <w:pStyle w:val="ListParagraph"/>
              <w:widowControl w:val="0"/>
              <w:spacing w:line="360" w:lineRule="auto"/>
              <w:ind w:left="0"/>
              <w:jc w:val="center"/>
              <w:rPr>
                <w:bCs/>
              </w:rPr>
            </w:pPr>
            <w:r>
              <w:rPr>
                <w:bCs/>
                <w:lang w:val="en-US"/>
              </w:rPr>
              <w:t>7</w:t>
            </w:r>
            <w:r w:rsidRPr="008E57B8">
              <w:rPr>
                <w:bCs/>
              </w:rPr>
              <w:t xml:space="preserve"> (</w:t>
            </w:r>
            <w:r>
              <w:rPr>
                <w:bCs/>
                <w:lang w:val="en-US"/>
              </w:rPr>
              <w:t>4</w:t>
            </w:r>
            <w:r w:rsidR="00D13423">
              <w:rPr>
                <w:bCs/>
                <w:lang w:val="en-US"/>
              </w:rPr>
              <w:t>6</w:t>
            </w:r>
            <w:r w:rsidR="00CE23F9">
              <w:rPr>
                <w:bCs/>
                <w:lang w:val="en-US"/>
              </w:rPr>
              <w:t>,</w:t>
            </w:r>
            <w:r w:rsidR="00D13423">
              <w:rPr>
                <w:bCs/>
                <w:lang w:val="en-US"/>
              </w:rPr>
              <w:t>7</w:t>
            </w:r>
            <w:r w:rsidRPr="008E57B8">
              <w:rPr>
                <w:bCs/>
              </w:rPr>
              <w:t>)</w:t>
            </w:r>
          </w:p>
        </w:tc>
        <w:tc>
          <w:tcPr>
            <w:tcW w:w="1800" w:type="dxa"/>
            <w:vAlign w:val="center"/>
          </w:tcPr>
          <w:p w14:paraId="357F17A1" w14:textId="2CC6D688" w:rsidR="008E4D08" w:rsidRPr="008E57B8" w:rsidRDefault="00D13423" w:rsidP="00444FED">
            <w:pPr>
              <w:pStyle w:val="ListParagraph"/>
              <w:widowControl w:val="0"/>
              <w:spacing w:line="360" w:lineRule="auto"/>
              <w:ind w:left="0"/>
              <w:jc w:val="center"/>
              <w:rPr>
                <w:bCs/>
              </w:rPr>
            </w:pPr>
            <w:r>
              <w:rPr>
                <w:bCs/>
                <w:lang w:val="en-US"/>
              </w:rPr>
              <w:t>9</w:t>
            </w:r>
            <w:r w:rsidR="008E4D08" w:rsidRPr="008E57B8">
              <w:rPr>
                <w:bCs/>
              </w:rPr>
              <w:t xml:space="preserve"> (</w:t>
            </w:r>
            <w:r>
              <w:rPr>
                <w:bCs/>
                <w:lang w:val="en-US"/>
              </w:rPr>
              <w:t>53</w:t>
            </w:r>
            <w:r w:rsidR="00CE23F9">
              <w:rPr>
                <w:bCs/>
                <w:lang w:val="en-US"/>
              </w:rPr>
              <w:t>,</w:t>
            </w:r>
            <w:r>
              <w:rPr>
                <w:bCs/>
                <w:lang w:val="en-US"/>
              </w:rPr>
              <w:t>3</w:t>
            </w:r>
            <w:r w:rsidR="008E4D08" w:rsidRPr="008E57B8">
              <w:rPr>
                <w:bCs/>
              </w:rPr>
              <w:t>)</w:t>
            </w:r>
          </w:p>
        </w:tc>
        <w:tc>
          <w:tcPr>
            <w:tcW w:w="1260" w:type="dxa"/>
            <w:vMerge w:val="restart"/>
            <w:vAlign w:val="center"/>
          </w:tcPr>
          <w:p w14:paraId="67BA5B9F" w14:textId="5EB7A18C" w:rsidR="008E4D08" w:rsidRPr="008E57B8" w:rsidRDefault="008E4D08" w:rsidP="00444FED">
            <w:pPr>
              <w:pStyle w:val="ListParagraph"/>
              <w:widowControl w:val="0"/>
              <w:spacing w:line="360" w:lineRule="auto"/>
              <w:ind w:left="0"/>
              <w:jc w:val="center"/>
              <w:rPr>
                <w:bCs/>
              </w:rPr>
            </w:pPr>
            <w:r w:rsidRPr="008E57B8">
              <w:rPr>
                <w:bCs/>
              </w:rPr>
              <w:t>0.</w:t>
            </w:r>
            <w:r w:rsidR="00D13423">
              <w:rPr>
                <w:bCs/>
                <w:lang w:val="en-US"/>
              </w:rPr>
              <w:t>464</w:t>
            </w:r>
            <w:r w:rsidRPr="008E57B8">
              <w:rPr>
                <w:bCs/>
                <w:vertAlign w:val="superscript"/>
              </w:rPr>
              <w:t>ns</w:t>
            </w:r>
          </w:p>
        </w:tc>
      </w:tr>
      <w:tr w:rsidR="008E4D08" w:rsidRPr="008E57B8" w14:paraId="2253AE35" w14:textId="77777777" w:rsidTr="00CE23F9">
        <w:tc>
          <w:tcPr>
            <w:tcW w:w="1170" w:type="dxa"/>
            <w:vMerge/>
          </w:tcPr>
          <w:p w14:paraId="54E74EA4" w14:textId="77777777" w:rsidR="008E4D08" w:rsidRPr="008E57B8" w:rsidRDefault="008E4D08" w:rsidP="00444FED">
            <w:pPr>
              <w:pStyle w:val="ListParagraph"/>
              <w:widowControl w:val="0"/>
              <w:spacing w:line="360" w:lineRule="auto"/>
              <w:ind w:left="0"/>
              <w:rPr>
                <w:b/>
              </w:rPr>
            </w:pPr>
          </w:p>
        </w:tc>
        <w:tc>
          <w:tcPr>
            <w:tcW w:w="1896" w:type="dxa"/>
          </w:tcPr>
          <w:p w14:paraId="48C0D759" w14:textId="77777777" w:rsidR="008E4D08" w:rsidRPr="008E57B8" w:rsidRDefault="008E4D08" w:rsidP="00444FED">
            <w:pPr>
              <w:pStyle w:val="ListParagraph"/>
              <w:widowControl w:val="0"/>
              <w:spacing w:line="360" w:lineRule="auto"/>
              <w:ind w:left="0"/>
              <w:rPr>
                <w:b/>
              </w:rPr>
            </w:pPr>
            <w:r w:rsidRPr="008E57B8">
              <w:rPr>
                <w:b/>
              </w:rPr>
              <w:t>Perempuan (%)</w:t>
            </w:r>
          </w:p>
        </w:tc>
        <w:tc>
          <w:tcPr>
            <w:tcW w:w="1800" w:type="dxa"/>
            <w:vAlign w:val="center"/>
          </w:tcPr>
          <w:p w14:paraId="29124F25" w14:textId="022F2143" w:rsidR="008E4D08" w:rsidRPr="008E57B8" w:rsidRDefault="00D13423" w:rsidP="00444FED">
            <w:pPr>
              <w:pStyle w:val="ListParagraph"/>
              <w:widowControl w:val="0"/>
              <w:spacing w:line="360" w:lineRule="auto"/>
              <w:ind w:left="0"/>
              <w:jc w:val="center"/>
              <w:rPr>
                <w:bCs/>
              </w:rPr>
            </w:pPr>
            <w:r>
              <w:rPr>
                <w:bCs/>
                <w:lang w:val="en-US"/>
              </w:rPr>
              <w:t>8</w:t>
            </w:r>
            <w:r w:rsidR="008E4D08" w:rsidRPr="008E57B8">
              <w:rPr>
                <w:bCs/>
                <w:lang w:val="en-US"/>
              </w:rPr>
              <w:t xml:space="preserve"> </w:t>
            </w:r>
            <w:r w:rsidR="008E4D08" w:rsidRPr="008E57B8">
              <w:rPr>
                <w:bCs/>
              </w:rPr>
              <w:t>(</w:t>
            </w:r>
            <w:r>
              <w:rPr>
                <w:bCs/>
                <w:lang w:val="en-US"/>
              </w:rPr>
              <w:t>57</w:t>
            </w:r>
            <w:r w:rsidR="00CE23F9">
              <w:rPr>
                <w:bCs/>
                <w:lang w:val="en-US"/>
              </w:rPr>
              <w:t>,</w:t>
            </w:r>
            <w:r>
              <w:rPr>
                <w:bCs/>
                <w:lang w:val="en-US"/>
              </w:rPr>
              <w:t>1</w:t>
            </w:r>
            <w:r w:rsidR="008E4D08" w:rsidRPr="008E57B8">
              <w:rPr>
                <w:bCs/>
              </w:rPr>
              <w:t>)</w:t>
            </w:r>
          </w:p>
        </w:tc>
        <w:tc>
          <w:tcPr>
            <w:tcW w:w="1800" w:type="dxa"/>
            <w:vAlign w:val="center"/>
          </w:tcPr>
          <w:p w14:paraId="3E7301CD" w14:textId="741CD29F" w:rsidR="008E4D08" w:rsidRPr="008E57B8" w:rsidRDefault="00D13423" w:rsidP="00444FED">
            <w:pPr>
              <w:pStyle w:val="ListParagraph"/>
              <w:widowControl w:val="0"/>
              <w:spacing w:line="360" w:lineRule="auto"/>
              <w:ind w:left="0"/>
              <w:jc w:val="center"/>
              <w:rPr>
                <w:bCs/>
              </w:rPr>
            </w:pPr>
            <w:r>
              <w:rPr>
                <w:bCs/>
                <w:lang w:val="en-US"/>
              </w:rPr>
              <w:t>6</w:t>
            </w:r>
            <w:r w:rsidR="008E4D08" w:rsidRPr="008E57B8">
              <w:rPr>
                <w:bCs/>
              </w:rPr>
              <w:t xml:space="preserve"> (</w:t>
            </w:r>
            <w:r>
              <w:rPr>
                <w:bCs/>
                <w:lang w:val="en-US"/>
              </w:rPr>
              <w:t>42</w:t>
            </w:r>
            <w:r w:rsidR="00CE23F9">
              <w:rPr>
                <w:bCs/>
                <w:lang w:val="en-US"/>
              </w:rPr>
              <w:t>,</w:t>
            </w:r>
            <w:r>
              <w:rPr>
                <w:bCs/>
                <w:lang w:val="en-US"/>
              </w:rPr>
              <w:t>9</w:t>
            </w:r>
            <w:r w:rsidR="008E4D08" w:rsidRPr="008E57B8">
              <w:rPr>
                <w:bCs/>
              </w:rPr>
              <w:t>)</w:t>
            </w:r>
          </w:p>
        </w:tc>
        <w:tc>
          <w:tcPr>
            <w:tcW w:w="1260" w:type="dxa"/>
            <w:vMerge/>
            <w:vAlign w:val="center"/>
          </w:tcPr>
          <w:p w14:paraId="5D18FAA0" w14:textId="77777777" w:rsidR="008E4D08" w:rsidRPr="008E57B8" w:rsidRDefault="008E4D08" w:rsidP="00444FED">
            <w:pPr>
              <w:pStyle w:val="ListParagraph"/>
              <w:widowControl w:val="0"/>
              <w:spacing w:line="360" w:lineRule="auto"/>
              <w:ind w:left="0"/>
              <w:jc w:val="center"/>
              <w:rPr>
                <w:bCs/>
              </w:rPr>
            </w:pPr>
          </w:p>
        </w:tc>
      </w:tr>
      <w:tr w:rsidR="00A977BF" w:rsidRPr="008E57B8" w14:paraId="1F7B4796" w14:textId="77777777" w:rsidTr="00CE23F9">
        <w:tc>
          <w:tcPr>
            <w:tcW w:w="3066" w:type="dxa"/>
            <w:gridSpan w:val="2"/>
          </w:tcPr>
          <w:p w14:paraId="26EF8B39" w14:textId="341DCC92" w:rsidR="00A977BF" w:rsidRPr="00A977BF" w:rsidRDefault="00A977BF" w:rsidP="00444FED">
            <w:pPr>
              <w:pStyle w:val="ListParagraph"/>
              <w:widowControl w:val="0"/>
              <w:spacing w:line="360" w:lineRule="auto"/>
              <w:ind w:left="0"/>
              <w:rPr>
                <w:b/>
                <w:lang w:val="en-US"/>
              </w:rPr>
            </w:pPr>
            <w:r>
              <w:rPr>
                <w:b/>
                <w:lang w:val="en-US"/>
              </w:rPr>
              <w:t>ASA PS</w:t>
            </w:r>
          </w:p>
        </w:tc>
        <w:tc>
          <w:tcPr>
            <w:tcW w:w="1800" w:type="dxa"/>
            <w:vAlign w:val="center"/>
          </w:tcPr>
          <w:p w14:paraId="4EBCC9C5" w14:textId="4441FF7B" w:rsidR="00A977BF" w:rsidRPr="00E16A0F" w:rsidRDefault="00A977BF" w:rsidP="00444FED">
            <w:pPr>
              <w:pStyle w:val="ListParagraph"/>
              <w:widowControl w:val="0"/>
              <w:spacing w:line="360" w:lineRule="auto"/>
              <w:ind w:left="0"/>
              <w:jc w:val="center"/>
              <w:rPr>
                <w:bCs/>
                <w:lang w:val="en-US"/>
              </w:rPr>
            </w:pPr>
            <w:r w:rsidRPr="00E16A0F">
              <w:rPr>
                <w:bCs/>
                <w:lang w:val="en-US"/>
              </w:rPr>
              <w:t>1</w:t>
            </w:r>
            <w:r w:rsidR="00CE23F9">
              <w:rPr>
                <w:bCs/>
                <w:lang w:val="en-US"/>
              </w:rPr>
              <w:t>,</w:t>
            </w:r>
            <w:r w:rsidRPr="00E16A0F">
              <w:rPr>
                <w:bCs/>
                <w:lang w:val="en-US"/>
              </w:rPr>
              <w:t>8 ±</w:t>
            </w:r>
            <w:r w:rsidR="00E16A0F" w:rsidRPr="00E16A0F">
              <w:rPr>
                <w:bCs/>
                <w:lang w:val="en-US"/>
              </w:rPr>
              <w:t xml:space="preserve"> 0</w:t>
            </w:r>
            <w:r w:rsidR="00CE23F9">
              <w:rPr>
                <w:bCs/>
                <w:lang w:val="en-US"/>
              </w:rPr>
              <w:t>,</w:t>
            </w:r>
            <w:r w:rsidR="00E16A0F" w:rsidRPr="00E16A0F">
              <w:rPr>
                <w:bCs/>
                <w:lang w:val="en-US"/>
              </w:rPr>
              <w:t>41</w:t>
            </w:r>
          </w:p>
        </w:tc>
        <w:tc>
          <w:tcPr>
            <w:tcW w:w="1800" w:type="dxa"/>
            <w:vAlign w:val="center"/>
          </w:tcPr>
          <w:p w14:paraId="3B957005" w14:textId="67F02335" w:rsidR="00A977BF" w:rsidRPr="008E57B8" w:rsidRDefault="00E16A0F" w:rsidP="00444FED">
            <w:pPr>
              <w:pStyle w:val="ListParagraph"/>
              <w:widowControl w:val="0"/>
              <w:spacing w:line="360" w:lineRule="auto"/>
              <w:ind w:left="0"/>
              <w:jc w:val="center"/>
              <w:rPr>
                <w:bCs/>
              </w:rPr>
            </w:pPr>
            <w:r w:rsidRPr="00E16A0F">
              <w:rPr>
                <w:bCs/>
                <w:lang w:val="en-US"/>
              </w:rPr>
              <w:t>1</w:t>
            </w:r>
            <w:r w:rsidR="00CE23F9">
              <w:rPr>
                <w:bCs/>
                <w:lang w:val="en-US"/>
              </w:rPr>
              <w:t>,</w:t>
            </w:r>
            <w:r w:rsidR="00945077">
              <w:rPr>
                <w:bCs/>
                <w:lang w:val="en-US"/>
              </w:rPr>
              <w:t>6</w:t>
            </w:r>
            <w:r w:rsidRPr="00E16A0F">
              <w:rPr>
                <w:bCs/>
                <w:lang w:val="en-US"/>
              </w:rPr>
              <w:t xml:space="preserve"> ± 0</w:t>
            </w:r>
            <w:r w:rsidR="00CE23F9">
              <w:rPr>
                <w:bCs/>
                <w:lang w:val="en-US"/>
              </w:rPr>
              <w:t>,</w:t>
            </w:r>
            <w:r w:rsidRPr="00E16A0F">
              <w:rPr>
                <w:bCs/>
                <w:lang w:val="en-US"/>
              </w:rPr>
              <w:t>4</w:t>
            </w:r>
            <w:r w:rsidR="00945077">
              <w:rPr>
                <w:bCs/>
                <w:lang w:val="en-US"/>
              </w:rPr>
              <w:t>8</w:t>
            </w:r>
          </w:p>
        </w:tc>
        <w:tc>
          <w:tcPr>
            <w:tcW w:w="1260" w:type="dxa"/>
            <w:vAlign w:val="center"/>
          </w:tcPr>
          <w:p w14:paraId="6EF74768" w14:textId="0BDA709B" w:rsidR="00A977BF" w:rsidRPr="008E57B8" w:rsidRDefault="00027731" w:rsidP="00444FED">
            <w:pPr>
              <w:pStyle w:val="ListParagraph"/>
              <w:widowControl w:val="0"/>
              <w:spacing w:line="360" w:lineRule="auto"/>
              <w:ind w:left="0"/>
              <w:jc w:val="center"/>
              <w:rPr>
                <w:bCs/>
              </w:rPr>
            </w:pPr>
            <w:r w:rsidRPr="008E57B8">
              <w:rPr>
                <w:bCs/>
              </w:rPr>
              <w:t>0</w:t>
            </w:r>
            <w:r w:rsidR="00CE23F9">
              <w:rPr>
                <w:bCs/>
              </w:rPr>
              <w:t>,</w:t>
            </w:r>
            <w:r>
              <w:rPr>
                <w:bCs/>
                <w:lang w:val="en-US"/>
              </w:rPr>
              <w:t>539</w:t>
            </w:r>
            <w:r w:rsidRPr="008E57B8">
              <w:rPr>
                <w:bCs/>
                <w:vertAlign w:val="superscript"/>
              </w:rPr>
              <w:t>ns</w:t>
            </w:r>
          </w:p>
        </w:tc>
      </w:tr>
      <w:tr w:rsidR="00A977BF" w:rsidRPr="008E57B8" w14:paraId="05C44EDA" w14:textId="77777777" w:rsidTr="00CE23F9">
        <w:tc>
          <w:tcPr>
            <w:tcW w:w="3066" w:type="dxa"/>
            <w:gridSpan w:val="2"/>
          </w:tcPr>
          <w:p w14:paraId="4D1A9F3A" w14:textId="46075E2D" w:rsidR="00A977BF" w:rsidRPr="00A977BF" w:rsidRDefault="00A977BF" w:rsidP="00444FED">
            <w:pPr>
              <w:pStyle w:val="ListParagraph"/>
              <w:widowControl w:val="0"/>
              <w:spacing w:line="360" w:lineRule="auto"/>
              <w:ind w:left="0"/>
              <w:rPr>
                <w:b/>
                <w:lang w:val="en-US"/>
              </w:rPr>
            </w:pPr>
            <w:proofErr w:type="spellStart"/>
            <w:r>
              <w:rPr>
                <w:b/>
                <w:lang w:val="en-US"/>
              </w:rPr>
              <w:t>Ukuran</w:t>
            </w:r>
            <w:proofErr w:type="spellEnd"/>
            <w:r>
              <w:rPr>
                <w:b/>
                <w:lang w:val="en-US"/>
              </w:rPr>
              <w:t xml:space="preserve"> Tonsil</w:t>
            </w:r>
          </w:p>
        </w:tc>
        <w:tc>
          <w:tcPr>
            <w:tcW w:w="1800" w:type="dxa"/>
            <w:vAlign w:val="center"/>
          </w:tcPr>
          <w:p w14:paraId="115B55EE" w14:textId="3EBA1D3B" w:rsidR="00A977BF" w:rsidRPr="008E57B8" w:rsidRDefault="00027731" w:rsidP="00444FED">
            <w:pPr>
              <w:pStyle w:val="ListParagraph"/>
              <w:widowControl w:val="0"/>
              <w:spacing w:line="360" w:lineRule="auto"/>
              <w:ind w:left="0"/>
              <w:jc w:val="center"/>
              <w:rPr>
                <w:bCs/>
              </w:rPr>
            </w:pPr>
            <w:r>
              <w:rPr>
                <w:bCs/>
                <w:lang w:val="en-US"/>
              </w:rPr>
              <w:t>3</w:t>
            </w:r>
            <w:r w:rsidR="00CE23F9">
              <w:rPr>
                <w:bCs/>
                <w:lang w:val="en-US"/>
              </w:rPr>
              <w:t>,</w:t>
            </w:r>
            <w:r>
              <w:rPr>
                <w:bCs/>
                <w:lang w:val="en-US"/>
              </w:rPr>
              <w:t>3</w:t>
            </w:r>
            <w:r w:rsidR="00E16A0F" w:rsidRPr="00E16A0F">
              <w:rPr>
                <w:bCs/>
                <w:lang w:val="en-US"/>
              </w:rPr>
              <w:t xml:space="preserve"> ± 0</w:t>
            </w:r>
            <w:r w:rsidR="00CE23F9">
              <w:rPr>
                <w:bCs/>
                <w:lang w:val="en-US"/>
              </w:rPr>
              <w:t>,</w:t>
            </w:r>
            <w:r w:rsidR="00E16A0F" w:rsidRPr="00E16A0F">
              <w:rPr>
                <w:bCs/>
                <w:lang w:val="en-US"/>
              </w:rPr>
              <w:t>4</w:t>
            </w:r>
            <w:r>
              <w:rPr>
                <w:bCs/>
                <w:lang w:val="en-US"/>
              </w:rPr>
              <w:t>8</w:t>
            </w:r>
          </w:p>
        </w:tc>
        <w:tc>
          <w:tcPr>
            <w:tcW w:w="1800" w:type="dxa"/>
            <w:vAlign w:val="center"/>
          </w:tcPr>
          <w:p w14:paraId="77FC477A" w14:textId="42F2A4D0" w:rsidR="00A977BF" w:rsidRPr="008E57B8" w:rsidRDefault="00027731" w:rsidP="00444FED">
            <w:pPr>
              <w:pStyle w:val="ListParagraph"/>
              <w:widowControl w:val="0"/>
              <w:spacing w:line="360" w:lineRule="auto"/>
              <w:ind w:left="0"/>
              <w:jc w:val="center"/>
              <w:rPr>
                <w:bCs/>
              </w:rPr>
            </w:pPr>
            <w:r>
              <w:rPr>
                <w:bCs/>
                <w:lang w:val="en-US"/>
              </w:rPr>
              <w:t>3</w:t>
            </w:r>
            <w:r w:rsidR="00CE23F9">
              <w:rPr>
                <w:bCs/>
                <w:lang w:val="en-US"/>
              </w:rPr>
              <w:t>,</w:t>
            </w:r>
            <w:r>
              <w:rPr>
                <w:bCs/>
                <w:lang w:val="en-US"/>
              </w:rPr>
              <w:t>2</w:t>
            </w:r>
            <w:r w:rsidR="00E16A0F" w:rsidRPr="00E16A0F">
              <w:rPr>
                <w:bCs/>
                <w:lang w:val="en-US"/>
              </w:rPr>
              <w:t xml:space="preserve"> ± 0</w:t>
            </w:r>
            <w:r w:rsidR="00CE23F9">
              <w:rPr>
                <w:bCs/>
                <w:lang w:val="en-US"/>
              </w:rPr>
              <w:t>,</w:t>
            </w:r>
            <w:r w:rsidR="00E16A0F" w:rsidRPr="00E16A0F">
              <w:rPr>
                <w:bCs/>
                <w:lang w:val="en-US"/>
              </w:rPr>
              <w:t>41</w:t>
            </w:r>
          </w:p>
        </w:tc>
        <w:tc>
          <w:tcPr>
            <w:tcW w:w="1260" w:type="dxa"/>
            <w:vAlign w:val="center"/>
          </w:tcPr>
          <w:p w14:paraId="244F001E" w14:textId="0F6998E2" w:rsidR="00A977BF" w:rsidRPr="008E57B8" w:rsidRDefault="00027731" w:rsidP="00444FED">
            <w:pPr>
              <w:pStyle w:val="ListParagraph"/>
              <w:widowControl w:val="0"/>
              <w:spacing w:line="360" w:lineRule="auto"/>
              <w:ind w:left="0"/>
              <w:jc w:val="center"/>
              <w:rPr>
                <w:bCs/>
              </w:rPr>
            </w:pPr>
            <w:r w:rsidRPr="008E57B8">
              <w:rPr>
                <w:bCs/>
              </w:rPr>
              <w:t>0</w:t>
            </w:r>
            <w:r w:rsidR="00CE23F9">
              <w:rPr>
                <w:bCs/>
              </w:rPr>
              <w:t>,</w:t>
            </w:r>
            <w:r>
              <w:rPr>
                <w:bCs/>
                <w:lang w:val="en-US"/>
              </w:rPr>
              <w:t>512</w:t>
            </w:r>
            <w:r w:rsidRPr="008E57B8">
              <w:rPr>
                <w:bCs/>
                <w:vertAlign w:val="superscript"/>
              </w:rPr>
              <w:t>ns</w:t>
            </w:r>
          </w:p>
        </w:tc>
      </w:tr>
      <w:tr w:rsidR="008E4D08" w:rsidRPr="008E57B8" w14:paraId="7060CE8F" w14:textId="77777777" w:rsidTr="00CE23F9">
        <w:tc>
          <w:tcPr>
            <w:tcW w:w="3066" w:type="dxa"/>
            <w:gridSpan w:val="2"/>
          </w:tcPr>
          <w:p w14:paraId="7F4EF82C" w14:textId="77777777" w:rsidR="008E4D08" w:rsidRPr="008E57B8" w:rsidRDefault="008E4D08" w:rsidP="00444FED">
            <w:pPr>
              <w:pStyle w:val="ListParagraph"/>
              <w:widowControl w:val="0"/>
              <w:spacing w:line="360" w:lineRule="auto"/>
              <w:ind w:left="0"/>
              <w:rPr>
                <w:rFonts w:eastAsiaTheme="minorEastAsia"/>
                <w:b/>
                <w:lang w:eastAsia="zh-CN"/>
              </w:rPr>
            </w:pPr>
            <w:r w:rsidRPr="008E57B8">
              <w:rPr>
                <w:b/>
              </w:rPr>
              <w:t xml:space="preserve">Indeks Massa </w:t>
            </w:r>
          </w:p>
          <w:p w14:paraId="1393B6C9" w14:textId="77777777" w:rsidR="008E4D08" w:rsidRPr="008E57B8" w:rsidRDefault="008E4D08" w:rsidP="00444FED">
            <w:pPr>
              <w:pStyle w:val="ListParagraph"/>
              <w:widowControl w:val="0"/>
              <w:spacing w:line="360" w:lineRule="auto"/>
              <w:ind w:left="0"/>
              <w:rPr>
                <w:b/>
              </w:rPr>
            </w:pPr>
            <w:r w:rsidRPr="008E57B8">
              <w:rPr>
                <w:b/>
              </w:rPr>
              <w:t>Tubuh</w:t>
            </w:r>
            <w:r w:rsidRPr="00F426C1">
              <w:rPr>
                <w:b/>
                <w:lang w:val="pt-BR"/>
              </w:rPr>
              <w:t xml:space="preserve"> (kg/m</w:t>
            </w:r>
            <w:r w:rsidRPr="00F426C1">
              <w:rPr>
                <w:b/>
                <w:vertAlign w:val="superscript"/>
                <w:lang w:val="pt-BR"/>
              </w:rPr>
              <w:t>2</w:t>
            </w:r>
            <w:r w:rsidRPr="00F426C1">
              <w:rPr>
                <w:b/>
                <w:lang w:val="pt-BR"/>
              </w:rPr>
              <w:t>)</w:t>
            </w:r>
            <w:r w:rsidRPr="008E57B8">
              <w:rPr>
                <w:b/>
              </w:rPr>
              <w:t xml:space="preserve"> </w:t>
            </w:r>
          </w:p>
        </w:tc>
        <w:tc>
          <w:tcPr>
            <w:tcW w:w="1800" w:type="dxa"/>
            <w:vAlign w:val="center"/>
          </w:tcPr>
          <w:p w14:paraId="24D7E7CE" w14:textId="7EE09FBA" w:rsidR="008E4D08" w:rsidRPr="008E57B8" w:rsidRDefault="00945077" w:rsidP="00444FED">
            <w:pPr>
              <w:pStyle w:val="ListParagraph"/>
              <w:widowControl w:val="0"/>
              <w:spacing w:line="360" w:lineRule="auto"/>
              <w:ind w:left="0"/>
              <w:jc w:val="center"/>
              <w:rPr>
                <w:b/>
              </w:rPr>
            </w:pPr>
            <w:r>
              <w:rPr>
                <w:bCs/>
                <w:lang w:val="en-US"/>
              </w:rPr>
              <w:t>23</w:t>
            </w:r>
            <w:r w:rsidR="00CE23F9">
              <w:rPr>
                <w:bCs/>
                <w:lang w:val="en-US"/>
              </w:rPr>
              <w:t>,</w:t>
            </w:r>
            <w:r w:rsidR="00E16A0F" w:rsidRPr="00E16A0F">
              <w:rPr>
                <w:bCs/>
                <w:lang w:val="en-US"/>
              </w:rPr>
              <w:t>8 ± 0</w:t>
            </w:r>
            <w:r w:rsidR="00CE23F9">
              <w:rPr>
                <w:bCs/>
                <w:lang w:val="en-US"/>
              </w:rPr>
              <w:t>,</w:t>
            </w:r>
            <w:r>
              <w:rPr>
                <w:bCs/>
                <w:lang w:val="en-US"/>
              </w:rPr>
              <w:t>93</w:t>
            </w:r>
          </w:p>
        </w:tc>
        <w:tc>
          <w:tcPr>
            <w:tcW w:w="1800" w:type="dxa"/>
            <w:vAlign w:val="center"/>
          </w:tcPr>
          <w:p w14:paraId="09E498D0" w14:textId="00109EE7" w:rsidR="008E4D08" w:rsidRPr="008E57B8" w:rsidRDefault="00945077" w:rsidP="00444FED">
            <w:pPr>
              <w:pStyle w:val="ListParagraph"/>
              <w:widowControl w:val="0"/>
              <w:spacing w:line="360" w:lineRule="auto"/>
              <w:ind w:left="0"/>
              <w:jc w:val="center"/>
              <w:rPr>
                <w:b/>
                <w:lang w:val="en-US"/>
              </w:rPr>
            </w:pPr>
            <w:r>
              <w:rPr>
                <w:bCs/>
                <w:lang w:val="en-US"/>
              </w:rPr>
              <w:t>23</w:t>
            </w:r>
            <w:r w:rsidR="00CE23F9">
              <w:rPr>
                <w:bCs/>
                <w:lang w:val="en-US"/>
              </w:rPr>
              <w:t>,</w:t>
            </w:r>
            <w:r>
              <w:rPr>
                <w:bCs/>
                <w:lang w:val="en-US"/>
              </w:rPr>
              <w:t>1</w:t>
            </w:r>
            <w:r w:rsidR="00E16A0F" w:rsidRPr="00E16A0F">
              <w:rPr>
                <w:bCs/>
                <w:lang w:val="en-US"/>
              </w:rPr>
              <w:t xml:space="preserve"> ± 0</w:t>
            </w:r>
            <w:r w:rsidR="00CE23F9">
              <w:rPr>
                <w:bCs/>
                <w:lang w:val="en-US"/>
              </w:rPr>
              <w:t>,</w:t>
            </w:r>
            <w:r>
              <w:rPr>
                <w:bCs/>
                <w:lang w:val="en-US"/>
              </w:rPr>
              <w:t>91</w:t>
            </w:r>
          </w:p>
        </w:tc>
        <w:tc>
          <w:tcPr>
            <w:tcW w:w="1260" w:type="dxa"/>
            <w:vAlign w:val="center"/>
          </w:tcPr>
          <w:p w14:paraId="21C72846" w14:textId="331325BD" w:rsidR="008E4D08" w:rsidRPr="008E57B8" w:rsidRDefault="008E4D08" w:rsidP="00444FED">
            <w:pPr>
              <w:pStyle w:val="ListParagraph"/>
              <w:widowControl w:val="0"/>
              <w:spacing w:line="360" w:lineRule="auto"/>
              <w:ind w:left="0"/>
              <w:jc w:val="center"/>
              <w:rPr>
                <w:bCs/>
              </w:rPr>
            </w:pPr>
            <w:r w:rsidRPr="008E57B8">
              <w:rPr>
                <w:bCs/>
              </w:rPr>
              <w:t>0</w:t>
            </w:r>
            <w:r w:rsidR="00CE23F9">
              <w:rPr>
                <w:bCs/>
              </w:rPr>
              <w:t>,</w:t>
            </w:r>
            <w:r w:rsidR="00027731">
              <w:rPr>
                <w:bCs/>
                <w:lang w:val="en-US"/>
              </w:rPr>
              <w:t>181</w:t>
            </w:r>
            <w:r w:rsidRPr="008E57B8">
              <w:rPr>
                <w:bCs/>
                <w:vertAlign w:val="superscript"/>
              </w:rPr>
              <w:t>ns</w:t>
            </w:r>
          </w:p>
        </w:tc>
      </w:tr>
    </w:tbl>
    <w:p w14:paraId="4CE12894" w14:textId="77777777" w:rsidR="008E4D08" w:rsidRPr="00CE23F9" w:rsidRDefault="008E4D08" w:rsidP="00CE23F9">
      <w:pPr>
        <w:jc w:val="both"/>
        <w:rPr>
          <w:rFonts w:eastAsiaTheme="minorEastAsia"/>
          <w:bCs/>
          <w:sz w:val="18"/>
          <w:szCs w:val="18"/>
          <w:lang w:eastAsia="zh-CN"/>
        </w:rPr>
      </w:pPr>
      <w:r w:rsidRPr="00CE23F9">
        <w:rPr>
          <w:bCs/>
          <w:sz w:val="18"/>
          <w:szCs w:val="18"/>
        </w:rPr>
        <w:t xml:space="preserve">Data </w:t>
      </w:r>
      <w:proofErr w:type="spellStart"/>
      <w:r w:rsidRPr="00CE23F9">
        <w:rPr>
          <w:bCs/>
          <w:sz w:val="18"/>
          <w:szCs w:val="18"/>
          <w:lang w:val="en-US"/>
        </w:rPr>
        <w:t>jenis</w:t>
      </w:r>
      <w:proofErr w:type="spellEnd"/>
      <w:r w:rsidRPr="00CE23F9">
        <w:rPr>
          <w:bCs/>
          <w:sz w:val="18"/>
          <w:szCs w:val="18"/>
          <w:lang w:val="en-US"/>
        </w:rPr>
        <w:t xml:space="preserve"> </w:t>
      </w:r>
      <w:proofErr w:type="spellStart"/>
      <w:r w:rsidRPr="00CE23F9">
        <w:rPr>
          <w:bCs/>
          <w:sz w:val="18"/>
          <w:szCs w:val="18"/>
          <w:lang w:val="en-US"/>
        </w:rPr>
        <w:t>kelamin</w:t>
      </w:r>
      <w:proofErr w:type="spellEnd"/>
      <w:r w:rsidRPr="00CE23F9">
        <w:rPr>
          <w:bCs/>
          <w:sz w:val="18"/>
          <w:szCs w:val="18"/>
        </w:rPr>
        <w:t xml:space="preserve"> diolah dengan menggunakan uji</w:t>
      </w:r>
      <w:r w:rsidRPr="00CE23F9">
        <w:rPr>
          <w:bCs/>
          <w:sz w:val="18"/>
          <w:szCs w:val="18"/>
          <w:lang w:val="en-US"/>
        </w:rPr>
        <w:t xml:space="preserve"> Chi Square</w:t>
      </w:r>
      <w:r w:rsidRPr="00CE23F9">
        <w:rPr>
          <w:bCs/>
          <w:i/>
          <w:iCs/>
          <w:sz w:val="18"/>
          <w:szCs w:val="18"/>
          <w:lang w:val="en-US"/>
        </w:rPr>
        <w:t xml:space="preserve">, </w:t>
      </w:r>
      <w:proofErr w:type="spellStart"/>
      <w:r w:rsidRPr="00CE23F9">
        <w:rPr>
          <w:bCs/>
          <w:sz w:val="18"/>
          <w:szCs w:val="18"/>
          <w:lang w:val="en-US"/>
        </w:rPr>
        <w:t>variabel</w:t>
      </w:r>
      <w:proofErr w:type="spellEnd"/>
      <w:r w:rsidRPr="00CE23F9">
        <w:rPr>
          <w:bCs/>
          <w:sz w:val="18"/>
          <w:szCs w:val="18"/>
          <w:lang w:val="en-US"/>
        </w:rPr>
        <w:t xml:space="preserve"> lain </w:t>
      </w:r>
      <w:r w:rsidRPr="00CE23F9">
        <w:rPr>
          <w:bCs/>
          <w:sz w:val="18"/>
          <w:szCs w:val="18"/>
        </w:rPr>
        <w:t xml:space="preserve">diolah dengan menggunakan uji </w:t>
      </w:r>
      <w:r w:rsidRPr="00CE23F9">
        <w:rPr>
          <w:bCs/>
          <w:i/>
          <w:iCs/>
          <w:sz w:val="18"/>
          <w:szCs w:val="18"/>
          <w:lang w:val="en-US"/>
        </w:rPr>
        <w:t xml:space="preserve">Mann Whitney U </w:t>
      </w:r>
      <w:r w:rsidRPr="00CE23F9">
        <w:rPr>
          <w:bCs/>
          <w:i/>
          <w:iCs/>
          <w:sz w:val="18"/>
          <w:szCs w:val="18"/>
        </w:rPr>
        <w:t>Test</w:t>
      </w:r>
      <w:r w:rsidRPr="00CE23F9">
        <w:rPr>
          <w:bCs/>
          <w:sz w:val="18"/>
          <w:szCs w:val="18"/>
        </w:rPr>
        <w:t>. ns: not significant (data homogen)</w:t>
      </w:r>
    </w:p>
    <w:p w14:paraId="74DE8D81" w14:textId="77777777" w:rsidR="008E4D08" w:rsidRPr="008E57B8" w:rsidRDefault="008E4D08" w:rsidP="00444FED">
      <w:pPr>
        <w:pStyle w:val="ListParagraph"/>
        <w:spacing w:line="360" w:lineRule="auto"/>
        <w:ind w:left="360"/>
        <w:jc w:val="both"/>
        <w:rPr>
          <w:rFonts w:eastAsiaTheme="minorEastAsia"/>
          <w:bCs/>
          <w:sz w:val="18"/>
          <w:szCs w:val="18"/>
          <w:lang w:eastAsia="zh-CN"/>
        </w:rPr>
      </w:pPr>
    </w:p>
    <w:p w14:paraId="5EE41C56" w14:textId="2A6BBC24" w:rsidR="008E4D08" w:rsidRPr="00CE23F9" w:rsidRDefault="008E4D08" w:rsidP="00CE23F9">
      <w:pPr>
        <w:spacing w:line="360" w:lineRule="auto"/>
        <w:ind w:firstLine="567"/>
        <w:jc w:val="both"/>
        <w:rPr>
          <w:rFonts w:eastAsiaTheme="minorEastAsia"/>
          <w:lang w:eastAsia="zh-CN"/>
        </w:rPr>
      </w:pPr>
      <w:r w:rsidRPr="008E57B8">
        <w:rPr>
          <w:lang w:eastAsia="zh-CN"/>
        </w:rPr>
        <w:t xml:space="preserve">Berdasarkan </w:t>
      </w:r>
      <w:r w:rsidR="00CE23F9">
        <w:rPr>
          <w:lang w:val="id-ID" w:eastAsia="zh-CN"/>
        </w:rPr>
        <w:t>T</w:t>
      </w:r>
      <w:r w:rsidRPr="008E57B8">
        <w:rPr>
          <w:lang w:eastAsia="zh-CN"/>
        </w:rPr>
        <w:t>abel 1 dapat diketahui bahwa kelompok umur, jenis kelamin,</w:t>
      </w:r>
      <w:r w:rsidRPr="00CE23F9">
        <w:rPr>
          <w:lang w:val="en-US" w:eastAsia="zh-CN"/>
        </w:rPr>
        <w:t xml:space="preserve"> </w:t>
      </w:r>
      <w:r w:rsidR="00D13423" w:rsidRPr="00CE23F9">
        <w:rPr>
          <w:lang w:val="en-US" w:eastAsia="zh-CN"/>
        </w:rPr>
        <w:t xml:space="preserve">ASA PS, </w:t>
      </w:r>
      <w:proofErr w:type="spellStart"/>
      <w:r w:rsidR="00D13423" w:rsidRPr="00CE23F9">
        <w:rPr>
          <w:lang w:val="en-US" w:eastAsia="zh-CN"/>
        </w:rPr>
        <w:t>ukuran</w:t>
      </w:r>
      <w:proofErr w:type="spellEnd"/>
      <w:r w:rsidR="00D13423" w:rsidRPr="00CE23F9">
        <w:rPr>
          <w:lang w:val="en-US" w:eastAsia="zh-CN"/>
        </w:rPr>
        <w:t xml:space="preserve"> tonsil </w:t>
      </w:r>
      <w:r w:rsidRPr="00CE23F9">
        <w:rPr>
          <w:lang w:val="en-US" w:eastAsia="zh-CN"/>
        </w:rPr>
        <w:t xml:space="preserve">dan </w:t>
      </w:r>
      <w:r w:rsidRPr="008E57B8">
        <w:rPr>
          <w:lang w:eastAsia="zh-CN"/>
        </w:rPr>
        <w:t>indeks massa tubuh</w:t>
      </w:r>
      <w:r w:rsidRPr="00CE23F9">
        <w:rPr>
          <w:lang w:val="en-US" w:eastAsia="zh-CN"/>
        </w:rPr>
        <w:t xml:space="preserve"> </w:t>
      </w:r>
      <w:proofErr w:type="spellStart"/>
      <w:r w:rsidRPr="00CE23F9">
        <w:rPr>
          <w:lang w:val="en-US" w:eastAsia="zh-CN"/>
        </w:rPr>
        <w:t>setelah</w:t>
      </w:r>
      <w:proofErr w:type="spellEnd"/>
      <w:r w:rsidRPr="00CE23F9">
        <w:rPr>
          <w:lang w:val="en-US" w:eastAsia="zh-CN"/>
        </w:rPr>
        <w:t xml:space="preserve"> </w:t>
      </w:r>
      <w:proofErr w:type="spellStart"/>
      <w:r w:rsidRPr="00CE23F9">
        <w:rPr>
          <w:lang w:val="en-US" w:eastAsia="zh-CN"/>
        </w:rPr>
        <w:t>diuji</w:t>
      </w:r>
      <w:proofErr w:type="spellEnd"/>
      <w:r w:rsidRPr="00CE23F9">
        <w:rPr>
          <w:lang w:val="en-US" w:eastAsia="zh-CN"/>
        </w:rPr>
        <w:t xml:space="preserve"> </w:t>
      </w:r>
      <w:proofErr w:type="spellStart"/>
      <w:r w:rsidRPr="00CE23F9">
        <w:rPr>
          <w:lang w:val="en-US" w:eastAsia="zh-CN"/>
        </w:rPr>
        <w:t>antara</w:t>
      </w:r>
      <w:proofErr w:type="spellEnd"/>
      <w:r w:rsidRPr="00CE23F9">
        <w:rPr>
          <w:lang w:val="en-US" w:eastAsia="zh-CN"/>
        </w:rPr>
        <w:t xml:space="preserve"> </w:t>
      </w:r>
      <w:proofErr w:type="spellStart"/>
      <w:r w:rsidRPr="00CE23F9">
        <w:rPr>
          <w:lang w:val="en-US" w:eastAsia="zh-CN"/>
        </w:rPr>
        <w:t>kelompok</w:t>
      </w:r>
      <w:proofErr w:type="spellEnd"/>
      <w:r w:rsidRPr="00CE23F9">
        <w:rPr>
          <w:lang w:val="en-US" w:eastAsia="zh-CN"/>
        </w:rPr>
        <w:t xml:space="preserve"> </w:t>
      </w:r>
      <w:proofErr w:type="spellStart"/>
      <w:r w:rsidR="00D13423" w:rsidRPr="00CE23F9">
        <w:rPr>
          <w:lang w:val="en-US" w:eastAsia="zh-CN"/>
        </w:rPr>
        <w:t>Intervensi</w:t>
      </w:r>
      <w:proofErr w:type="spellEnd"/>
      <w:r w:rsidR="00D13423" w:rsidRPr="00CE23F9">
        <w:rPr>
          <w:lang w:val="en-US" w:eastAsia="zh-CN"/>
        </w:rPr>
        <w:t xml:space="preserve"> dan </w:t>
      </w:r>
      <w:proofErr w:type="spellStart"/>
      <w:r w:rsidR="00D13423" w:rsidRPr="00CE23F9">
        <w:rPr>
          <w:lang w:val="en-US" w:eastAsia="zh-CN"/>
        </w:rPr>
        <w:t>kontrol</w:t>
      </w:r>
      <w:proofErr w:type="spellEnd"/>
      <w:r w:rsidRPr="008E57B8">
        <w:rPr>
          <w:lang w:eastAsia="zh-CN"/>
        </w:rPr>
        <w:t xml:space="preserve"> didapatkan </w:t>
      </w:r>
      <w:proofErr w:type="spellStart"/>
      <w:r w:rsidRPr="00CE23F9">
        <w:rPr>
          <w:lang w:val="en-US" w:eastAsia="zh-CN"/>
        </w:rPr>
        <w:t>hasil</w:t>
      </w:r>
      <w:proofErr w:type="spellEnd"/>
      <w:r w:rsidR="00CE23F9">
        <w:rPr>
          <w:lang w:val="id-ID" w:eastAsia="zh-CN"/>
        </w:rPr>
        <w:t xml:space="preserve"> nilai</w:t>
      </w:r>
      <w:r w:rsidRPr="00CE23F9">
        <w:rPr>
          <w:lang w:val="en-US" w:eastAsia="zh-CN"/>
        </w:rPr>
        <w:t xml:space="preserve"> p &gt; 0</w:t>
      </w:r>
      <w:r w:rsidR="00CE23F9">
        <w:rPr>
          <w:lang w:val="id-ID" w:eastAsia="zh-CN"/>
        </w:rPr>
        <w:t>,</w:t>
      </w:r>
      <w:r w:rsidRPr="00CE23F9">
        <w:rPr>
          <w:lang w:val="en-US" w:eastAsia="zh-CN"/>
        </w:rPr>
        <w:t xml:space="preserve">05, yang </w:t>
      </w:r>
      <w:proofErr w:type="spellStart"/>
      <w:r w:rsidRPr="00CE23F9">
        <w:rPr>
          <w:lang w:val="en-US" w:eastAsia="zh-CN"/>
        </w:rPr>
        <w:t>berarti</w:t>
      </w:r>
      <w:proofErr w:type="spellEnd"/>
      <w:r w:rsidRPr="00CE23F9">
        <w:rPr>
          <w:lang w:val="en-US" w:eastAsia="zh-CN"/>
        </w:rPr>
        <w:t xml:space="preserve"> </w:t>
      </w:r>
      <w:proofErr w:type="spellStart"/>
      <w:r w:rsidRPr="00CE23F9">
        <w:rPr>
          <w:lang w:val="en-US" w:eastAsia="zh-CN"/>
        </w:rPr>
        <w:t>kedua</w:t>
      </w:r>
      <w:proofErr w:type="spellEnd"/>
      <w:r w:rsidRPr="00CE23F9">
        <w:rPr>
          <w:lang w:val="en-US" w:eastAsia="zh-CN"/>
        </w:rPr>
        <w:t xml:space="preserve"> </w:t>
      </w:r>
      <w:proofErr w:type="spellStart"/>
      <w:r w:rsidRPr="00CE23F9">
        <w:rPr>
          <w:lang w:val="en-US" w:eastAsia="zh-CN"/>
        </w:rPr>
        <w:t>kelompok</w:t>
      </w:r>
      <w:proofErr w:type="spellEnd"/>
      <w:r w:rsidRPr="00CE23F9">
        <w:rPr>
          <w:lang w:val="en-US" w:eastAsia="zh-CN"/>
        </w:rPr>
        <w:t xml:space="preserve"> </w:t>
      </w:r>
      <w:proofErr w:type="spellStart"/>
      <w:r w:rsidRPr="00CE23F9">
        <w:rPr>
          <w:lang w:val="en-US" w:eastAsia="zh-CN"/>
        </w:rPr>
        <w:t>memiliki</w:t>
      </w:r>
      <w:proofErr w:type="spellEnd"/>
      <w:r w:rsidRPr="00CE23F9">
        <w:rPr>
          <w:lang w:val="en-US" w:eastAsia="zh-CN"/>
        </w:rPr>
        <w:t xml:space="preserve"> data yang </w:t>
      </w:r>
      <w:r w:rsidRPr="008E57B8">
        <w:rPr>
          <w:lang w:eastAsia="zh-CN"/>
        </w:rPr>
        <w:t>homoge</w:t>
      </w:r>
      <w:r w:rsidRPr="00CE23F9">
        <w:rPr>
          <w:lang w:val="en-US" w:eastAsia="zh-CN"/>
        </w:rPr>
        <w:t>n</w:t>
      </w:r>
      <w:r w:rsidRPr="008E57B8">
        <w:rPr>
          <w:lang w:eastAsia="zh-CN"/>
        </w:rPr>
        <w:t>.</w:t>
      </w:r>
    </w:p>
    <w:p w14:paraId="067FA988" w14:textId="77777777" w:rsidR="008E4D08" w:rsidRDefault="008E4D08" w:rsidP="008E4D08">
      <w:pPr>
        <w:pStyle w:val="ListParagraph"/>
        <w:ind w:left="450"/>
        <w:rPr>
          <w:rFonts w:eastAsiaTheme="minorEastAsia"/>
          <w:b/>
          <w:bCs/>
          <w:lang w:val="en-US" w:eastAsia="zh-CN"/>
        </w:rPr>
      </w:pPr>
    </w:p>
    <w:p w14:paraId="4A588D47" w14:textId="77777777" w:rsidR="00CE23F9" w:rsidRDefault="00CE23F9" w:rsidP="008E4D08">
      <w:pPr>
        <w:pStyle w:val="ListParagraph"/>
        <w:ind w:left="450"/>
        <w:rPr>
          <w:rFonts w:eastAsiaTheme="minorEastAsia"/>
          <w:b/>
          <w:bCs/>
          <w:lang w:val="en-US" w:eastAsia="zh-CN"/>
        </w:rPr>
      </w:pPr>
    </w:p>
    <w:p w14:paraId="6467B92A" w14:textId="77777777" w:rsidR="00CE23F9" w:rsidRDefault="00CE23F9" w:rsidP="008E4D08">
      <w:pPr>
        <w:pStyle w:val="ListParagraph"/>
        <w:ind w:left="450"/>
        <w:rPr>
          <w:rFonts w:eastAsiaTheme="minorEastAsia"/>
          <w:b/>
          <w:bCs/>
          <w:lang w:val="en-US" w:eastAsia="zh-CN"/>
        </w:rPr>
      </w:pPr>
    </w:p>
    <w:p w14:paraId="0978D37A" w14:textId="7B1624A8" w:rsidR="00C364AF" w:rsidRDefault="00C364AF" w:rsidP="00CE23F9">
      <w:pPr>
        <w:pStyle w:val="Heading2"/>
        <w:numPr>
          <w:ilvl w:val="1"/>
          <w:numId w:val="30"/>
        </w:numPr>
        <w:spacing w:after="0"/>
        <w:rPr>
          <w:b w:val="0"/>
          <w:bCs/>
          <w:lang w:val="en-US" w:eastAsia="zh-CN"/>
        </w:rPr>
      </w:pPr>
      <w:bookmarkStart w:id="125" w:name="_Toc158290296"/>
      <w:proofErr w:type="spellStart"/>
      <w:r w:rsidRPr="00CE23F9">
        <w:rPr>
          <w:lang w:val="en-US" w:eastAsia="zh-CN"/>
        </w:rPr>
        <w:t>Intensitas</w:t>
      </w:r>
      <w:proofErr w:type="spellEnd"/>
      <w:r>
        <w:rPr>
          <w:bCs/>
          <w:lang w:val="en-US" w:eastAsia="zh-CN"/>
        </w:rPr>
        <w:t xml:space="preserve"> Nyeri, Rescue Opioid dan </w:t>
      </w:r>
      <w:proofErr w:type="spellStart"/>
      <w:r>
        <w:rPr>
          <w:bCs/>
          <w:lang w:val="en-US" w:eastAsia="zh-CN"/>
        </w:rPr>
        <w:t>Efek</w:t>
      </w:r>
      <w:proofErr w:type="spellEnd"/>
      <w:r>
        <w:rPr>
          <w:bCs/>
          <w:lang w:val="en-US" w:eastAsia="zh-CN"/>
        </w:rPr>
        <w:t xml:space="preserve"> </w:t>
      </w:r>
      <w:proofErr w:type="spellStart"/>
      <w:r>
        <w:rPr>
          <w:bCs/>
          <w:lang w:val="en-US" w:eastAsia="zh-CN"/>
        </w:rPr>
        <w:t>Samping</w:t>
      </w:r>
      <w:bookmarkEnd w:id="125"/>
      <w:proofErr w:type="spellEnd"/>
    </w:p>
    <w:p w14:paraId="2656F2F8" w14:textId="656EF83C" w:rsidR="000D07BE" w:rsidRPr="00CE23F9" w:rsidRDefault="00CE23F9" w:rsidP="004F2186">
      <w:pPr>
        <w:pStyle w:val="Heading3"/>
        <w:rPr>
          <w:lang w:val="en-US" w:eastAsia="zh-CN"/>
        </w:rPr>
      </w:pPr>
      <w:bookmarkStart w:id="126" w:name="_Toc158290297"/>
      <w:r>
        <w:rPr>
          <w:lang w:val="id-ID" w:eastAsia="zh-CN"/>
        </w:rPr>
        <w:t>6.2.1</w:t>
      </w:r>
      <w:r>
        <w:rPr>
          <w:lang w:val="id-ID" w:eastAsia="zh-CN"/>
        </w:rPr>
        <w:tab/>
        <w:t>P</w:t>
      </w:r>
      <w:proofErr w:type="spellStart"/>
      <w:r w:rsidRPr="00CE23F9">
        <w:rPr>
          <w:lang w:val="en-US" w:eastAsia="zh-CN"/>
        </w:rPr>
        <w:t>erbandingan</w:t>
      </w:r>
      <w:proofErr w:type="spellEnd"/>
      <w:r w:rsidRPr="00CE23F9">
        <w:rPr>
          <w:lang w:val="en-US" w:eastAsia="zh-CN"/>
        </w:rPr>
        <w:t xml:space="preserve"> </w:t>
      </w:r>
      <w:proofErr w:type="spellStart"/>
      <w:r w:rsidR="00182314">
        <w:rPr>
          <w:lang w:val="en-US" w:eastAsia="zh-CN"/>
        </w:rPr>
        <w:t>I</w:t>
      </w:r>
      <w:r w:rsidRPr="00CE23F9">
        <w:rPr>
          <w:lang w:val="en-US" w:eastAsia="zh-CN"/>
        </w:rPr>
        <w:t>ntensitas</w:t>
      </w:r>
      <w:proofErr w:type="spellEnd"/>
      <w:r w:rsidRPr="00CE23F9">
        <w:rPr>
          <w:lang w:val="en-US" w:eastAsia="zh-CN"/>
        </w:rPr>
        <w:t xml:space="preserve"> </w:t>
      </w:r>
      <w:r w:rsidR="00182314">
        <w:rPr>
          <w:lang w:val="en-US" w:eastAsia="zh-CN"/>
        </w:rPr>
        <w:t>N</w:t>
      </w:r>
      <w:r w:rsidRPr="00CE23F9">
        <w:rPr>
          <w:lang w:val="en-US" w:eastAsia="zh-CN"/>
        </w:rPr>
        <w:t>yeri</w:t>
      </w:r>
      <w:bookmarkEnd w:id="126"/>
    </w:p>
    <w:p w14:paraId="20D256DC" w14:textId="09C224F1" w:rsidR="008E4D08" w:rsidRPr="00F426C1" w:rsidRDefault="008E4D08" w:rsidP="00CE23F9">
      <w:pPr>
        <w:spacing w:line="360" w:lineRule="auto"/>
        <w:ind w:firstLine="720"/>
        <w:jc w:val="both"/>
        <w:rPr>
          <w:rFonts w:eastAsiaTheme="minorEastAsia"/>
          <w:lang w:val="pt-BR" w:eastAsia="zh-CN"/>
        </w:rPr>
      </w:pPr>
      <w:r w:rsidRPr="00F426C1">
        <w:rPr>
          <w:rFonts w:eastAsiaTheme="minorEastAsia"/>
          <w:lang w:val="pt-BR" w:eastAsia="zh-CN"/>
        </w:rPr>
        <w:t xml:space="preserve">Perbandingan </w:t>
      </w:r>
      <w:r w:rsidR="00D13423" w:rsidRPr="00F426C1">
        <w:rPr>
          <w:rFonts w:eastAsiaTheme="minorEastAsia"/>
          <w:lang w:val="pt-BR" w:eastAsia="zh-CN"/>
        </w:rPr>
        <w:t>intensitas nyeri</w:t>
      </w:r>
      <w:r w:rsidRPr="00F426C1">
        <w:rPr>
          <w:rFonts w:eastAsiaTheme="minorEastAsia"/>
          <w:lang w:val="pt-BR" w:eastAsia="zh-CN"/>
        </w:rPr>
        <w:t xml:space="preserve"> pasien</w:t>
      </w:r>
      <w:r w:rsidRPr="00F426C1">
        <w:rPr>
          <w:lang w:val="pt-BR"/>
        </w:rPr>
        <w:t xml:space="preserve"> pada kelompok </w:t>
      </w:r>
      <w:r w:rsidR="00D13423" w:rsidRPr="00F426C1">
        <w:rPr>
          <w:lang w:val="pt-BR"/>
        </w:rPr>
        <w:t>Intervensi dan Kontrol</w:t>
      </w:r>
      <w:r w:rsidRPr="008E57B8">
        <w:t xml:space="preserve"> ditampilkan pada </w:t>
      </w:r>
      <w:r w:rsidR="00CE23F9">
        <w:rPr>
          <w:lang w:val="id-ID"/>
        </w:rPr>
        <w:t>T</w:t>
      </w:r>
      <w:r w:rsidRPr="008E57B8">
        <w:t xml:space="preserve">abel </w:t>
      </w:r>
      <w:r w:rsidR="00CE23F9">
        <w:rPr>
          <w:lang w:val="id-ID"/>
        </w:rPr>
        <w:t>2</w:t>
      </w:r>
      <w:r w:rsidRPr="00F426C1">
        <w:rPr>
          <w:rFonts w:eastAsiaTheme="minorEastAsia"/>
          <w:lang w:val="pt-BR" w:eastAsia="zh-CN"/>
        </w:rPr>
        <w:t>.</w:t>
      </w:r>
    </w:p>
    <w:p w14:paraId="68C3BEF5" w14:textId="77777777" w:rsidR="00E01370" w:rsidRPr="00F426C1" w:rsidRDefault="00E01370" w:rsidP="00CE23F9">
      <w:pPr>
        <w:spacing w:line="360" w:lineRule="auto"/>
        <w:ind w:firstLine="720"/>
        <w:jc w:val="both"/>
        <w:rPr>
          <w:b/>
          <w:bCs/>
          <w:lang w:val="pt-BR" w:eastAsia="zh-CN"/>
        </w:rPr>
      </w:pPr>
    </w:p>
    <w:p w14:paraId="7BC133D3" w14:textId="101EDB28" w:rsidR="008E4D08" w:rsidRPr="00F426C1" w:rsidRDefault="00CE23F9" w:rsidP="00CE23F9">
      <w:pPr>
        <w:pStyle w:val="Caption"/>
        <w:rPr>
          <w:rFonts w:eastAsiaTheme="minorEastAsia"/>
          <w:i w:val="0"/>
          <w:iCs w:val="0"/>
          <w:sz w:val="24"/>
          <w:szCs w:val="24"/>
          <w:lang w:val="pt-BR" w:eastAsia="zh-CN"/>
        </w:rPr>
      </w:pPr>
      <w:r w:rsidRPr="00CE23F9">
        <w:rPr>
          <w:i w:val="0"/>
          <w:iCs w:val="0"/>
          <w:color w:val="auto"/>
          <w:sz w:val="24"/>
          <w:szCs w:val="24"/>
        </w:rPr>
        <w:lastRenderedPageBreak/>
        <w:t xml:space="preserve">Tabel </w:t>
      </w:r>
      <w:r w:rsidRPr="00CE23F9">
        <w:rPr>
          <w:i w:val="0"/>
          <w:iCs w:val="0"/>
          <w:color w:val="auto"/>
          <w:sz w:val="24"/>
          <w:szCs w:val="24"/>
        </w:rPr>
        <w:fldChar w:fldCharType="begin"/>
      </w:r>
      <w:r w:rsidRPr="00CE23F9">
        <w:rPr>
          <w:i w:val="0"/>
          <w:iCs w:val="0"/>
          <w:color w:val="auto"/>
          <w:sz w:val="24"/>
          <w:szCs w:val="24"/>
        </w:rPr>
        <w:instrText xml:space="preserve"> SEQ Tabel \* ARABIC </w:instrText>
      </w:r>
      <w:r w:rsidRPr="00CE23F9">
        <w:rPr>
          <w:i w:val="0"/>
          <w:iCs w:val="0"/>
          <w:color w:val="auto"/>
          <w:sz w:val="24"/>
          <w:szCs w:val="24"/>
        </w:rPr>
        <w:fldChar w:fldCharType="separate"/>
      </w:r>
      <w:r w:rsidR="00D671E3">
        <w:rPr>
          <w:i w:val="0"/>
          <w:iCs w:val="0"/>
          <w:noProof/>
          <w:color w:val="auto"/>
          <w:sz w:val="24"/>
          <w:szCs w:val="24"/>
        </w:rPr>
        <w:t>2</w:t>
      </w:r>
      <w:r w:rsidRPr="00CE23F9">
        <w:rPr>
          <w:i w:val="0"/>
          <w:iCs w:val="0"/>
          <w:color w:val="auto"/>
          <w:sz w:val="24"/>
          <w:szCs w:val="24"/>
        </w:rPr>
        <w:fldChar w:fldCharType="end"/>
      </w:r>
      <w:r w:rsidRPr="00CE23F9">
        <w:rPr>
          <w:i w:val="0"/>
          <w:iCs w:val="0"/>
          <w:color w:val="auto"/>
          <w:sz w:val="24"/>
          <w:szCs w:val="24"/>
          <w:lang w:val="id-ID"/>
        </w:rPr>
        <w:t>. Perbandingan intensitas nyeri pada kelompok intervensi dan kontrol</w:t>
      </w:r>
    </w:p>
    <w:tbl>
      <w:tblPr>
        <w:tblW w:w="5045" w:type="pct"/>
        <w:tblLook w:val="04A0" w:firstRow="1" w:lastRow="0" w:firstColumn="1" w:lastColumn="0" w:noHBand="0" w:noVBand="1"/>
      </w:tblPr>
      <w:tblGrid>
        <w:gridCol w:w="3144"/>
        <w:gridCol w:w="2540"/>
        <w:gridCol w:w="2540"/>
        <w:gridCol w:w="1039"/>
      </w:tblGrid>
      <w:tr w:rsidR="008E4D08" w:rsidRPr="00F10B95" w14:paraId="38AEC911" w14:textId="77777777" w:rsidTr="001F17F1">
        <w:trPr>
          <w:trHeight w:val="386"/>
        </w:trPr>
        <w:tc>
          <w:tcPr>
            <w:tcW w:w="1697" w:type="pct"/>
            <w:vMerge w:val="restart"/>
            <w:tcBorders>
              <w:top w:val="single" w:sz="4" w:space="0" w:color="auto"/>
              <w:left w:val="nil"/>
              <w:bottom w:val="single" w:sz="12" w:space="0" w:color="000000"/>
              <w:right w:val="nil"/>
            </w:tcBorders>
            <w:shd w:val="clear" w:color="auto" w:fill="auto"/>
            <w:noWrap/>
            <w:vAlign w:val="center"/>
          </w:tcPr>
          <w:p w14:paraId="3DEE29E7" w14:textId="77777777" w:rsidR="008E4D08" w:rsidRDefault="008E4D08" w:rsidP="00444FED">
            <w:pPr>
              <w:spacing w:line="360" w:lineRule="auto"/>
              <w:jc w:val="center"/>
              <w:rPr>
                <w:b/>
                <w:bCs/>
                <w:lang w:val="en-US" w:eastAsia="zh-CN"/>
              </w:rPr>
            </w:pPr>
            <w:r>
              <w:rPr>
                <w:b/>
                <w:bCs/>
                <w:lang w:val="en-US" w:eastAsia="zh-CN"/>
              </w:rPr>
              <w:t xml:space="preserve">Waktu </w:t>
            </w:r>
            <w:proofErr w:type="spellStart"/>
            <w:r>
              <w:rPr>
                <w:b/>
                <w:bCs/>
                <w:lang w:val="en-US" w:eastAsia="zh-CN"/>
              </w:rPr>
              <w:t>Pengukuran</w:t>
            </w:r>
            <w:proofErr w:type="spellEnd"/>
            <w:r>
              <w:rPr>
                <w:b/>
                <w:bCs/>
                <w:lang w:val="en-US" w:eastAsia="zh-CN"/>
              </w:rPr>
              <w:t xml:space="preserve"> </w:t>
            </w:r>
          </w:p>
          <w:p w14:paraId="74CA4D52" w14:textId="77777777" w:rsidR="008E4D08" w:rsidRPr="00254F6D" w:rsidRDefault="008E4D08" w:rsidP="00444FED">
            <w:pPr>
              <w:spacing w:line="360" w:lineRule="auto"/>
              <w:jc w:val="center"/>
              <w:rPr>
                <w:b/>
                <w:bCs/>
                <w:lang w:val="en-US"/>
              </w:rPr>
            </w:pPr>
            <w:r>
              <w:rPr>
                <w:b/>
                <w:bCs/>
                <w:lang w:val="en-US" w:eastAsia="zh-CN"/>
              </w:rPr>
              <w:t>(kali/menit)</w:t>
            </w:r>
          </w:p>
        </w:tc>
        <w:tc>
          <w:tcPr>
            <w:tcW w:w="1371" w:type="pct"/>
            <w:tcBorders>
              <w:top w:val="single" w:sz="4" w:space="0" w:color="auto"/>
              <w:left w:val="nil"/>
              <w:bottom w:val="single" w:sz="4" w:space="0" w:color="auto"/>
              <w:right w:val="nil"/>
            </w:tcBorders>
            <w:shd w:val="clear" w:color="auto" w:fill="auto"/>
            <w:noWrap/>
            <w:vAlign w:val="center"/>
          </w:tcPr>
          <w:p w14:paraId="10052ACB" w14:textId="618FC62D" w:rsidR="008E4D08" w:rsidRPr="00D13423" w:rsidRDefault="00D13423" w:rsidP="00444FED">
            <w:pPr>
              <w:spacing w:line="360" w:lineRule="auto"/>
              <w:jc w:val="center"/>
              <w:rPr>
                <w:b/>
                <w:bCs/>
                <w:lang w:val="en-US"/>
              </w:rPr>
            </w:pPr>
            <w:proofErr w:type="spellStart"/>
            <w:r>
              <w:rPr>
                <w:b/>
                <w:bCs/>
                <w:lang w:val="en-US" w:eastAsia="zh-CN"/>
              </w:rPr>
              <w:t>Intervensi</w:t>
            </w:r>
            <w:proofErr w:type="spellEnd"/>
          </w:p>
        </w:tc>
        <w:tc>
          <w:tcPr>
            <w:tcW w:w="1371" w:type="pct"/>
            <w:tcBorders>
              <w:top w:val="single" w:sz="4" w:space="0" w:color="auto"/>
              <w:left w:val="nil"/>
              <w:bottom w:val="single" w:sz="4" w:space="0" w:color="auto"/>
              <w:right w:val="nil"/>
            </w:tcBorders>
            <w:shd w:val="clear" w:color="auto" w:fill="auto"/>
            <w:noWrap/>
            <w:vAlign w:val="center"/>
          </w:tcPr>
          <w:p w14:paraId="314765B8" w14:textId="73676BA9" w:rsidR="008E4D08" w:rsidRPr="00244993" w:rsidRDefault="00D13423" w:rsidP="00444FED">
            <w:pPr>
              <w:spacing w:line="360" w:lineRule="auto"/>
              <w:jc w:val="center"/>
              <w:rPr>
                <w:b/>
                <w:bCs/>
                <w:lang w:val="en-US"/>
              </w:rPr>
            </w:pPr>
            <w:proofErr w:type="spellStart"/>
            <w:r>
              <w:rPr>
                <w:b/>
                <w:bCs/>
                <w:lang w:val="en-US"/>
              </w:rPr>
              <w:t>Kontrol</w:t>
            </w:r>
            <w:proofErr w:type="spellEnd"/>
          </w:p>
        </w:tc>
        <w:tc>
          <w:tcPr>
            <w:tcW w:w="561" w:type="pct"/>
            <w:vMerge w:val="restart"/>
            <w:tcBorders>
              <w:top w:val="single" w:sz="4" w:space="0" w:color="auto"/>
              <w:left w:val="nil"/>
              <w:bottom w:val="single" w:sz="12" w:space="0" w:color="000000"/>
              <w:right w:val="nil"/>
            </w:tcBorders>
            <w:shd w:val="clear" w:color="auto" w:fill="auto"/>
            <w:noWrap/>
            <w:vAlign w:val="center"/>
          </w:tcPr>
          <w:p w14:paraId="1B16119F" w14:textId="77777777" w:rsidR="008E4D08" w:rsidRPr="00F10B95" w:rsidRDefault="008E4D08" w:rsidP="00444FED">
            <w:pPr>
              <w:spacing w:line="360" w:lineRule="auto"/>
              <w:jc w:val="center"/>
              <w:rPr>
                <w:b/>
                <w:bCs/>
              </w:rPr>
            </w:pPr>
            <w:r w:rsidRPr="00F10B95">
              <w:rPr>
                <w:rFonts w:hint="eastAsia"/>
                <w:b/>
                <w:bCs/>
                <w:iCs/>
                <w:lang w:eastAsia="zh-CN"/>
              </w:rPr>
              <w:t>p</w:t>
            </w:r>
          </w:p>
        </w:tc>
      </w:tr>
      <w:tr w:rsidR="008E4D08" w:rsidRPr="00F10B95" w14:paraId="40F8458B" w14:textId="77777777" w:rsidTr="001F17F1">
        <w:trPr>
          <w:trHeight w:val="386"/>
        </w:trPr>
        <w:tc>
          <w:tcPr>
            <w:tcW w:w="1697" w:type="pct"/>
            <w:vMerge/>
            <w:tcBorders>
              <w:top w:val="single" w:sz="12" w:space="0" w:color="auto"/>
              <w:left w:val="nil"/>
              <w:bottom w:val="single" w:sz="4" w:space="0" w:color="auto"/>
              <w:right w:val="nil"/>
            </w:tcBorders>
            <w:vAlign w:val="center"/>
          </w:tcPr>
          <w:p w14:paraId="246475E2" w14:textId="77777777" w:rsidR="008E4D08" w:rsidRPr="00F10B95" w:rsidRDefault="008E4D08" w:rsidP="00444FED">
            <w:pPr>
              <w:spacing w:line="360" w:lineRule="auto"/>
              <w:rPr>
                <w:b/>
                <w:bCs/>
              </w:rPr>
            </w:pPr>
          </w:p>
        </w:tc>
        <w:tc>
          <w:tcPr>
            <w:tcW w:w="1371" w:type="pct"/>
            <w:tcBorders>
              <w:top w:val="single" w:sz="4" w:space="0" w:color="auto"/>
              <w:left w:val="nil"/>
              <w:bottom w:val="single" w:sz="4" w:space="0" w:color="auto"/>
              <w:right w:val="nil"/>
            </w:tcBorders>
            <w:shd w:val="clear" w:color="auto" w:fill="auto"/>
            <w:noWrap/>
            <w:vAlign w:val="center"/>
          </w:tcPr>
          <w:p w14:paraId="3D0B1760" w14:textId="433FAFAC" w:rsidR="008E4D08" w:rsidRPr="00254F6D" w:rsidRDefault="00D13423" w:rsidP="00444FED">
            <w:pPr>
              <w:spacing w:line="360" w:lineRule="auto"/>
              <w:jc w:val="center"/>
              <w:rPr>
                <w:b/>
                <w:bCs/>
                <w:lang w:val="en-US"/>
              </w:rPr>
            </w:pPr>
            <w:r w:rsidRPr="008E57B8">
              <w:rPr>
                <w:b/>
                <w:lang w:val="en-US"/>
              </w:rPr>
              <w:t>(</w:t>
            </w:r>
            <w:r w:rsidRPr="008E57B8">
              <w:rPr>
                <w:b/>
              </w:rPr>
              <w:t>Me</w:t>
            </w:r>
            <w:r>
              <w:rPr>
                <w:b/>
                <w:lang w:val="en-US"/>
              </w:rPr>
              <w:t>an ± SD</w:t>
            </w:r>
            <w:r w:rsidRPr="008E57B8">
              <w:rPr>
                <w:b/>
                <w:lang w:val="en-US"/>
              </w:rPr>
              <w:t>)</w:t>
            </w:r>
          </w:p>
        </w:tc>
        <w:tc>
          <w:tcPr>
            <w:tcW w:w="1371" w:type="pct"/>
            <w:tcBorders>
              <w:top w:val="single" w:sz="4" w:space="0" w:color="auto"/>
              <w:left w:val="nil"/>
              <w:bottom w:val="single" w:sz="4" w:space="0" w:color="auto"/>
              <w:right w:val="nil"/>
            </w:tcBorders>
            <w:shd w:val="clear" w:color="auto" w:fill="auto"/>
            <w:noWrap/>
            <w:vAlign w:val="center"/>
          </w:tcPr>
          <w:p w14:paraId="6D8C8128" w14:textId="145FDC7C" w:rsidR="008E4D08" w:rsidRPr="00254F6D" w:rsidRDefault="00D13423" w:rsidP="00444FED">
            <w:pPr>
              <w:spacing w:line="360" w:lineRule="auto"/>
              <w:jc w:val="center"/>
              <w:rPr>
                <w:b/>
                <w:bCs/>
                <w:lang w:val="en-US"/>
              </w:rPr>
            </w:pPr>
            <w:r w:rsidRPr="008E57B8">
              <w:rPr>
                <w:b/>
                <w:lang w:val="en-US"/>
              </w:rPr>
              <w:t>(</w:t>
            </w:r>
            <w:r w:rsidRPr="008E57B8">
              <w:rPr>
                <w:b/>
              </w:rPr>
              <w:t>Me</w:t>
            </w:r>
            <w:r>
              <w:rPr>
                <w:b/>
                <w:lang w:val="en-US"/>
              </w:rPr>
              <w:t>an ± SD</w:t>
            </w:r>
            <w:r w:rsidRPr="008E57B8">
              <w:rPr>
                <w:b/>
                <w:lang w:val="en-US"/>
              </w:rPr>
              <w:t>)</w:t>
            </w:r>
          </w:p>
        </w:tc>
        <w:tc>
          <w:tcPr>
            <w:tcW w:w="561" w:type="pct"/>
            <w:vMerge/>
            <w:tcBorders>
              <w:top w:val="single" w:sz="12" w:space="0" w:color="auto"/>
              <w:left w:val="nil"/>
              <w:bottom w:val="single" w:sz="4" w:space="0" w:color="auto"/>
              <w:right w:val="nil"/>
            </w:tcBorders>
            <w:vAlign w:val="center"/>
          </w:tcPr>
          <w:p w14:paraId="4243E014" w14:textId="77777777" w:rsidR="008E4D08" w:rsidRPr="00F10B95" w:rsidRDefault="008E4D08" w:rsidP="00444FED">
            <w:pPr>
              <w:spacing w:line="360" w:lineRule="auto"/>
              <w:rPr>
                <w:b/>
                <w:bCs/>
              </w:rPr>
            </w:pPr>
          </w:p>
        </w:tc>
      </w:tr>
      <w:tr w:rsidR="00A811AC" w:rsidRPr="00F10B95" w14:paraId="6AC20978" w14:textId="77777777" w:rsidTr="00866FBE">
        <w:trPr>
          <w:trHeight w:val="419"/>
        </w:trPr>
        <w:tc>
          <w:tcPr>
            <w:tcW w:w="1697" w:type="pct"/>
            <w:tcBorders>
              <w:top w:val="nil"/>
              <w:left w:val="nil"/>
              <w:bottom w:val="nil"/>
              <w:right w:val="nil"/>
            </w:tcBorders>
            <w:shd w:val="clear" w:color="auto" w:fill="auto"/>
            <w:noWrap/>
            <w:vAlign w:val="center"/>
          </w:tcPr>
          <w:p w14:paraId="0F90BD04" w14:textId="49AA8813" w:rsidR="00A811AC" w:rsidRPr="00244993" w:rsidRDefault="00A811AC" w:rsidP="00444FED">
            <w:pPr>
              <w:spacing w:line="360" w:lineRule="auto"/>
              <w:ind w:left="319"/>
              <w:jc w:val="center"/>
              <w:rPr>
                <w:b/>
                <w:bCs/>
                <w:lang w:val="en-US"/>
              </w:rPr>
            </w:pPr>
            <w:r>
              <w:rPr>
                <w:b/>
                <w:bCs/>
                <w:lang w:val="en-US"/>
              </w:rPr>
              <w:t>NRS 2 jam</w:t>
            </w:r>
          </w:p>
        </w:tc>
        <w:tc>
          <w:tcPr>
            <w:tcW w:w="1371" w:type="pct"/>
            <w:tcBorders>
              <w:top w:val="nil"/>
              <w:left w:val="nil"/>
              <w:bottom w:val="nil"/>
              <w:right w:val="nil"/>
            </w:tcBorders>
            <w:shd w:val="clear" w:color="auto" w:fill="auto"/>
            <w:noWrap/>
            <w:vAlign w:val="center"/>
          </w:tcPr>
          <w:p w14:paraId="3EAFFBEC" w14:textId="38B1F723" w:rsidR="00A811AC" w:rsidRPr="00A97766" w:rsidRDefault="00A811AC" w:rsidP="00444FED">
            <w:pPr>
              <w:spacing w:line="360" w:lineRule="auto"/>
              <w:jc w:val="center"/>
              <w:rPr>
                <w:lang w:val="en-US"/>
              </w:rPr>
            </w:pPr>
            <w:r w:rsidRPr="00054124">
              <w:rPr>
                <w:bCs/>
                <w:lang w:val="en-US"/>
              </w:rPr>
              <w:t>2</w:t>
            </w:r>
            <w:r w:rsidR="004F2186">
              <w:rPr>
                <w:bCs/>
                <w:lang w:val="en-US"/>
              </w:rPr>
              <w:t>,</w:t>
            </w:r>
            <w:r w:rsidR="009A07B3">
              <w:rPr>
                <w:bCs/>
                <w:lang w:val="en-US"/>
              </w:rPr>
              <w:t>20</w:t>
            </w:r>
            <w:r w:rsidRPr="00054124">
              <w:rPr>
                <w:bCs/>
                <w:lang w:val="en-US"/>
              </w:rPr>
              <w:t xml:space="preserve"> ± 0</w:t>
            </w:r>
            <w:r w:rsidR="004F2186">
              <w:rPr>
                <w:bCs/>
                <w:lang w:val="en-US"/>
              </w:rPr>
              <w:t>,</w:t>
            </w:r>
            <w:r w:rsidR="009A07B3">
              <w:rPr>
                <w:bCs/>
                <w:lang w:val="en-US"/>
              </w:rPr>
              <w:t>41</w:t>
            </w:r>
          </w:p>
        </w:tc>
        <w:tc>
          <w:tcPr>
            <w:tcW w:w="1371" w:type="pct"/>
            <w:tcBorders>
              <w:top w:val="nil"/>
              <w:left w:val="nil"/>
              <w:bottom w:val="nil"/>
              <w:right w:val="nil"/>
            </w:tcBorders>
            <w:shd w:val="clear" w:color="auto" w:fill="auto"/>
            <w:noWrap/>
            <w:vAlign w:val="center"/>
          </w:tcPr>
          <w:p w14:paraId="006072CA" w14:textId="369D8E2F" w:rsidR="00A811AC" w:rsidRPr="00A97766" w:rsidRDefault="00A811AC" w:rsidP="00444FED">
            <w:pPr>
              <w:spacing w:line="360" w:lineRule="auto"/>
              <w:jc w:val="center"/>
              <w:rPr>
                <w:lang w:val="en-US"/>
              </w:rPr>
            </w:pPr>
            <w:r w:rsidRPr="00054124">
              <w:rPr>
                <w:bCs/>
                <w:lang w:val="en-US"/>
              </w:rPr>
              <w:t>2</w:t>
            </w:r>
            <w:r w:rsidR="004F2186">
              <w:rPr>
                <w:bCs/>
                <w:lang w:val="en-US"/>
              </w:rPr>
              <w:t>,</w:t>
            </w:r>
            <w:r w:rsidR="009A07B3">
              <w:rPr>
                <w:bCs/>
                <w:lang w:val="en-US"/>
              </w:rPr>
              <w:t>86</w:t>
            </w:r>
            <w:r w:rsidRPr="00054124">
              <w:rPr>
                <w:bCs/>
                <w:lang w:val="en-US"/>
              </w:rPr>
              <w:t xml:space="preserve"> ± 0</w:t>
            </w:r>
            <w:r w:rsidR="004F2186">
              <w:rPr>
                <w:bCs/>
                <w:lang w:val="en-US"/>
              </w:rPr>
              <w:t>,</w:t>
            </w:r>
            <w:r w:rsidR="009A07B3">
              <w:rPr>
                <w:bCs/>
                <w:lang w:val="en-US"/>
              </w:rPr>
              <w:t>35</w:t>
            </w:r>
          </w:p>
        </w:tc>
        <w:tc>
          <w:tcPr>
            <w:tcW w:w="561" w:type="pct"/>
            <w:tcBorders>
              <w:top w:val="nil"/>
              <w:left w:val="nil"/>
              <w:bottom w:val="nil"/>
              <w:right w:val="nil"/>
            </w:tcBorders>
            <w:shd w:val="clear" w:color="auto" w:fill="auto"/>
            <w:noWrap/>
            <w:vAlign w:val="center"/>
          </w:tcPr>
          <w:p w14:paraId="0F2071FF" w14:textId="0C532318" w:rsidR="00A811AC" w:rsidRPr="00A97766" w:rsidRDefault="00A811AC" w:rsidP="00444FED">
            <w:pPr>
              <w:spacing w:line="360" w:lineRule="auto"/>
              <w:jc w:val="center"/>
              <w:rPr>
                <w:rFonts w:eastAsiaTheme="minorEastAsia"/>
                <w:lang w:val="en-US"/>
              </w:rPr>
            </w:pPr>
            <w:r w:rsidRPr="00F10B95">
              <w:rPr>
                <w:rFonts w:hint="eastAsia"/>
                <w:lang w:eastAsia="zh-CN"/>
              </w:rPr>
              <w:t>0</w:t>
            </w:r>
            <w:r w:rsidR="004F2186">
              <w:rPr>
                <w:lang w:val="en-US" w:eastAsia="zh-CN"/>
              </w:rPr>
              <w:t>,</w:t>
            </w:r>
            <w:r w:rsidR="00866FBE">
              <w:rPr>
                <w:lang w:val="en-US" w:eastAsia="zh-CN"/>
              </w:rPr>
              <w:t>001*</w:t>
            </w:r>
          </w:p>
        </w:tc>
      </w:tr>
      <w:tr w:rsidR="00A811AC" w:rsidRPr="00F10B95" w14:paraId="18C773FD" w14:textId="77777777" w:rsidTr="00866FBE">
        <w:trPr>
          <w:trHeight w:val="419"/>
        </w:trPr>
        <w:tc>
          <w:tcPr>
            <w:tcW w:w="1697" w:type="pct"/>
            <w:tcBorders>
              <w:top w:val="nil"/>
              <w:left w:val="nil"/>
              <w:bottom w:val="nil"/>
              <w:right w:val="nil"/>
            </w:tcBorders>
            <w:shd w:val="clear" w:color="auto" w:fill="auto"/>
            <w:noWrap/>
            <w:vAlign w:val="center"/>
          </w:tcPr>
          <w:p w14:paraId="30F233E4" w14:textId="5B0D54CA" w:rsidR="00A811AC" w:rsidRPr="00244993" w:rsidRDefault="00A811AC" w:rsidP="00444FED">
            <w:pPr>
              <w:spacing w:line="360" w:lineRule="auto"/>
              <w:ind w:left="319"/>
              <w:jc w:val="center"/>
              <w:rPr>
                <w:b/>
                <w:bCs/>
                <w:lang w:val="en-US"/>
              </w:rPr>
            </w:pPr>
            <w:r>
              <w:rPr>
                <w:b/>
                <w:bCs/>
                <w:lang w:val="en-US"/>
              </w:rPr>
              <w:t>NRS 4 jam</w:t>
            </w:r>
          </w:p>
        </w:tc>
        <w:tc>
          <w:tcPr>
            <w:tcW w:w="1371" w:type="pct"/>
            <w:tcBorders>
              <w:top w:val="nil"/>
              <w:left w:val="nil"/>
              <w:bottom w:val="nil"/>
              <w:right w:val="nil"/>
            </w:tcBorders>
            <w:shd w:val="clear" w:color="auto" w:fill="auto"/>
            <w:noWrap/>
            <w:vAlign w:val="center"/>
          </w:tcPr>
          <w:p w14:paraId="56BD8213" w14:textId="210522EA" w:rsidR="00A811AC" w:rsidRPr="00244993" w:rsidRDefault="00A811AC" w:rsidP="00444FED">
            <w:pPr>
              <w:spacing w:line="360" w:lineRule="auto"/>
              <w:jc w:val="center"/>
              <w:rPr>
                <w:lang w:val="en-US" w:eastAsia="zh-CN"/>
              </w:rPr>
            </w:pPr>
            <w:r w:rsidRPr="00054124">
              <w:rPr>
                <w:bCs/>
                <w:lang w:val="en-US"/>
              </w:rPr>
              <w:t>2</w:t>
            </w:r>
            <w:r w:rsidR="004F2186">
              <w:rPr>
                <w:bCs/>
                <w:lang w:val="en-US"/>
              </w:rPr>
              <w:t>,</w:t>
            </w:r>
            <w:r w:rsidR="009A07B3">
              <w:rPr>
                <w:bCs/>
                <w:lang w:val="en-US"/>
              </w:rPr>
              <w:t>13</w:t>
            </w:r>
            <w:r w:rsidRPr="00054124">
              <w:rPr>
                <w:bCs/>
                <w:lang w:val="en-US"/>
              </w:rPr>
              <w:t xml:space="preserve"> ± 0</w:t>
            </w:r>
            <w:r w:rsidR="004F2186">
              <w:rPr>
                <w:bCs/>
                <w:lang w:val="en-US"/>
              </w:rPr>
              <w:t>,</w:t>
            </w:r>
            <w:r w:rsidR="00866FBE">
              <w:rPr>
                <w:bCs/>
                <w:lang w:val="en-US"/>
              </w:rPr>
              <w:t>35</w:t>
            </w:r>
          </w:p>
        </w:tc>
        <w:tc>
          <w:tcPr>
            <w:tcW w:w="1371" w:type="pct"/>
            <w:tcBorders>
              <w:top w:val="nil"/>
              <w:left w:val="nil"/>
              <w:bottom w:val="nil"/>
              <w:right w:val="nil"/>
            </w:tcBorders>
            <w:shd w:val="clear" w:color="auto" w:fill="auto"/>
            <w:noWrap/>
            <w:vAlign w:val="center"/>
          </w:tcPr>
          <w:p w14:paraId="3F340159" w14:textId="277BE997" w:rsidR="00A811AC" w:rsidRPr="00244993" w:rsidRDefault="00A811AC" w:rsidP="00444FED">
            <w:pPr>
              <w:spacing w:line="360" w:lineRule="auto"/>
              <w:jc w:val="center"/>
              <w:rPr>
                <w:lang w:val="en-US" w:eastAsia="zh-CN"/>
              </w:rPr>
            </w:pPr>
            <w:r w:rsidRPr="00054124">
              <w:rPr>
                <w:bCs/>
                <w:lang w:val="en-US"/>
              </w:rPr>
              <w:t>2</w:t>
            </w:r>
            <w:r w:rsidR="004F2186">
              <w:rPr>
                <w:bCs/>
                <w:lang w:val="en-US"/>
              </w:rPr>
              <w:t>,</w:t>
            </w:r>
            <w:r w:rsidR="00866FBE">
              <w:rPr>
                <w:bCs/>
                <w:lang w:val="en-US"/>
              </w:rPr>
              <w:t>60</w:t>
            </w:r>
            <w:r w:rsidRPr="00054124">
              <w:rPr>
                <w:bCs/>
                <w:lang w:val="en-US"/>
              </w:rPr>
              <w:t xml:space="preserve"> ± 0</w:t>
            </w:r>
            <w:r w:rsidR="004F2186">
              <w:rPr>
                <w:bCs/>
                <w:lang w:val="en-US"/>
              </w:rPr>
              <w:t>,</w:t>
            </w:r>
            <w:r w:rsidR="00866FBE">
              <w:rPr>
                <w:bCs/>
                <w:lang w:val="en-US"/>
              </w:rPr>
              <w:t>51</w:t>
            </w:r>
          </w:p>
        </w:tc>
        <w:tc>
          <w:tcPr>
            <w:tcW w:w="561" w:type="pct"/>
            <w:tcBorders>
              <w:top w:val="nil"/>
              <w:left w:val="nil"/>
              <w:bottom w:val="nil"/>
              <w:right w:val="nil"/>
            </w:tcBorders>
            <w:shd w:val="clear" w:color="auto" w:fill="auto"/>
            <w:noWrap/>
            <w:vAlign w:val="center"/>
          </w:tcPr>
          <w:p w14:paraId="49248321" w14:textId="0CE04810" w:rsidR="00A811AC" w:rsidRPr="00244993" w:rsidRDefault="00A811AC" w:rsidP="00444FED">
            <w:pPr>
              <w:spacing w:line="360" w:lineRule="auto"/>
              <w:jc w:val="center"/>
              <w:rPr>
                <w:lang w:eastAsia="zh-CN"/>
              </w:rPr>
            </w:pPr>
            <w:r w:rsidRPr="00F10B95">
              <w:rPr>
                <w:rFonts w:hint="eastAsia"/>
                <w:lang w:eastAsia="zh-CN"/>
              </w:rPr>
              <w:t>0</w:t>
            </w:r>
            <w:r w:rsidR="004F2186">
              <w:rPr>
                <w:lang w:val="en-US" w:eastAsia="zh-CN"/>
              </w:rPr>
              <w:t>,</w:t>
            </w:r>
            <w:r w:rsidR="00866FBE">
              <w:rPr>
                <w:lang w:val="en-US" w:eastAsia="zh-CN"/>
              </w:rPr>
              <w:t>029*</w:t>
            </w:r>
          </w:p>
        </w:tc>
      </w:tr>
      <w:tr w:rsidR="00A811AC" w:rsidRPr="00F10B95" w14:paraId="7E17FCD7" w14:textId="77777777" w:rsidTr="00866FBE">
        <w:trPr>
          <w:trHeight w:val="419"/>
        </w:trPr>
        <w:tc>
          <w:tcPr>
            <w:tcW w:w="1697" w:type="pct"/>
            <w:tcBorders>
              <w:top w:val="nil"/>
              <w:left w:val="nil"/>
              <w:bottom w:val="nil"/>
              <w:right w:val="nil"/>
            </w:tcBorders>
            <w:shd w:val="clear" w:color="auto" w:fill="auto"/>
            <w:noWrap/>
            <w:vAlign w:val="center"/>
          </w:tcPr>
          <w:p w14:paraId="36B97313" w14:textId="3D7C0CD7" w:rsidR="00A811AC" w:rsidRPr="00244993" w:rsidRDefault="00A811AC" w:rsidP="00444FED">
            <w:pPr>
              <w:spacing w:line="360" w:lineRule="auto"/>
              <w:ind w:left="319"/>
              <w:jc w:val="center"/>
              <w:rPr>
                <w:b/>
                <w:bCs/>
                <w:lang w:val="en-US"/>
              </w:rPr>
            </w:pPr>
            <w:r>
              <w:rPr>
                <w:b/>
                <w:bCs/>
                <w:lang w:val="en-US"/>
              </w:rPr>
              <w:t>NRS 6 jam</w:t>
            </w:r>
          </w:p>
        </w:tc>
        <w:tc>
          <w:tcPr>
            <w:tcW w:w="1371" w:type="pct"/>
            <w:tcBorders>
              <w:top w:val="nil"/>
              <w:left w:val="nil"/>
              <w:bottom w:val="nil"/>
              <w:right w:val="nil"/>
            </w:tcBorders>
            <w:shd w:val="clear" w:color="auto" w:fill="auto"/>
            <w:noWrap/>
            <w:vAlign w:val="center"/>
          </w:tcPr>
          <w:p w14:paraId="0380624B" w14:textId="02EF6DAA" w:rsidR="00A811AC" w:rsidRPr="00244993" w:rsidRDefault="00A811AC" w:rsidP="00444FED">
            <w:pPr>
              <w:spacing w:line="360" w:lineRule="auto"/>
              <w:jc w:val="center"/>
              <w:rPr>
                <w:lang w:val="en-US" w:eastAsia="zh-CN"/>
              </w:rPr>
            </w:pPr>
            <w:r w:rsidRPr="00054124">
              <w:rPr>
                <w:bCs/>
                <w:lang w:val="en-US"/>
              </w:rPr>
              <w:t>2</w:t>
            </w:r>
            <w:r w:rsidR="004F2186">
              <w:rPr>
                <w:bCs/>
                <w:lang w:val="en-US"/>
              </w:rPr>
              <w:t>,</w:t>
            </w:r>
            <w:r w:rsidR="00866FBE">
              <w:rPr>
                <w:bCs/>
                <w:lang w:val="en-US"/>
              </w:rPr>
              <w:t>20</w:t>
            </w:r>
            <w:r w:rsidRPr="00054124">
              <w:rPr>
                <w:bCs/>
                <w:lang w:val="en-US"/>
              </w:rPr>
              <w:t xml:space="preserve"> ± 0</w:t>
            </w:r>
            <w:r w:rsidR="004F2186">
              <w:rPr>
                <w:bCs/>
                <w:lang w:val="en-US"/>
              </w:rPr>
              <w:t>,</w:t>
            </w:r>
            <w:r w:rsidR="00866FBE">
              <w:rPr>
                <w:bCs/>
                <w:lang w:val="en-US"/>
              </w:rPr>
              <w:t>42</w:t>
            </w:r>
          </w:p>
        </w:tc>
        <w:tc>
          <w:tcPr>
            <w:tcW w:w="1371" w:type="pct"/>
            <w:tcBorders>
              <w:top w:val="nil"/>
              <w:left w:val="nil"/>
              <w:bottom w:val="nil"/>
              <w:right w:val="nil"/>
            </w:tcBorders>
            <w:shd w:val="clear" w:color="auto" w:fill="auto"/>
            <w:noWrap/>
            <w:vAlign w:val="center"/>
          </w:tcPr>
          <w:p w14:paraId="6F47882C" w14:textId="4D692079" w:rsidR="00A811AC" w:rsidRPr="00244993" w:rsidRDefault="00A811AC" w:rsidP="00444FED">
            <w:pPr>
              <w:spacing w:line="360" w:lineRule="auto"/>
              <w:jc w:val="center"/>
              <w:rPr>
                <w:lang w:val="en-US" w:eastAsia="zh-CN"/>
              </w:rPr>
            </w:pPr>
            <w:r w:rsidRPr="00054124">
              <w:rPr>
                <w:bCs/>
                <w:lang w:val="en-US"/>
              </w:rPr>
              <w:t>2</w:t>
            </w:r>
            <w:r w:rsidR="004F2186">
              <w:rPr>
                <w:bCs/>
                <w:lang w:val="en-US"/>
              </w:rPr>
              <w:t>,</w:t>
            </w:r>
            <w:r w:rsidR="00866FBE">
              <w:rPr>
                <w:bCs/>
                <w:lang w:val="en-US"/>
              </w:rPr>
              <w:t>73</w:t>
            </w:r>
            <w:r w:rsidRPr="00054124">
              <w:rPr>
                <w:bCs/>
                <w:lang w:val="en-US"/>
              </w:rPr>
              <w:t xml:space="preserve"> ± 0</w:t>
            </w:r>
            <w:r w:rsidR="004F2186">
              <w:rPr>
                <w:bCs/>
                <w:lang w:val="en-US"/>
              </w:rPr>
              <w:t>,</w:t>
            </w:r>
            <w:r w:rsidR="00866FBE">
              <w:rPr>
                <w:bCs/>
                <w:lang w:val="en-US"/>
              </w:rPr>
              <w:t>46</w:t>
            </w:r>
          </w:p>
        </w:tc>
        <w:tc>
          <w:tcPr>
            <w:tcW w:w="561" w:type="pct"/>
            <w:tcBorders>
              <w:top w:val="nil"/>
              <w:left w:val="nil"/>
              <w:bottom w:val="nil"/>
              <w:right w:val="nil"/>
            </w:tcBorders>
            <w:shd w:val="clear" w:color="auto" w:fill="auto"/>
            <w:noWrap/>
            <w:vAlign w:val="center"/>
          </w:tcPr>
          <w:p w14:paraId="263FF147" w14:textId="55203887" w:rsidR="00A811AC" w:rsidRPr="00244993" w:rsidRDefault="00A811AC" w:rsidP="00444FED">
            <w:pPr>
              <w:spacing w:line="360" w:lineRule="auto"/>
              <w:jc w:val="center"/>
              <w:rPr>
                <w:lang w:eastAsia="zh-CN"/>
              </w:rPr>
            </w:pPr>
            <w:r w:rsidRPr="00F10B95">
              <w:rPr>
                <w:rFonts w:hint="eastAsia"/>
                <w:lang w:eastAsia="zh-CN"/>
              </w:rPr>
              <w:t>0</w:t>
            </w:r>
            <w:r w:rsidR="004F2186">
              <w:rPr>
                <w:lang w:val="en-US" w:eastAsia="zh-CN"/>
              </w:rPr>
              <w:t>,</w:t>
            </w:r>
            <w:r w:rsidR="00866FBE">
              <w:rPr>
                <w:lang w:val="en-US" w:eastAsia="zh-CN"/>
              </w:rPr>
              <w:t>011*</w:t>
            </w:r>
          </w:p>
        </w:tc>
      </w:tr>
      <w:tr w:rsidR="00A811AC" w:rsidRPr="00F10B95" w14:paraId="08EA985E" w14:textId="77777777" w:rsidTr="00866FBE">
        <w:trPr>
          <w:trHeight w:val="419"/>
        </w:trPr>
        <w:tc>
          <w:tcPr>
            <w:tcW w:w="1697" w:type="pct"/>
            <w:tcBorders>
              <w:top w:val="nil"/>
              <w:left w:val="nil"/>
              <w:bottom w:val="nil"/>
              <w:right w:val="nil"/>
            </w:tcBorders>
            <w:shd w:val="clear" w:color="auto" w:fill="auto"/>
            <w:noWrap/>
            <w:vAlign w:val="center"/>
          </w:tcPr>
          <w:p w14:paraId="794BD251" w14:textId="777AAF90" w:rsidR="00A811AC" w:rsidRPr="00244993" w:rsidRDefault="00A811AC" w:rsidP="00444FED">
            <w:pPr>
              <w:spacing w:line="360" w:lineRule="auto"/>
              <w:ind w:left="319"/>
              <w:jc w:val="center"/>
              <w:rPr>
                <w:b/>
                <w:bCs/>
                <w:lang w:val="en-US"/>
              </w:rPr>
            </w:pPr>
            <w:r>
              <w:rPr>
                <w:b/>
                <w:bCs/>
                <w:lang w:val="en-US"/>
              </w:rPr>
              <w:t>NRS 8 jam</w:t>
            </w:r>
          </w:p>
        </w:tc>
        <w:tc>
          <w:tcPr>
            <w:tcW w:w="1371" w:type="pct"/>
            <w:tcBorders>
              <w:top w:val="nil"/>
              <w:left w:val="nil"/>
              <w:bottom w:val="nil"/>
              <w:right w:val="nil"/>
            </w:tcBorders>
            <w:shd w:val="clear" w:color="auto" w:fill="auto"/>
            <w:noWrap/>
            <w:vAlign w:val="center"/>
          </w:tcPr>
          <w:p w14:paraId="6CD06456" w14:textId="2CF80EDF" w:rsidR="00A811AC" w:rsidRPr="00244993" w:rsidRDefault="00866FBE" w:rsidP="00444FED">
            <w:pPr>
              <w:spacing w:line="360" w:lineRule="auto"/>
              <w:jc w:val="center"/>
              <w:rPr>
                <w:lang w:val="en-US" w:eastAsia="zh-CN"/>
              </w:rPr>
            </w:pPr>
            <w:r>
              <w:rPr>
                <w:bCs/>
                <w:lang w:val="en-US"/>
              </w:rPr>
              <w:t>1</w:t>
            </w:r>
            <w:r w:rsidR="004F2186">
              <w:rPr>
                <w:bCs/>
                <w:lang w:val="en-US"/>
              </w:rPr>
              <w:t>,</w:t>
            </w:r>
            <w:r>
              <w:rPr>
                <w:bCs/>
                <w:lang w:val="en-US"/>
              </w:rPr>
              <w:t>60</w:t>
            </w:r>
            <w:r w:rsidR="00A811AC" w:rsidRPr="00054124">
              <w:rPr>
                <w:bCs/>
                <w:lang w:val="en-US"/>
              </w:rPr>
              <w:t xml:space="preserve"> ± 0</w:t>
            </w:r>
            <w:r w:rsidR="004F2186">
              <w:rPr>
                <w:bCs/>
                <w:lang w:val="en-US"/>
              </w:rPr>
              <w:t>,</w:t>
            </w:r>
            <w:r>
              <w:rPr>
                <w:bCs/>
                <w:lang w:val="en-US"/>
              </w:rPr>
              <w:t>51</w:t>
            </w:r>
          </w:p>
        </w:tc>
        <w:tc>
          <w:tcPr>
            <w:tcW w:w="1371" w:type="pct"/>
            <w:tcBorders>
              <w:top w:val="nil"/>
              <w:left w:val="nil"/>
              <w:bottom w:val="nil"/>
              <w:right w:val="nil"/>
            </w:tcBorders>
            <w:shd w:val="clear" w:color="auto" w:fill="auto"/>
            <w:noWrap/>
            <w:vAlign w:val="center"/>
          </w:tcPr>
          <w:p w14:paraId="11A61B46" w14:textId="614DABCB" w:rsidR="00A811AC" w:rsidRPr="00244993" w:rsidRDefault="00866FBE" w:rsidP="00444FED">
            <w:pPr>
              <w:spacing w:line="360" w:lineRule="auto"/>
              <w:jc w:val="center"/>
              <w:rPr>
                <w:lang w:val="en-US" w:eastAsia="zh-CN"/>
              </w:rPr>
            </w:pPr>
            <w:r>
              <w:rPr>
                <w:bCs/>
                <w:lang w:val="en-US"/>
              </w:rPr>
              <w:t>2</w:t>
            </w:r>
            <w:r w:rsidR="004F2186">
              <w:rPr>
                <w:bCs/>
                <w:lang w:val="en-US"/>
              </w:rPr>
              <w:t>,</w:t>
            </w:r>
            <w:r>
              <w:rPr>
                <w:bCs/>
                <w:lang w:val="en-US"/>
              </w:rPr>
              <w:t>20</w:t>
            </w:r>
            <w:r w:rsidR="00A811AC" w:rsidRPr="00054124">
              <w:rPr>
                <w:bCs/>
                <w:lang w:val="en-US"/>
              </w:rPr>
              <w:t xml:space="preserve"> ± 0</w:t>
            </w:r>
            <w:r w:rsidR="004F2186">
              <w:rPr>
                <w:bCs/>
                <w:lang w:val="en-US"/>
              </w:rPr>
              <w:t>,</w:t>
            </w:r>
            <w:r>
              <w:rPr>
                <w:bCs/>
                <w:lang w:val="en-US"/>
              </w:rPr>
              <w:t>43</w:t>
            </w:r>
          </w:p>
        </w:tc>
        <w:tc>
          <w:tcPr>
            <w:tcW w:w="561" w:type="pct"/>
            <w:tcBorders>
              <w:top w:val="nil"/>
              <w:left w:val="nil"/>
              <w:bottom w:val="nil"/>
              <w:right w:val="nil"/>
            </w:tcBorders>
            <w:shd w:val="clear" w:color="auto" w:fill="auto"/>
            <w:noWrap/>
            <w:vAlign w:val="center"/>
          </w:tcPr>
          <w:p w14:paraId="2C7112CA" w14:textId="3919F73E" w:rsidR="00A811AC" w:rsidRPr="00244993" w:rsidRDefault="00A811AC" w:rsidP="00444FED">
            <w:pPr>
              <w:spacing w:line="360" w:lineRule="auto"/>
              <w:jc w:val="center"/>
              <w:rPr>
                <w:lang w:eastAsia="zh-CN"/>
              </w:rPr>
            </w:pPr>
            <w:r w:rsidRPr="000C51C8">
              <w:rPr>
                <w:rFonts w:hint="eastAsia"/>
                <w:lang w:eastAsia="zh-CN"/>
              </w:rPr>
              <w:t>0</w:t>
            </w:r>
            <w:r w:rsidR="004F2186">
              <w:rPr>
                <w:lang w:val="en-US" w:eastAsia="zh-CN"/>
              </w:rPr>
              <w:t>,</w:t>
            </w:r>
            <w:r w:rsidR="00866FBE">
              <w:rPr>
                <w:lang w:val="en-US" w:eastAsia="zh-CN"/>
              </w:rPr>
              <w:t>015*</w:t>
            </w:r>
          </w:p>
        </w:tc>
      </w:tr>
      <w:tr w:rsidR="00A811AC" w:rsidRPr="00F10B95" w14:paraId="4EBDACD3" w14:textId="77777777" w:rsidTr="00866FBE">
        <w:trPr>
          <w:trHeight w:val="419"/>
        </w:trPr>
        <w:tc>
          <w:tcPr>
            <w:tcW w:w="1697" w:type="pct"/>
            <w:tcBorders>
              <w:top w:val="nil"/>
              <w:left w:val="nil"/>
              <w:bottom w:val="nil"/>
              <w:right w:val="nil"/>
            </w:tcBorders>
            <w:shd w:val="clear" w:color="auto" w:fill="auto"/>
            <w:noWrap/>
            <w:vAlign w:val="center"/>
          </w:tcPr>
          <w:p w14:paraId="2AE3FE7B" w14:textId="5C569DF9" w:rsidR="00A811AC" w:rsidRPr="00244993" w:rsidRDefault="00A811AC" w:rsidP="00444FED">
            <w:pPr>
              <w:spacing w:line="360" w:lineRule="auto"/>
              <w:ind w:left="319"/>
              <w:jc w:val="center"/>
              <w:rPr>
                <w:b/>
                <w:bCs/>
                <w:lang w:val="en-US"/>
              </w:rPr>
            </w:pPr>
            <w:r>
              <w:rPr>
                <w:b/>
                <w:bCs/>
                <w:lang w:val="en-US"/>
              </w:rPr>
              <w:t>NRS 12 jam</w:t>
            </w:r>
          </w:p>
        </w:tc>
        <w:tc>
          <w:tcPr>
            <w:tcW w:w="1371" w:type="pct"/>
            <w:tcBorders>
              <w:top w:val="nil"/>
              <w:left w:val="nil"/>
              <w:bottom w:val="nil"/>
              <w:right w:val="nil"/>
            </w:tcBorders>
            <w:shd w:val="clear" w:color="auto" w:fill="auto"/>
            <w:noWrap/>
            <w:vAlign w:val="center"/>
          </w:tcPr>
          <w:p w14:paraId="07A66E3B" w14:textId="26DB94A0" w:rsidR="00A811AC" w:rsidRPr="00244993" w:rsidRDefault="00866FBE" w:rsidP="00444FED">
            <w:pPr>
              <w:spacing w:line="360" w:lineRule="auto"/>
              <w:jc w:val="center"/>
              <w:rPr>
                <w:lang w:val="en-US" w:eastAsia="zh-CN"/>
              </w:rPr>
            </w:pPr>
            <w:r>
              <w:rPr>
                <w:bCs/>
                <w:lang w:val="en-US"/>
              </w:rPr>
              <w:t>1</w:t>
            </w:r>
            <w:r w:rsidR="004F2186">
              <w:rPr>
                <w:bCs/>
                <w:lang w:val="en-US"/>
              </w:rPr>
              <w:t>,</w:t>
            </w:r>
            <w:r>
              <w:rPr>
                <w:bCs/>
                <w:lang w:val="en-US"/>
              </w:rPr>
              <w:t>60</w:t>
            </w:r>
            <w:r w:rsidR="00A811AC" w:rsidRPr="00054124">
              <w:rPr>
                <w:bCs/>
                <w:lang w:val="en-US"/>
              </w:rPr>
              <w:t xml:space="preserve"> ± 0</w:t>
            </w:r>
            <w:r w:rsidR="004F2186">
              <w:rPr>
                <w:bCs/>
                <w:lang w:val="en-US"/>
              </w:rPr>
              <w:t>,</w:t>
            </w:r>
            <w:r>
              <w:rPr>
                <w:bCs/>
                <w:lang w:val="en-US"/>
              </w:rPr>
              <w:t>51</w:t>
            </w:r>
          </w:p>
        </w:tc>
        <w:tc>
          <w:tcPr>
            <w:tcW w:w="1371" w:type="pct"/>
            <w:tcBorders>
              <w:top w:val="nil"/>
              <w:left w:val="nil"/>
              <w:bottom w:val="nil"/>
              <w:right w:val="nil"/>
            </w:tcBorders>
            <w:shd w:val="clear" w:color="auto" w:fill="auto"/>
            <w:noWrap/>
            <w:vAlign w:val="center"/>
          </w:tcPr>
          <w:p w14:paraId="16DF9418" w14:textId="4B8079E5" w:rsidR="00A811AC" w:rsidRPr="00244993" w:rsidRDefault="00A811AC" w:rsidP="00444FED">
            <w:pPr>
              <w:spacing w:line="360" w:lineRule="auto"/>
              <w:jc w:val="center"/>
              <w:rPr>
                <w:lang w:val="en-US" w:eastAsia="zh-CN"/>
              </w:rPr>
            </w:pPr>
            <w:r w:rsidRPr="00054124">
              <w:rPr>
                <w:bCs/>
                <w:lang w:val="en-US"/>
              </w:rPr>
              <w:t>2</w:t>
            </w:r>
            <w:r w:rsidR="004F2186">
              <w:rPr>
                <w:bCs/>
                <w:lang w:val="en-US"/>
              </w:rPr>
              <w:t>,</w:t>
            </w:r>
            <w:r w:rsidR="00866FBE">
              <w:rPr>
                <w:bCs/>
                <w:lang w:val="en-US"/>
              </w:rPr>
              <w:t>00</w:t>
            </w:r>
            <w:r w:rsidRPr="00054124">
              <w:rPr>
                <w:bCs/>
                <w:lang w:val="en-US"/>
              </w:rPr>
              <w:t xml:space="preserve"> ± 0</w:t>
            </w:r>
            <w:r w:rsidR="004F2186">
              <w:rPr>
                <w:bCs/>
                <w:lang w:val="en-US"/>
              </w:rPr>
              <w:t>,</w:t>
            </w:r>
            <w:r w:rsidR="00866FBE">
              <w:rPr>
                <w:bCs/>
                <w:lang w:val="en-US"/>
              </w:rPr>
              <w:t>37</w:t>
            </w:r>
          </w:p>
        </w:tc>
        <w:tc>
          <w:tcPr>
            <w:tcW w:w="561" w:type="pct"/>
            <w:tcBorders>
              <w:top w:val="nil"/>
              <w:left w:val="nil"/>
              <w:bottom w:val="nil"/>
              <w:right w:val="nil"/>
            </w:tcBorders>
            <w:shd w:val="clear" w:color="auto" w:fill="auto"/>
            <w:noWrap/>
            <w:vAlign w:val="center"/>
          </w:tcPr>
          <w:p w14:paraId="1A411B36" w14:textId="628D52AC" w:rsidR="00A811AC" w:rsidRPr="00244993" w:rsidRDefault="00A811AC" w:rsidP="00444FED">
            <w:pPr>
              <w:spacing w:line="360" w:lineRule="auto"/>
              <w:jc w:val="center"/>
              <w:rPr>
                <w:lang w:val="en-US" w:eastAsia="zh-CN"/>
              </w:rPr>
            </w:pPr>
            <w:r w:rsidRPr="000C51C8">
              <w:rPr>
                <w:rFonts w:hint="eastAsia"/>
                <w:lang w:eastAsia="zh-CN"/>
              </w:rPr>
              <w:t>0</w:t>
            </w:r>
            <w:r w:rsidR="004F2186">
              <w:rPr>
                <w:lang w:val="en-US" w:eastAsia="zh-CN"/>
              </w:rPr>
              <w:t>,</w:t>
            </w:r>
            <w:r w:rsidR="00866FBE">
              <w:rPr>
                <w:lang w:val="en-US" w:eastAsia="zh-CN"/>
              </w:rPr>
              <w:t>081</w:t>
            </w:r>
            <w:r w:rsidR="00866FBE" w:rsidRPr="00866FBE">
              <w:rPr>
                <w:vertAlign w:val="superscript"/>
                <w:lang w:val="en-US" w:eastAsia="zh-CN"/>
              </w:rPr>
              <w:t>ns</w:t>
            </w:r>
          </w:p>
        </w:tc>
      </w:tr>
      <w:tr w:rsidR="00A811AC" w:rsidRPr="00F10B95" w14:paraId="5AD18EF2" w14:textId="77777777" w:rsidTr="00866FBE">
        <w:trPr>
          <w:trHeight w:val="419"/>
        </w:trPr>
        <w:tc>
          <w:tcPr>
            <w:tcW w:w="1697" w:type="pct"/>
            <w:tcBorders>
              <w:top w:val="nil"/>
              <w:left w:val="nil"/>
              <w:bottom w:val="single" w:sz="4" w:space="0" w:color="auto"/>
              <w:right w:val="nil"/>
            </w:tcBorders>
            <w:shd w:val="clear" w:color="auto" w:fill="auto"/>
            <w:noWrap/>
            <w:vAlign w:val="center"/>
          </w:tcPr>
          <w:p w14:paraId="224BFD52" w14:textId="02F364DE" w:rsidR="00A811AC" w:rsidRPr="00244993" w:rsidRDefault="00A811AC" w:rsidP="00444FED">
            <w:pPr>
              <w:spacing w:line="360" w:lineRule="auto"/>
              <w:ind w:left="319"/>
              <w:jc w:val="center"/>
              <w:rPr>
                <w:b/>
                <w:bCs/>
                <w:lang w:val="en-US"/>
              </w:rPr>
            </w:pPr>
            <w:r>
              <w:rPr>
                <w:b/>
                <w:bCs/>
                <w:lang w:val="en-US"/>
              </w:rPr>
              <w:t>NRS 24 jam</w:t>
            </w:r>
          </w:p>
        </w:tc>
        <w:tc>
          <w:tcPr>
            <w:tcW w:w="1371" w:type="pct"/>
            <w:tcBorders>
              <w:top w:val="nil"/>
              <w:left w:val="nil"/>
              <w:bottom w:val="single" w:sz="4" w:space="0" w:color="auto"/>
              <w:right w:val="nil"/>
            </w:tcBorders>
            <w:shd w:val="clear" w:color="auto" w:fill="auto"/>
            <w:noWrap/>
            <w:vAlign w:val="center"/>
          </w:tcPr>
          <w:p w14:paraId="58420549" w14:textId="3E61FF9C" w:rsidR="00A811AC" w:rsidRPr="00244993" w:rsidRDefault="00866FBE" w:rsidP="00444FED">
            <w:pPr>
              <w:spacing w:line="360" w:lineRule="auto"/>
              <w:jc w:val="center"/>
              <w:rPr>
                <w:lang w:val="en-US" w:eastAsia="zh-CN"/>
              </w:rPr>
            </w:pPr>
            <w:r>
              <w:rPr>
                <w:bCs/>
                <w:lang w:val="en-US"/>
              </w:rPr>
              <w:t>1</w:t>
            </w:r>
            <w:r w:rsidR="004F2186">
              <w:rPr>
                <w:bCs/>
                <w:lang w:val="en-US"/>
              </w:rPr>
              <w:t>,</w:t>
            </w:r>
            <w:r>
              <w:rPr>
                <w:bCs/>
                <w:lang w:val="en-US"/>
              </w:rPr>
              <w:t>40</w:t>
            </w:r>
            <w:r w:rsidR="00A811AC" w:rsidRPr="00054124">
              <w:rPr>
                <w:bCs/>
                <w:lang w:val="en-US"/>
              </w:rPr>
              <w:t xml:space="preserve"> ± 0</w:t>
            </w:r>
            <w:r w:rsidR="004F2186">
              <w:rPr>
                <w:bCs/>
                <w:lang w:val="en-US"/>
              </w:rPr>
              <w:t>,</w:t>
            </w:r>
            <w:r>
              <w:rPr>
                <w:bCs/>
                <w:lang w:val="en-US"/>
              </w:rPr>
              <w:t>51</w:t>
            </w:r>
          </w:p>
        </w:tc>
        <w:tc>
          <w:tcPr>
            <w:tcW w:w="1371" w:type="pct"/>
            <w:tcBorders>
              <w:top w:val="nil"/>
              <w:left w:val="nil"/>
              <w:bottom w:val="single" w:sz="4" w:space="0" w:color="auto"/>
              <w:right w:val="nil"/>
            </w:tcBorders>
            <w:shd w:val="clear" w:color="auto" w:fill="auto"/>
            <w:noWrap/>
            <w:vAlign w:val="center"/>
          </w:tcPr>
          <w:p w14:paraId="77D19AD5" w14:textId="5B01A8E9" w:rsidR="00A811AC" w:rsidRPr="00244993" w:rsidRDefault="00866FBE" w:rsidP="00444FED">
            <w:pPr>
              <w:spacing w:line="360" w:lineRule="auto"/>
              <w:jc w:val="center"/>
              <w:rPr>
                <w:lang w:val="en-US" w:eastAsia="zh-CN"/>
              </w:rPr>
            </w:pPr>
            <w:r>
              <w:rPr>
                <w:bCs/>
                <w:lang w:val="en-US"/>
              </w:rPr>
              <w:t>1</w:t>
            </w:r>
            <w:r w:rsidR="004F2186">
              <w:rPr>
                <w:bCs/>
                <w:lang w:val="en-US"/>
              </w:rPr>
              <w:t>,</w:t>
            </w:r>
            <w:r>
              <w:rPr>
                <w:bCs/>
                <w:lang w:val="en-US"/>
              </w:rPr>
              <w:t>46</w:t>
            </w:r>
            <w:r w:rsidR="00A811AC" w:rsidRPr="00054124">
              <w:rPr>
                <w:bCs/>
                <w:lang w:val="en-US"/>
              </w:rPr>
              <w:t xml:space="preserve"> ± 0</w:t>
            </w:r>
            <w:r w:rsidR="004F2186">
              <w:rPr>
                <w:bCs/>
                <w:lang w:val="en-US"/>
              </w:rPr>
              <w:t>,</w:t>
            </w:r>
            <w:r>
              <w:rPr>
                <w:bCs/>
                <w:lang w:val="en-US"/>
              </w:rPr>
              <w:t>51</w:t>
            </w:r>
          </w:p>
        </w:tc>
        <w:tc>
          <w:tcPr>
            <w:tcW w:w="561" w:type="pct"/>
            <w:tcBorders>
              <w:top w:val="nil"/>
              <w:left w:val="nil"/>
              <w:bottom w:val="single" w:sz="4" w:space="0" w:color="auto"/>
              <w:right w:val="nil"/>
            </w:tcBorders>
            <w:shd w:val="clear" w:color="auto" w:fill="auto"/>
            <w:noWrap/>
            <w:vAlign w:val="center"/>
          </w:tcPr>
          <w:p w14:paraId="3F2DCB00" w14:textId="1ADD6094" w:rsidR="00A811AC" w:rsidRPr="00244993" w:rsidRDefault="00A811AC" w:rsidP="00444FED">
            <w:pPr>
              <w:spacing w:line="360" w:lineRule="auto"/>
              <w:jc w:val="center"/>
              <w:rPr>
                <w:rFonts w:eastAsiaTheme="minorEastAsia"/>
                <w:lang w:val="en-US" w:eastAsia="zh-CN"/>
              </w:rPr>
            </w:pPr>
            <w:r w:rsidRPr="000C51C8">
              <w:rPr>
                <w:rFonts w:hint="eastAsia"/>
                <w:lang w:eastAsia="zh-CN"/>
              </w:rPr>
              <w:t>0</w:t>
            </w:r>
            <w:r w:rsidR="004F2186">
              <w:rPr>
                <w:lang w:val="en-US" w:eastAsia="zh-CN"/>
              </w:rPr>
              <w:t>,</w:t>
            </w:r>
            <w:r>
              <w:rPr>
                <w:lang w:val="en-US" w:eastAsia="zh-CN"/>
              </w:rPr>
              <w:t>7</w:t>
            </w:r>
            <w:r w:rsidR="00866FBE">
              <w:rPr>
                <w:lang w:val="en-US" w:eastAsia="zh-CN"/>
              </w:rPr>
              <w:t>75</w:t>
            </w:r>
            <w:r w:rsidRPr="000C51C8">
              <w:rPr>
                <w:vertAlign w:val="superscript"/>
                <w:lang w:val="en-US" w:eastAsia="zh-CN"/>
              </w:rPr>
              <w:t>ns</w:t>
            </w:r>
          </w:p>
        </w:tc>
      </w:tr>
    </w:tbl>
    <w:p w14:paraId="3465D2D9" w14:textId="77777777" w:rsidR="008E4D08" w:rsidRPr="00244993" w:rsidRDefault="008E4D08" w:rsidP="00444FED">
      <w:pPr>
        <w:pStyle w:val="ListParagraph"/>
        <w:spacing w:line="360" w:lineRule="auto"/>
        <w:ind w:left="360"/>
        <w:rPr>
          <w:rFonts w:eastAsiaTheme="minorEastAsia"/>
          <w:i/>
          <w:iCs/>
          <w:sz w:val="18"/>
          <w:szCs w:val="18"/>
          <w:lang w:val="en-US" w:eastAsia="zh-CN"/>
        </w:rPr>
      </w:pPr>
      <w:r w:rsidRPr="00673B17">
        <w:rPr>
          <w:sz w:val="18"/>
          <w:szCs w:val="18"/>
        </w:rPr>
        <w:t xml:space="preserve">Data ditampilkan dengan </w:t>
      </w:r>
      <w:r>
        <w:rPr>
          <w:sz w:val="18"/>
          <w:szCs w:val="18"/>
        </w:rPr>
        <w:t>median</w:t>
      </w:r>
      <w:r>
        <w:rPr>
          <w:sz w:val="18"/>
          <w:szCs w:val="18"/>
          <w:lang w:val="en-US"/>
        </w:rPr>
        <w:t xml:space="preserve"> (min-max)</w:t>
      </w:r>
      <w:r w:rsidRPr="00673B17">
        <w:rPr>
          <w:sz w:val="18"/>
          <w:szCs w:val="18"/>
        </w:rPr>
        <w:t xml:space="preserve">. </w:t>
      </w:r>
      <w:r w:rsidRPr="00673B17">
        <w:rPr>
          <w:sz w:val="18"/>
          <w:szCs w:val="18"/>
          <w:lang w:val="id-ID"/>
        </w:rPr>
        <w:t xml:space="preserve">Uji </w:t>
      </w:r>
      <w:r w:rsidRPr="00244993">
        <w:rPr>
          <w:i/>
          <w:iCs/>
          <w:sz w:val="18"/>
          <w:szCs w:val="18"/>
          <w:lang w:val="id-ID"/>
        </w:rPr>
        <w:t xml:space="preserve">Mann Whitney. </w:t>
      </w:r>
      <w:r w:rsidRPr="00244993">
        <w:rPr>
          <w:i/>
          <w:iCs/>
          <w:sz w:val="18"/>
          <w:szCs w:val="18"/>
        </w:rPr>
        <w:t>*</w:t>
      </w:r>
      <w:r w:rsidRPr="00244993">
        <w:rPr>
          <w:i/>
          <w:iCs/>
          <w:sz w:val="18"/>
          <w:szCs w:val="18"/>
          <w:lang w:val="en-US"/>
        </w:rPr>
        <w:t>significant</w:t>
      </w:r>
      <w:r>
        <w:rPr>
          <w:i/>
          <w:iCs/>
          <w:sz w:val="18"/>
          <w:szCs w:val="18"/>
          <w:lang w:val="en-US"/>
        </w:rPr>
        <w:t>; ns: not significant</w:t>
      </w:r>
    </w:p>
    <w:p w14:paraId="4156AF1D" w14:textId="77777777" w:rsidR="008E4D08" w:rsidRPr="00673B17" w:rsidRDefault="008E4D08" w:rsidP="00444FED">
      <w:pPr>
        <w:pStyle w:val="ListParagraph"/>
        <w:spacing w:line="360" w:lineRule="auto"/>
        <w:ind w:left="360"/>
        <w:rPr>
          <w:rFonts w:eastAsiaTheme="minorEastAsia"/>
          <w:lang w:val="en-US" w:eastAsia="zh-CN"/>
        </w:rPr>
      </w:pPr>
    </w:p>
    <w:p w14:paraId="3588D509" w14:textId="50844E3C" w:rsidR="008E4D08" w:rsidRPr="00673B17" w:rsidRDefault="008E4D08" w:rsidP="00CE23F9">
      <w:pPr>
        <w:spacing w:line="360" w:lineRule="auto"/>
        <w:ind w:firstLine="720"/>
        <w:jc w:val="both"/>
        <w:rPr>
          <w:rFonts w:eastAsiaTheme="minorEastAsia"/>
          <w:lang w:val="en-US" w:eastAsia="zh-CN"/>
        </w:rPr>
      </w:pPr>
      <w:r w:rsidRPr="00673B17">
        <w:rPr>
          <w:rFonts w:eastAsiaTheme="minorEastAsia"/>
          <w:lang w:val="en-US" w:eastAsia="zh-CN"/>
        </w:rPr>
        <w:t xml:space="preserve">Pada </w:t>
      </w:r>
      <w:proofErr w:type="spellStart"/>
      <w:r>
        <w:rPr>
          <w:rFonts w:eastAsiaTheme="minorEastAsia"/>
          <w:lang w:val="en-US" w:eastAsia="zh-CN"/>
        </w:rPr>
        <w:t>perbandingan</w:t>
      </w:r>
      <w:proofErr w:type="spellEnd"/>
      <w:r>
        <w:rPr>
          <w:rFonts w:eastAsiaTheme="minorEastAsia"/>
          <w:lang w:val="en-US" w:eastAsia="zh-CN"/>
        </w:rPr>
        <w:t xml:space="preserve"> </w:t>
      </w:r>
      <w:r w:rsidR="00A811AC">
        <w:rPr>
          <w:rFonts w:eastAsiaTheme="minorEastAsia"/>
          <w:lang w:val="en-US" w:eastAsia="zh-CN"/>
        </w:rPr>
        <w:t>NRS</w:t>
      </w:r>
      <w:r>
        <w:rPr>
          <w:rFonts w:eastAsiaTheme="minorEastAsia"/>
          <w:lang w:val="en-US" w:eastAsia="zh-CN"/>
        </w:rPr>
        <w:t xml:space="preserve"> p</w:t>
      </w:r>
      <w:r w:rsidRPr="00673B17">
        <w:rPr>
          <w:rFonts w:eastAsiaTheme="minorEastAsia"/>
          <w:lang w:val="en-US" w:eastAsia="zh-CN"/>
        </w:rPr>
        <w:t xml:space="preserve">ada </w:t>
      </w:r>
      <w:proofErr w:type="spellStart"/>
      <w:r w:rsidRPr="00673B17">
        <w:rPr>
          <w:rFonts w:eastAsiaTheme="minorEastAsia"/>
          <w:lang w:val="en-US" w:eastAsia="zh-CN"/>
        </w:rPr>
        <w:t>kedua</w:t>
      </w:r>
      <w:proofErr w:type="spellEnd"/>
      <w:r w:rsidRPr="00673B17">
        <w:rPr>
          <w:rFonts w:eastAsiaTheme="minorEastAsia"/>
          <w:lang w:val="en-US" w:eastAsia="zh-CN"/>
        </w:rPr>
        <w:t xml:space="preserve"> </w:t>
      </w:r>
      <w:proofErr w:type="spellStart"/>
      <w:r w:rsidRPr="00673B17">
        <w:rPr>
          <w:rFonts w:eastAsiaTheme="minorEastAsia"/>
          <w:lang w:val="en-US" w:eastAsia="zh-CN"/>
        </w:rPr>
        <w:t>kelompok</w:t>
      </w:r>
      <w:proofErr w:type="spellEnd"/>
      <w:r w:rsidRPr="00673B17">
        <w:rPr>
          <w:rFonts w:eastAsiaTheme="minorEastAsia"/>
          <w:lang w:val="en-US" w:eastAsia="zh-CN"/>
        </w:rPr>
        <w:t xml:space="preserve"> </w:t>
      </w:r>
      <w:proofErr w:type="spellStart"/>
      <w:r w:rsidR="00A811AC">
        <w:rPr>
          <w:lang w:val="en-US"/>
        </w:rPr>
        <w:t>intervensi</w:t>
      </w:r>
      <w:proofErr w:type="spellEnd"/>
      <w:r w:rsidR="00A811AC">
        <w:rPr>
          <w:lang w:val="en-US"/>
        </w:rPr>
        <w:t xml:space="preserve"> dan </w:t>
      </w:r>
      <w:proofErr w:type="spellStart"/>
      <w:r w:rsidR="00A811AC">
        <w:rPr>
          <w:lang w:val="en-US"/>
        </w:rPr>
        <w:t>kontrol</w:t>
      </w:r>
      <w:proofErr w:type="spellEnd"/>
      <w:r w:rsidRPr="008E57B8">
        <w:t xml:space="preserve"> </w:t>
      </w:r>
      <w:bookmarkStart w:id="127" w:name="_Hlk158211814"/>
      <w:proofErr w:type="spellStart"/>
      <w:r w:rsidR="007E4C1E">
        <w:rPr>
          <w:lang w:val="en-US"/>
        </w:rPr>
        <w:t>terdapat</w:t>
      </w:r>
      <w:proofErr w:type="spellEnd"/>
      <w:r w:rsidR="007E4C1E">
        <w:rPr>
          <w:lang w:val="en-US"/>
        </w:rPr>
        <w:t xml:space="preserve"> </w:t>
      </w:r>
      <w:proofErr w:type="spellStart"/>
      <w:r w:rsidR="007E4C1E" w:rsidRPr="00CE23F9">
        <w:rPr>
          <w:rFonts w:eastAsiaTheme="minorEastAsia"/>
          <w:lang w:val="en-US" w:eastAsia="zh-CN"/>
        </w:rPr>
        <w:t>perbedaan</w:t>
      </w:r>
      <w:proofErr w:type="spellEnd"/>
      <w:r w:rsidR="007E4C1E">
        <w:rPr>
          <w:lang w:val="en-US"/>
        </w:rPr>
        <w:t xml:space="preserve"> yang </w:t>
      </w:r>
      <w:proofErr w:type="spellStart"/>
      <w:r w:rsidR="007E4C1E">
        <w:rPr>
          <w:lang w:val="en-US"/>
        </w:rPr>
        <w:t>bermakna</w:t>
      </w:r>
      <w:proofErr w:type="spellEnd"/>
      <w:r w:rsidR="007E4C1E">
        <w:rPr>
          <w:lang w:val="en-US"/>
        </w:rPr>
        <w:t xml:space="preserve"> </w:t>
      </w:r>
      <w:proofErr w:type="spellStart"/>
      <w:r w:rsidR="007E4C1E">
        <w:rPr>
          <w:lang w:val="en-US"/>
        </w:rPr>
        <w:t>antara</w:t>
      </w:r>
      <w:proofErr w:type="spellEnd"/>
      <w:r w:rsidR="007E4C1E">
        <w:rPr>
          <w:lang w:val="en-US"/>
        </w:rPr>
        <w:t xml:space="preserve"> </w:t>
      </w:r>
      <w:proofErr w:type="spellStart"/>
      <w:r w:rsidR="007E4C1E">
        <w:rPr>
          <w:lang w:val="en-US"/>
        </w:rPr>
        <w:t>perbandingan</w:t>
      </w:r>
      <w:proofErr w:type="spellEnd"/>
      <w:r w:rsidR="007E4C1E">
        <w:rPr>
          <w:lang w:val="en-US"/>
        </w:rPr>
        <w:t xml:space="preserve"> NRS 2, 4, 6, </w:t>
      </w:r>
      <w:proofErr w:type="spellStart"/>
      <w:r w:rsidR="007E4C1E">
        <w:rPr>
          <w:lang w:val="en-US"/>
        </w:rPr>
        <w:t>hingga</w:t>
      </w:r>
      <w:proofErr w:type="spellEnd"/>
      <w:r w:rsidR="007E4C1E">
        <w:rPr>
          <w:lang w:val="en-US"/>
        </w:rPr>
        <w:t xml:space="preserve"> 8 jam pada </w:t>
      </w:r>
      <w:proofErr w:type="spellStart"/>
      <w:r w:rsidR="007E4C1E">
        <w:rPr>
          <w:lang w:val="en-US"/>
        </w:rPr>
        <w:t>kedua</w:t>
      </w:r>
      <w:proofErr w:type="spellEnd"/>
      <w:r w:rsidR="007E4C1E">
        <w:rPr>
          <w:lang w:val="en-US"/>
        </w:rPr>
        <w:t xml:space="preserve"> </w:t>
      </w:r>
      <w:proofErr w:type="spellStart"/>
      <w:r w:rsidR="007E4C1E">
        <w:rPr>
          <w:lang w:val="en-US"/>
        </w:rPr>
        <w:t>kelompok</w:t>
      </w:r>
      <w:proofErr w:type="spellEnd"/>
      <w:r w:rsidR="00CE23F9">
        <w:rPr>
          <w:lang w:val="id-ID"/>
        </w:rPr>
        <w:t>,</w:t>
      </w:r>
      <w:r w:rsidR="007E4C1E">
        <w:rPr>
          <w:lang w:val="en-US"/>
        </w:rPr>
        <w:t xml:space="preserve"> </w:t>
      </w:r>
      <w:r w:rsidR="00CE23F9">
        <w:rPr>
          <w:lang w:val="id-ID"/>
        </w:rPr>
        <w:t>namun t</w:t>
      </w:r>
      <w:proofErr w:type="spellStart"/>
      <w:r>
        <w:rPr>
          <w:lang w:val="en-US"/>
        </w:rPr>
        <w:t>idak</w:t>
      </w:r>
      <w:proofErr w:type="spellEnd"/>
      <w:r>
        <w:rPr>
          <w:lang w:val="en-US"/>
        </w:rPr>
        <w:t xml:space="preserve"> </w:t>
      </w:r>
      <w:proofErr w:type="spellStart"/>
      <w:r w:rsidRPr="00673B17">
        <w:rPr>
          <w:rFonts w:eastAsiaTheme="minorEastAsia"/>
          <w:lang w:val="en-US" w:eastAsia="zh-CN"/>
        </w:rPr>
        <w:t>ditemukan</w:t>
      </w:r>
      <w:proofErr w:type="spellEnd"/>
      <w:r w:rsidRPr="00673B17">
        <w:rPr>
          <w:rFonts w:eastAsiaTheme="minorEastAsia"/>
          <w:lang w:val="en-US" w:eastAsia="zh-CN"/>
        </w:rPr>
        <w:t xml:space="preserve"> </w:t>
      </w:r>
      <w:proofErr w:type="spellStart"/>
      <w:r w:rsidRPr="00673B17">
        <w:rPr>
          <w:rFonts w:eastAsiaTheme="minorEastAsia"/>
          <w:lang w:val="en-US" w:eastAsia="zh-CN"/>
        </w:rPr>
        <w:t>perbedaan</w:t>
      </w:r>
      <w:proofErr w:type="spellEnd"/>
      <w:r w:rsidRPr="00673B17">
        <w:rPr>
          <w:rFonts w:eastAsiaTheme="minorEastAsia"/>
          <w:lang w:val="en-US" w:eastAsia="zh-CN"/>
        </w:rPr>
        <w:t xml:space="preserve"> yang </w:t>
      </w:r>
      <w:proofErr w:type="spellStart"/>
      <w:r w:rsidRPr="00673B17">
        <w:rPr>
          <w:rFonts w:eastAsiaTheme="minorEastAsia"/>
          <w:lang w:val="en-US" w:eastAsia="zh-CN"/>
        </w:rPr>
        <w:t>bermakna</w:t>
      </w:r>
      <w:proofErr w:type="spellEnd"/>
      <w:r w:rsidRPr="00673B17">
        <w:rPr>
          <w:rFonts w:eastAsiaTheme="minorEastAsia"/>
          <w:lang w:val="en-US" w:eastAsia="zh-CN"/>
        </w:rPr>
        <w:t xml:space="preserve"> pada </w:t>
      </w:r>
      <w:proofErr w:type="spellStart"/>
      <w:r>
        <w:rPr>
          <w:rFonts w:eastAsiaTheme="minorEastAsia"/>
          <w:lang w:val="en-US" w:eastAsia="zh-CN"/>
        </w:rPr>
        <w:t>kedua</w:t>
      </w:r>
      <w:proofErr w:type="spellEnd"/>
      <w:r>
        <w:rPr>
          <w:rFonts w:eastAsiaTheme="minorEastAsia"/>
          <w:lang w:val="en-US" w:eastAsia="zh-CN"/>
        </w:rPr>
        <w:t xml:space="preserve"> </w:t>
      </w:r>
      <w:proofErr w:type="spellStart"/>
      <w:r>
        <w:rPr>
          <w:rFonts w:eastAsiaTheme="minorEastAsia"/>
          <w:lang w:val="en-US" w:eastAsia="zh-CN"/>
        </w:rPr>
        <w:t>kelompok</w:t>
      </w:r>
      <w:proofErr w:type="spellEnd"/>
      <w:r>
        <w:rPr>
          <w:rFonts w:eastAsiaTheme="minorEastAsia"/>
          <w:lang w:val="en-US" w:eastAsia="zh-CN"/>
        </w:rPr>
        <w:t xml:space="preserve"> pada </w:t>
      </w:r>
      <w:proofErr w:type="spellStart"/>
      <w:r>
        <w:rPr>
          <w:rFonts w:eastAsiaTheme="minorEastAsia"/>
          <w:lang w:val="en-US" w:eastAsia="zh-CN"/>
        </w:rPr>
        <w:t>pengukuran</w:t>
      </w:r>
      <w:proofErr w:type="spellEnd"/>
      <w:r>
        <w:rPr>
          <w:rFonts w:eastAsiaTheme="minorEastAsia"/>
          <w:lang w:val="en-US" w:eastAsia="zh-CN"/>
        </w:rPr>
        <w:t xml:space="preserve"> </w:t>
      </w:r>
      <w:r w:rsidR="007E4C1E">
        <w:rPr>
          <w:rFonts w:eastAsiaTheme="minorEastAsia"/>
          <w:lang w:val="en-US" w:eastAsia="zh-CN"/>
        </w:rPr>
        <w:t xml:space="preserve">NRS </w:t>
      </w:r>
      <w:r w:rsidR="00DD016B">
        <w:rPr>
          <w:rFonts w:eastAsiaTheme="minorEastAsia"/>
          <w:lang w:val="id-ID" w:eastAsia="zh-CN"/>
        </w:rPr>
        <w:t>12</w:t>
      </w:r>
      <w:r w:rsidR="007E4C1E">
        <w:rPr>
          <w:rFonts w:eastAsiaTheme="minorEastAsia"/>
          <w:lang w:val="en-US" w:eastAsia="zh-CN"/>
        </w:rPr>
        <w:t xml:space="preserve"> dan 2</w:t>
      </w:r>
      <w:r w:rsidR="00DD016B">
        <w:rPr>
          <w:rFonts w:eastAsiaTheme="minorEastAsia"/>
          <w:lang w:val="id-ID" w:eastAsia="zh-CN"/>
        </w:rPr>
        <w:t>4</w:t>
      </w:r>
      <w:r w:rsidR="007E4C1E">
        <w:rPr>
          <w:rFonts w:eastAsiaTheme="minorEastAsia"/>
          <w:lang w:val="en-US" w:eastAsia="zh-CN"/>
        </w:rPr>
        <w:t xml:space="preserve"> jam </w:t>
      </w:r>
      <w:proofErr w:type="spellStart"/>
      <w:r w:rsidR="007E4C1E">
        <w:rPr>
          <w:rFonts w:eastAsiaTheme="minorEastAsia"/>
          <w:lang w:val="en-US" w:eastAsia="zh-CN"/>
        </w:rPr>
        <w:t>pascabedah</w:t>
      </w:r>
      <w:bookmarkEnd w:id="127"/>
      <w:proofErr w:type="spellEnd"/>
      <w:r w:rsidRPr="00673B17">
        <w:rPr>
          <w:rFonts w:eastAsiaTheme="minorEastAsia"/>
          <w:lang w:val="en-US" w:eastAsia="zh-CN"/>
        </w:rPr>
        <w:t>.</w:t>
      </w:r>
    </w:p>
    <w:p w14:paraId="020BD867" w14:textId="77777777" w:rsidR="008E4D08" w:rsidRDefault="008E4D08" w:rsidP="00444FED">
      <w:pPr>
        <w:pStyle w:val="ListParagraph"/>
        <w:spacing w:line="360" w:lineRule="auto"/>
        <w:ind w:left="360"/>
        <w:rPr>
          <w:rFonts w:eastAsiaTheme="minorEastAsia"/>
          <w:lang w:val="en-US" w:eastAsia="zh-CN"/>
        </w:rPr>
      </w:pPr>
    </w:p>
    <w:p w14:paraId="15CDC17D" w14:textId="77777777" w:rsidR="000A4CBF" w:rsidRDefault="000A4CBF" w:rsidP="00444FED">
      <w:pPr>
        <w:pStyle w:val="ListParagraph"/>
        <w:spacing w:line="360" w:lineRule="auto"/>
        <w:ind w:left="360"/>
        <w:rPr>
          <w:rFonts w:eastAsiaTheme="minorEastAsia"/>
          <w:lang w:val="en-US" w:eastAsia="zh-CN"/>
        </w:rPr>
      </w:pPr>
    </w:p>
    <w:p w14:paraId="26F6FE1E" w14:textId="77777777" w:rsidR="000A4CBF" w:rsidRDefault="000A4CBF" w:rsidP="00444FED">
      <w:pPr>
        <w:pStyle w:val="ListParagraph"/>
        <w:spacing w:line="360" w:lineRule="auto"/>
        <w:ind w:left="360"/>
        <w:rPr>
          <w:rFonts w:eastAsiaTheme="minorEastAsia"/>
          <w:lang w:val="en-US" w:eastAsia="zh-CN"/>
        </w:rPr>
      </w:pPr>
    </w:p>
    <w:p w14:paraId="76361320" w14:textId="77777777" w:rsidR="000A4CBF" w:rsidRPr="00673B17" w:rsidRDefault="000A4CBF" w:rsidP="00444FED">
      <w:pPr>
        <w:pStyle w:val="ListParagraph"/>
        <w:spacing w:line="360" w:lineRule="auto"/>
        <w:ind w:left="360"/>
        <w:rPr>
          <w:rFonts w:eastAsiaTheme="minorEastAsia"/>
          <w:lang w:val="en-US" w:eastAsia="zh-CN"/>
        </w:rPr>
      </w:pPr>
    </w:p>
    <w:p w14:paraId="1B7990DB" w14:textId="018A6AC9" w:rsidR="008E4D08" w:rsidRPr="00963EB4" w:rsidRDefault="00F048EC" w:rsidP="00F048EC">
      <w:pPr>
        <w:autoSpaceDE w:val="0"/>
        <w:autoSpaceDN w:val="0"/>
        <w:adjustRightInd w:val="0"/>
        <w:jc w:val="center"/>
        <w:rPr>
          <w:rFonts w:eastAsiaTheme="minorEastAsia"/>
          <w:lang w:val="en-US" w:eastAsia="en-ID"/>
        </w:rPr>
      </w:pPr>
      <w:r>
        <w:rPr>
          <w:rFonts w:eastAsiaTheme="minorEastAsia"/>
          <w:noProof/>
          <w:lang w:val="en-US" w:eastAsia="en-ID"/>
        </w:rPr>
        <w:drawing>
          <wp:inline distT="0" distB="0" distL="0" distR="0" wp14:anchorId="104BA2A8" wp14:editId="3F2740C6">
            <wp:extent cx="3593429" cy="2308958"/>
            <wp:effectExtent l="0" t="0" r="7620" b="0"/>
            <wp:docPr id="2258083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t="6163" r="14029"/>
                    <a:stretch/>
                  </pic:blipFill>
                  <pic:spPr bwMode="auto">
                    <a:xfrm>
                      <a:off x="0" y="0"/>
                      <a:ext cx="3606348" cy="2317259"/>
                    </a:xfrm>
                    <a:prstGeom prst="rect">
                      <a:avLst/>
                    </a:prstGeom>
                    <a:noFill/>
                    <a:ln>
                      <a:noFill/>
                    </a:ln>
                    <a:extLst>
                      <a:ext uri="{53640926-AAD7-44D8-BBD7-CCE9431645EC}">
                        <a14:shadowObscured xmlns:a14="http://schemas.microsoft.com/office/drawing/2010/main"/>
                      </a:ext>
                    </a:extLst>
                  </pic:spPr>
                </pic:pic>
              </a:graphicData>
            </a:graphic>
          </wp:inline>
        </w:drawing>
      </w:r>
    </w:p>
    <w:p w14:paraId="21B6E633" w14:textId="1290A5BB" w:rsidR="008E4D08" w:rsidRPr="00CE23F9" w:rsidRDefault="00CE23F9" w:rsidP="00CE23F9">
      <w:pPr>
        <w:pStyle w:val="Caption"/>
        <w:ind w:left="1134" w:hanging="1134"/>
        <w:jc w:val="both"/>
        <w:rPr>
          <w:rFonts w:eastAsiaTheme="minorEastAsia"/>
          <w:b/>
          <w:bCs/>
          <w:i w:val="0"/>
          <w:iCs w:val="0"/>
          <w:color w:val="auto"/>
          <w:sz w:val="24"/>
          <w:szCs w:val="24"/>
          <w:lang w:val="id-ID" w:eastAsia="zh-CN"/>
        </w:rPr>
      </w:pPr>
      <w:r w:rsidRPr="00CE23F9">
        <w:rPr>
          <w:i w:val="0"/>
          <w:iCs w:val="0"/>
          <w:color w:val="auto"/>
          <w:sz w:val="24"/>
          <w:szCs w:val="24"/>
        </w:rPr>
        <w:t xml:space="preserve">Gambar </w:t>
      </w:r>
      <w:r w:rsidRPr="00CE23F9">
        <w:rPr>
          <w:i w:val="0"/>
          <w:iCs w:val="0"/>
          <w:color w:val="auto"/>
          <w:sz w:val="24"/>
          <w:szCs w:val="24"/>
        </w:rPr>
        <w:fldChar w:fldCharType="begin"/>
      </w:r>
      <w:r w:rsidRPr="00CE23F9">
        <w:rPr>
          <w:i w:val="0"/>
          <w:iCs w:val="0"/>
          <w:color w:val="auto"/>
          <w:sz w:val="24"/>
          <w:szCs w:val="24"/>
        </w:rPr>
        <w:instrText xml:space="preserve"> SEQ Gambar \* ARABIC </w:instrText>
      </w:r>
      <w:r w:rsidRPr="00CE23F9">
        <w:rPr>
          <w:i w:val="0"/>
          <w:iCs w:val="0"/>
          <w:color w:val="auto"/>
          <w:sz w:val="24"/>
          <w:szCs w:val="24"/>
        </w:rPr>
        <w:fldChar w:fldCharType="separate"/>
      </w:r>
      <w:r w:rsidR="00D671E3">
        <w:rPr>
          <w:i w:val="0"/>
          <w:iCs w:val="0"/>
          <w:noProof/>
          <w:color w:val="auto"/>
          <w:sz w:val="24"/>
          <w:szCs w:val="24"/>
        </w:rPr>
        <w:t>11</w:t>
      </w:r>
      <w:r w:rsidRPr="00CE23F9">
        <w:rPr>
          <w:i w:val="0"/>
          <w:iCs w:val="0"/>
          <w:color w:val="auto"/>
          <w:sz w:val="24"/>
          <w:szCs w:val="24"/>
        </w:rPr>
        <w:fldChar w:fldCharType="end"/>
      </w:r>
      <w:r w:rsidRPr="00CE23F9">
        <w:rPr>
          <w:i w:val="0"/>
          <w:iCs w:val="0"/>
          <w:color w:val="auto"/>
          <w:sz w:val="24"/>
          <w:szCs w:val="24"/>
          <w:lang w:val="id-ID"/>
        </w:rPr>
        <w:t>. Perbandingan NRS Pada Kelompok Intervensi dan Kontrol Pascabedah Tonsilektomi</w:t>
      </w:r>
    </w:p>
    <w:p w14:paraId="00A9E555" w14:textId="1E761526" w:rsidR="008E4D08" w:rsidRPr="00CE23F9" w:rsidRDefault="008E4D08" w:rsidP="00CE23F9">
      <w:pPr>
        <w:spacing w:line="360" w:lineRule="auto"/>
        <w:ind w:firstLine="540"/>
        <w:jc w:val="both"/>
        <w:rPr>
          <w:rFonts w:eastAsiaTheme="minorEastAsia"/>
          <w:lang w:val="id-ID"/>
        </w:rPr>
      </w:pPr>
      <w:r w:rsidRPr="00CE23F9">
        <w:rPr>
          <w:rFonts w:eastAsiaTheme="minorEastAsia"/>
          <w:lang w:val="id-ID" w:eastAsia="zh-CN"/>
        </w:rPr>
        <w:t>Gambar 1</w:t>
      </w:r>
      <w:r w:rsidR="00F048EC" w:rsidRPr="00CE23F9">
        <w:rPr>
          <w:rFonts w:eastAsiaTheme="minorEastAsia"/>
          <w:lang w:val="en-US" w:eastAsia="zh-CN"/>
        </w:rPr>
        <w:t>1</w:t>
      </w:r>
      <w:r w:rsidRPr="00CE23F9">
        <w:rPr>
          <w:rFonts w:eastAsiaTheme="minorEastAsia"/>
          <w:lang w:val="id-ID" w:eastAsia="zh-CN"/>
        </w:rPr>
        <w:t xml:space="preserve"> </w:t>
      </w:r>
      <w:r w:rsidRPr="00CE23F9">
        <w:rPr>
          <w:rFonts w:eastAsiaTheme="minorEastAsia"/>
          <w:lang w:eastAsia="zh-CN"/>
        </w:rPr>
        <w:t>menunjukkan</w:t>
      </w:r>
      <w:r w:rsidRPr="00CE23F9">
        <w:rPr>
          <w:rFonts w:eastAsiaTheme="minorEastAsia"/>
          <w:lang w:val="id-ID" w:eastAsia="zh-CN"/>
        </w:rPr>
        <w:t xml:space="preserve"> </w:t>
      </w:r>
      <w:r w:rsidRPr="00CE23F9">
        <w:rPr>
          <w:lang w:val="id-ID"/>
        </w:rPr>
        <w:t>bahwa</w:t>
      </w:r>
      <w:r w:rsidRPr="00CE23F9">
        <w:rPr>
          <w:rFonts w:eastAsiaTheme="minorEastAsia"/>
          <w:lang w:val="id-ID" w:eastAsia="zh-CN"/>
        </w:rPr>
        <w:t xml:space="preserve"> </w:t>
      </w:r>
      <w:bookmarkStart w:id="128" w:name="_Hlk158211834"/>
      <w:r w:rsidR="00CE23F9">
        <w:rPr>
          <w:rFonts w:eastAsiaTheme="minorEastAsia"/>
          <w:lang w:val="id-ID" w:eastAsia="zh-CN"/>
        </w:rPr>
        <w:t>t</w:t>
      </w:r>
      <w:proofErr w:type="spellStart"/>
      <w:r w:rsidR="00F048EC" w:rsidRPr="00CE23F9">
        <w:rPr>
          <w:rFonts w:eastAsiaTheme="minorEastAsia"/>
          <w:lang w:val="en-US" w:eastAsia="zh-CN"/>
        </w:rPr>
        <w:t>ingkat</w:t>
      </w:r>
      <w:proofErr w:type="spellEnd"/>
      <w:r w:rsidR="00F048EC" w:rsidRPr="00CE23F9">
        <w:rPr>
          <w:rFonts w:eastAsiaTheme="minorEastAsia"/>
          <w:lang w:val="en-US" w:eastAsia="zh-CN"/>
        </w:rPr>
        <w:t xml:space="preserve"> NRS pada </w:t>
      </w:r>
      <w:proofErr w:type="spellStart"/>
      <w:r w:rsidR="00F048EC" w:rsidRPr="00CE23F9">
        <w:rPr>
          <w:rFonts w:eastAsiaTheme="minorEastAsia"/>
          <w:lang w:val="en-US" w:eastAsia="zh-CN"/>
        </w:rPr>
        <w:t>kelompok</w:t>
      </w:r>
      <w:proofErr w:type="spellEnd"/>
      <w:r w:rsidR="00F048EC" w:rsidRPr="00CE23F9">
        <w:rPr>
          <w:rFonts w:eastAsiaTheme="minorEastAsia"/>
          <w:lang w:val="en-US" w:eastAsia="zh-CN"/>
        </w:rPr>
        <w:t xml:space="preserve"> </w:t>
      </w:r>
      <w:proofErr w:type="spellStart"/>
      <w:r w:rsidR="00F048EC" w:rsidRPr="00CE23F9">
        <w:rPr>
          <w:rFonts w:eastAsiaTheme="minorEastAsia"/>
          <w:lang w:val="en-US" w:eastAsia="zh-CN"/>
        </w:rPr>
        <w:t>kontrol</w:t>
      </w:r>
      <w:proofErr w:type="spellEnd"/>
      <w:r w:rsidR="00F048EC" w:rsidRPr="00CE23F9">
        <w:rPr>
          <w:rFonts w:eastAsiaTheme="minorEastAsia"/>
          <w:lang w:val="en-US" w:eastAsia="zh-CN"/>
        </w:rPr>
        <w:t xml:space="preserve"> </w:t>
      </w:r>
      <w:proofErr w:type="spellStart"/>
      <w:r w:rsidR="00F048EC" w:rsidRPr="00CE23F9">
        <w:rPr>
          <w:rFonts w:eastAsiaTheme="minorEastAsia"/>
          <w:lang w:val="en-US" w:eastAsia="zh-CN"/>
        </w:rPr>
        <w:t>lebih</w:t>
      </w:r>
      <w:proofErr w:type="spellEnd"/>
      <w:r w:rsidR="00F048EC" w:rsidRPr="00CE23F9">
        <w:rPr>
          <w:rFonts w:eastAsiaTheme="minorEastAsia"/>
          <w:lang w:val="en-US" w:eastAsia="zh-CN"/>
        </w:rPr>
        <w:t xml:space="preserve"> </w:t>
      </w:r>
      <w:proofErr w:type="spellStart"/>
      <w:r w:rsidR="00F048EC" w:rsidRPr="00CE23F9">
        <w:rPr>
          <w:rFonts w:eastAsiaTheme="minorEastAsia"/>
          <w:lang w:val="en-US" w:eastAsia="zh-CN"/>
        </w:rPr>
        <w:t>tinggi</w:t>
      </w:r>
      <w:proofErr w:type="spellEnd"/>
      <w:r w:rsidR="00F048EC" w:rsidRPr="00CE23F9">
        <w:rPr>
          <w:rFonts w:eastAsiaTheme="minorEastAsia"/>
          <w:lang w:val="en-US" w:eastAsia="zh-CN"/>
        </w:rPr>
        <w:t xml:space="preserve"> pada </w:t>
      </w:r>
      <w:proofErr w:type="spellStart"/>
      <w:r w:rsidR="00F048EC" w:rsidRPr="00CE23F9">
        <w:rPr>
          <w:rFonts w:eastAsiaTheme="minorEastAsia"/>
          <w:lang w:val="en-US" w:eastAsia="zh-CN"/>
        </w:rPr>
        <w:t>kelompok</w:t>
      </w:r>
      <w:proofErr w:type="spellEnd"/>
      <w:r w:rsidR="00F048EC" w:rsidRPr="00CE23F9">
        <w:rPr>
          <w:rFonts w:eastAsiaTheme="minorEastAsia"/>
          <w:lang w:val="en-US" w:eastAsia="zh-CN"/>
        </w:rPr>
        <w:t xml:space="preserve"> </w:t>
      </w:r>
      <w:proofErr w:type="spellStart"/>
      <w:r w:rsidR="00F048EC" w:rsidRPr="00CE23F9">
        <w:rPr>
          <w:rFonts w:eastAsiaTheme="minorEastAsia"/>
          <w:lang w:val="en-US" w:eastAsia="zh-CN"/>
        </w:rPr>
        <w:t>intervensi</w:t>
      </w:r>
      <w:proofErr w:type="spellEnd"/>
      <w:r w:rsidR="00F048EC" w:rsidRPr="00CE23F9">
        <w:rPr>
          <w:rFonts w:eastAsiaTheme="minorEastAsia"/>
          <w:lang w:val="en-US" w:eastAsia="zh-CN"/>
        </w:rPr>
        <w:t xml:space="preserve"> </w:t>
      </w:r>
      <w:proofErr w:type="spellStart"/>
      <w:r w:rsidR="00F048EC" w:rsidRPr="00CE23F9">
        <w:rPr>
          <w:rFonts w:eastAsiaTheme="minorEastAsia"/>
          <w:lang w:val="en-US" w:eastAsia="zh-CN"/>
        </w:rPr>
        <w:t>pascabedah</w:t>
      </w:r>
      <w:proofErr w:type="spellEnd"/>
      <w:r w:rsidR="00F048EC" w:rsidRPr="00CE23F9">
        <w:rPr>
          <w:rFonts w:eastAsiaTheme="minorEastAsia"/>
          <w:lang w:val="en-US" w:eastAsia="zh-CN"/>
        </w:rPr>
        <w:t xml:space="preserve"> </w:t>
      </w:r>
      <w:proofErr w:type="spellStart"/>
      <w:r w:rsidR="00F048EC" w:rsidRPr="00CE23F9">
        <w:rPr>
          <w:rFonts w:eastAsiaTheme="minorEastAsia"/>
          <w:lang w:val="en-US" w:eastAsia="zh-CN"/>
        </w:rPr>
        <w:t>tonsilektomi</w:t>
      </w:r>
      <w:proofErr w:type="spellEnd"/>
      <w:r w:rsidRPr="00CE23F9">
        <w:rPr>
          <w:rFonts w:eastAsiaTheme="minorEastAsia"/>
          <w:lang w:val="id-ID" w:eastAsia="zh-CN"/>
        </w:rPr>
        <w:t>.</w:t>
      </w:r>
      <w:bookmarkEnd w:id="128"/>
    </w:p>
    <w:p w14:paraId="4FA76AB9" w14:textId="77777777" w:rsidR="008E4D08" w:rsidRDefault="008E4D08" w:rsidP="004A3124">
      <w:pPr>
        <w:pStyle w:val="ListParagraph"/>
        <w:rPr>
          <w:b/>
          <w:bCs/>
          <w:lang w:val="en-US" w:eastAsia="zh-CN"/>
        </w:rPr>
      </w:pPr>
    </w:p>
    <w:p w14:paraId="2F45A821" w14:textId="064AEBFE" w:rsidR="000D07BE" w:rsidRDefault="00CE23F9" w:rsidP="004F2186">
      <w:pPr>
        <w:pStyle w:val="Heading3"/>
        <w:rPr>
          <w:lang w:val="en-US" w:eastAsia="zh-CN"/>
        </w:rPr>
      </w:pPr>
      <w:bookmarkStart w:id="129" w:name="_Toc158290298"/>
      <w:r>
        <w:rPr>
          <w:lang w:val="id-ID" w:eastAsia="zh-CN"/>
        </w:rPr>
        <w:lastRenderedPageBreak/>
        <w:t>6.2.2</w:t>
      </w:r>
      <w:r>
        <w:rPr>
          <w:lang w:val="id-ID" w:eastAsia="zh-CN"/>
        </w:rPr>
        <w:tab/>
        <w:t>K</w:t>
      </w:r>
      <w:proofErr w:type="spellStart"/>
      <w:r>
        <w:rPr>
          <w:lang w:val="en-US" w:eastAsia="zh-CN"/>
        </w:rPr>
        <w:t>ebutuhan</w:t>
      </w:r>
      <w:proofErr w:type="spellEnd"/>
      <w:r>
        <w:rPr>
          <w:lang w:val="en-US" w:eastAsia="zh-CN"/>
        </w:rPr>
        <w:t xml:space="preserve"> </w:t>
      </w:r>
      <w:r w:rsidR="00D72FD9">
        <w:rPr>
          <w:lang w:val="en-US" w:eastAsia="zh-CN"/>
        </w:rPr>
        <w:t xml:space="preserve">Rescue Opioid dan </w:t>
      </w:r>
      <w:proofErr w:type="spellStart"/>
      <w:r w:rsidR="00D72FD9">
        <w:rPr>
          <w:lang w:val="en-US" w:eastAsia="zh-CN"/>
        </w:rPr>
        <w:t>Efek</w:t>
      </w:r>
      <w:proofErr w:type="spellEnd"/>
      <w:r w:rsidR="00D72FD9">
        <w:rPr>
          <w:lang w:val="en-US" w:eastAsia="zh-CN"/>
        </w:rPr>
        <w:t xml:space="preserve"> </w:t>
      </w:r>
      <w:proofErr w:type="spellStart"/>
      <w:r w:rsidR="00D72FD9">
        <w:rPr>
          <w:lang w:val="en-US" w:eastAsia="zh-CN"/>
        </w:rPr>
        <w:t>Samping</w:t>
      </w:r>
      <w:bookmarkEnd w:id="129"/>
      <w:proofErr w:type="spellEnd"/>
    </w:p>
    <w:p w14:paraId="64FC2A90" w14:textId="1BB3E688" w:rsidR="004A3124" w:rsidRPr="00D72FD9" w:rsidRDefault="004A3124" w:rsidP="00CE23F9">
      <w:pPr>
        <w:spacing w:line="360" w:lineRule="auto"/>
        <w:ind w:firstLine="709"/>
        <w:jc w:val="both"/>
        <w:rPr>
          <w:lang w:val="en-US" w:eastAsia="zh-CN"/>
        </w:rPr>
      </w:pPr>
      <w:bookmarkStart w:id="130" w:name="_Hlk158211935"/>
      <w:r w:rsidRPr="00CE23F9">
        <w:rPr>
          <w:lang w:val="en-US" w:eastAsia="zh-CN"/>
        </w:rPr>
        <w:t xml:space="preserve">Pada </w:t>
      </w:r>
      <w:proofErr w:type="spellStart"/>
      <w:r w:rsidRPr="00CE23F9">
        <w:rPr>
          <w:lang w:val="en-US" w:eastAsia="zh-CN"/>
        </w:rPr>
        <w:t>penelitian</w:t>
      </w:r>
      <w:proofErr w:type="spellEnd"/>
      <w:r w:rsidRPr="00CE23F9">
        <w:rPr>
          <w:lang w:val="en-US" w:eastAsia="zh-CN"/>
        </w:rPr>
        <w:t xml:space="preserve"> </w:t>
      </w:r>
      <w:r w:rsidR="00CE23F9">
        <w:rPr>
          <w:lang w:val="id-ID" w:eastAsia="zh-CN"/>
        </w:rPr>
        <w:t>ini, baik</w:t>
      </w:r>
      <w:r w:rsidRPr="00CE23F9">
        <w:rPr>
          <w:lang w:val="en-US" w:eastAsia="zh-CN"/>
        </w:rPr>
        <w:t xml:space="preserve"> </w:t>
      </w:r>
      <w:proofErr w:type="spellStart"/>
      <w:r w:rsidRPr="00CE23F9">
        <w:rPr>
          <w:lang w:val="en-US" w:eastAsia="zh-CN"/>
        </w:rPr>
        <w:t>kelompok</w:t>
      </w:r>
      <w:proofErr w:type="spellEnd"/>
      <w:r w:rsidRPr="00CE23F9">
        <w:rPr>
          <w:lang w:val="en-US" w:eastAsia="zh-CN"/>
        </w:rPr>
        <w:t xml:space="preserve"> </w:t>
      </w:r>
      <w:proofErr w:type="spellStart"/>
      <w:r w:rsidRPr="00CE23F9">
        <w:rPr>
          <w:lang w:val="en-US" w:eastAsia="zh-CN"/>
        </w:rPr>
        <w:t>intervensi</w:t>
      </w:r>
      <w:proofErr w:type="spellEnd"/>
      <w:r w:rsidRPr="00CE23F9">
        <w:rPr>
          <w:lang w:val="en-US" w:eastAsia="zh-CN"/>
        </w:rPr>
        <w:t xml:space="preserve"> </w:t>
      </w:r>
      <w:proofErr w:type="spellStart"/>
      <w:r w:rsidRPr="00CE23F9">
        <w:rPr>
          <w:lang w:val="en-US" w:eastAsia="zh-CN"/>
        </w:rPr>
        <w:t>maupun</w:t>
      </w:r>
      <w:proofErr w:type="spellEnd"/>
      <w:r w:rsidRPr="00CE23F9">
        <w:rPr>
          <w:lang w:val="en-US" w:eastAsia="zh-CN"/>
        </w:rPr>
        <w:t xml:space="preserve"> </w:t>
      </w:r>
      <w:proofErr w:type="spellStart"/>
      <w:r w:rsidRPr="00CE23F9">
        <w:rPr>
          <w:lang w:val="en-US" w:eastAsia="zh-CN"/>
        </w:rPr>
        <w:t>kontrol</w:t>
      </w:r>
      <w:proofErr w:type="spellEnd"/>
      <w:r w:rsidRPr="00CE23F9">
        <w:rPr>
          <w:lang w:val="en-US" w:eastAsia="zh-CN"/>
        </w:rPr>
        <w:t xml:space="preserve"> tidak </w:t>
      </w:r>
      <w:proofErr w:type="spellStart"/>
      <w:r w:rsidRPr="00CE23F9">
        <w:rPr>
          <w:lang w:val="en-US" w:eastAsia="zh-CN"/>
        </w:rPr>
        <w:t>ditemukan</w:t>
      </w:r>
      <w:proofErr w:type="spellEnd"/>
      <w:r w:rsidRPr="00CE23F9">
        <w:rPr>
          <w:lang w:val="en-US" w:eastAsia="zh-CN"/>
        </w:rPr>
        <w:t xml:space="preserve"> </w:t>
      </w:r>
      <w:r w:rsidR="00CE23F9">
        <w:rPr>
          <w:lang w:val="id-ID" w:eastAsia="zh-CN"/>
        </w:rPr>
        <w:t>subyek penelitian</w:t>
      </w:r>
      <w:r w:rsidRPr="00CE23F9">
        <w:rPr>
          <w:lang w:val="en-US" w:eastAsia="zh-CN"/>
        </w:rPr>
        <w:t xml:space="preserve"> yang </w:t>
      </w:r>
      <w:proofErr w:type="spellStart"/>
      <w:r w:rsidRPr="00CE23F9">
        <w:rPr>
          <w:lang w:val="en-US" w:eastAsia="zh-CN"/>
        </w:rPr>
        <w:t>membutuhkan</w:t>
      </w:r>
      <w:proofErr w:type="spellEnd"/>
      <w:r w:rsidRPr="00CE23F9">
        <w:rPr>
          <w:lang w:val="en-US" w:eastAsia="zh-CN"/>
        </w:rPr>
        <w:t xml:space="preserve"> rescue opioid. </w:t>
      </w:r>
      <w:r w:rsidR="00CE23F9">
        <w:rPr>
          <w:lang w:val="id-ID" w:eastAsia="zh-CN"/>
        </w:rPr>
        <w:t>B</w:t>
      </w:r>
      <w:proofErr w:type="spellStart"/>
      <w:r w:rsidRPr="00CE23F9">
        <w:rPr>
          <w:lang w:val="en-US" w:eastAsia="zh-CN"/>
        </w:rPr>
        <w:t>erkait</w:t>
      </w:r>
      <w:proofErr w:type="spellEnd"/>
      <w:r w:rsidR="00CE23F9">
        <w:rPr>
          <w:lang w:val="id-ID" w:eastAsia="zh-CN"/>
        </w:rPr>
        <w:t>an</w:t>
      </w:r>
      <w:r w:rsidRPr="00CE23F9">
        <w:rPr>
          <w:lang w:val="en-US" w:eastAsia="zh-CN"/>
        </w:rPr>
        <w:t xml:space="preserve"> dengan </w:t>
      </w:r>
      <w:proofErr w:type="spellStart"/>
      <w:r w:rsidRPr="00CE23F9">
        <w:rPr>
          <w:lang w:val="en-US" w:eastAsia="zh-CN"/>
        </w:rPr>
        <w:t>efek</w:t>
      </w:r>
      <w:proofErr w:type="spellEnd"/>
      <w:r w:rsidRPr="00CE23F9">
        <w:rPr>
          <w:lang w:val="en-US" w:eastAsia="zh-CN"/>
        </w:rPr>
        <w:t xml:space="preserve"> </w:t>
      </w:r>
      <w:proofErr w:type="spellStart"/>
      <w:r w:rsidRPr="00CE23F9">
        <w:rPr>
          <w:lang w:val="en-US" w:eastAsia="zh-CN"/>
        </w:rPr>
        <w:t>samping</w:t>
      </w:r>
      <w:proofErr w:type="spellEnd"/>
      <w:r w:rsidRPr="00CE23F9">
        <w:rPr>
          <w:lang w:val="en-US" w:eastAsia="zh-CN"/>
        </w:rPr>
        <w:t xml:space="preserve">, pada </w:t>
      </w:r>
      <w:proofErr w:type="spellStart"/>
      <w:r w:rsidRPr="00CE23F9">
        <w:rPr>
          <w:lang w:val="en-US" w:eastAsia="zh-CN"/>
        </w:rPr>
        <w:t>kedua</w:t>
      </w:r>
      <w:proofErr w:type="spellEnd"/>
      <w:r w:rsidRPr="00CE23F9">
        <w:rPr>
          <w:lang w:val="en-US" w:eastAsia="zh-CN"/>
        </w:rPr>
        <w:t xml:space="preserve"> </w:t>
      </w:r>
      <w:proofErr w:type="spellStart"/>
      <w:r w:rsidRPr="00CE23F9">
        <w:rPr>
          <w:lang w:val="en-US" w:eastAsia="zh-CN"/>
        </w:rPr>
        <w:t>kelompok</w:t>
      </w:r>
      <w:proofErr w:type="spellEnd"/>
      <w:r w:rsidRPr="00CE23F9">
        <w:rPr>
          <w:lang w:val="en-US" w:eastAsia="zh-CN"/>
        </w:rPr>
        <w:t xml:space="preserve"> </w:t>
      </w:r>
      <w:r w:rsidR="00CE23F9">
        <w:rPr>
          <w:lang w:val="id-ID" w:eastAsia="zh-CN"/>
        </w:rPr>
        <w:t>baik</w:t>
      </w:r>
      <w:r w:rsidR="00CE23F9" w:rsidRPr="00CE23F9">
        <w:rPr>
          <w:lang w:val="en-US" w:eastAsia="zh-CN"/>
        </w:rPr>
        <w:t xml:space="preserve"> </w:t>
      </w:r>
      <w:proofErr w:type="spellStart"/>
      <w:r w:rsidR="00CE23F9" w:rsidRPr="00CE23F9">
        <w:rPr>
          <w:lang w:val="en-US" w:eastAsia="zh-CN"/>
        </w:rPr>
        <w:t>kelompok</w:t>
      </w:r>
      <w:proofErr w:type="spellEnd"/>
      <w:r w:rsidR="00CE23F9" w:rsidRPr="00CE23F9">
        <w:rPr>
          <w:lang w:val="en-US" w:eastAsia="zh-CN"/>
        </w:rPr>
        <w:t xml:space="preserve"> </w:t>
      </w:r>
      <w:proofErr w:type="spellStart"/>
      <w:r w:rsidR="00CE23F9" w:rsidRPr="00CE23F9">
        <w:rPr>
          <w:lang w:val="en-US" w:eastAsia="zh-CN"/>
        </w:rPr>
        <w:t>intervensi</w:t>
      </w:r>
      <w:proofErr w:type="spellEnd"/>
      <w:r w:rsidR="00CE23F9" w:rsidRPr="00CE23F9">
        <w:rPr>
          <w:lang w:val="en-US" w:eastAsia="zh-CN"/>
        </w:rPr>
        <w:t xml:space="preserve"> </w:t>
      </w:r>
      <w:proofErr w:type="spellStart"/>
      <w:r w:rsidR="00CE23F9" w:rsidRPr="00CE23F9">
        <w:rPr>
          <w:lang w:val="en-US" w:eastAsia="zh-CN"/>
        </w:rPr>
        <w:t>maupun</w:t>
      </w:r>
      <w:proofErr w:type="spellEnd"/>
      <w:r w:rsidR="00CE23F9" w:rsidRPr="00CE23F9">
        <w:rPr>
          <w:lang w:val="en-US" w:eastAsia="zh-CN"/>
        </w:rPr>
        <w:t xml:space="preserve"> </w:t>
      </w:r>
      <w:proofErr w:type="spellStart"/>
      <w:r w:rsidR="00CE23F9" w:rsidRPr="00CE23F9">
        <w:rPr>
          <w:lang w:val="en-US" w:eastAsia="zh-CN"/>
        </w:rPr>
        <w:t>kontrol</w:t>
      </w:r>
      <w:proofErr w:type="spellEnd"/>
      <w:r w:rsidR="00CE23F9" w:rsidRPr="00CE23F9">
        <w:rPr>
          <w:lang w:val="en-US" w:eastAsia="zh-CN"/>
        </w:rPr>
        <w:t xml:space="preserve"> </w:t>
      </w:r>
      <w:r w:rsidRPr="00CE23F9">
        <w:rPr>
          <w:lang w:val="en-US" w:eastAsia="zh-CN"/>
        </w:rPr>
        <w:t xml:space="preserve">tidak </w:t>
      </w:r>
      <w:r w:rsidR="00CE23F9">
        <w:rPr>
          <w:lang w:val="id-ID" w:eastAsia="zh-CN"/>
        </w:rPr>
        <w:t>di</w:t>
      </w:r>
      <w:proofErr w:type="spellStart"/>
      <w:r w:rsidRPr="00CE23F9">
        <w:rPr>
          <w:lang w:val="en-US" w:eastAsia="zh-CN"/>
        </w:rPr>
        <w:t>temukan</w:t>
      </w:r>
      <w:proofErr w:type="spellEnd"/>
      <w:r w:rsidRPr="00CE23F9">
        <w:rPr>
          <w:lang w:val="en-US" w:eastAsia="zh-CN"/>
        </w:rPr>
        <w:t xml:space="preserve"> </w:t>
      </w:r>
      <w:proofErr w:type="spellStart"/>
      <w:r w:rsidRPr="00CE23F9">
        <w:rPr>
          <w:lang w:val="en-US" w:eastAsia="zh-CN"/>
        </w:rPr>
        <w:t>kejadian</w:t>
      </w:r>
      <w:proofErr w:type="spellEnd"/>
      <w:r w:rsidRPr="00CE23F9">
        <w:rPr>
          <w:lang w:val="en-US" w:eastAsia="zh-CN"/>
        </w:rPr>
        <w:t xml:space="preserve"> PONV</w:t>
      </w:r>
      <w:r w:rsidR="00D72FD9">
        <w:rPr>
          <w:lang w:val="en-US" w:eastAsia="zh-CN"/>
        </w:rPr>
        <w:t xml:space="preserve">, </w:t>
      </w:r>
      <w:proofErr w:type="spellStart"/>
      <w:r w:rsidRPr="00CE23F9">
        <w:rPr>
          <w:lang w:val="en-US" w:eastAsia="zh-CN"/>
        </w:rPr>
        <w:t>nyeri</w:t>
      </w:r>
      <w:proofErr w:type="spellEnd"/>
      <w:r w:rsidRPr="00CE23F9">
        <w:rPr>
          <w:lang w:val="en-US" w:eastAsia="zh-CN"/>
        </w:rPr>
        <w:t xml:space="preserve"> </w:t>
      </w:r>
      <w:proofErr w:type="spellStart"/>
      <w:r w:rsidRPr="00CE23F9">
        <w:rPr>
          <w:lang w:val="en-US" w:eastAsia="zh-CN"/>
        </w:rPr>
        <w:t>kepala</w:t>
      </w:r>
      <w:proofErr w:type="spellEnd"/>
      <w:r w:rsidRPr="00CE23F9">
        <w:rPr>
          <w:lang w:val="en-US" w:eastAsia="zh-CN"/>
        </w:rPr>
        <w:t xml:space="preserve"> </w:t>
      </w:r>
      <w:proofErr w:type="spellStart"/>
      <w:r w:rsidRPr="00CE23F9">
        <w:rPr>
          <w:lang w:val="en-US" w:eastAsia="zh-CN"/>
        </w:rPr>
        <w:t>pascabedah</w:t>
      </w:r>
      <w:proofErr w:type="spellEnd"/>
      <w:r w:rsidRPr="00CE23F9">
        <w:rPr>
          <w:lang w:val="en-US" w:eastAsia="zh-CN"/>
        </w:rPr>
        <w:t>.</w:t>
      </w:r>
      <w:bookmarkEnd w:id="130"/>
      <w:r w:rsidR="00D72FD9">
        <w:rPr>
          <w:lang w:val="en-US" w:eastAsia="zh-CN"/>
        </w:rPr>
        <w:t xml:space="preserve"> </w:t>
      </w:r>
      <w:proofErr w:type="spellStart"/>
      <w:r w:rsidR="00D72FD9">
        <w:rPr>
          <w:lang w:val="en-US"/>
        </w:rPr>
        <w:t>maupun</w:t>
      </w:r>
      <w:proofErr w:type="spellEnd"/>
      <w:r w:rsidR="00D72FD9">
        <w:rPr>
          <w:lang w:val="en-US"/>
        </w:rPr>
        <w:t xml:space="preserve"> </w:t>
      </w:r>
      <w:r w:rsidR="00D72FD9">
        <w:rPr>
          <w:lang w:val="id-ID"/>
        </w:rPr>
        <w:t xml:space="preserve">berbagai komplikasi seperti </w:t>
      </w:r>
      <w:r w:rsidR="00D72FD9" w:rsidRPr="00BB1331">
        <w:rPr>
          <w:rFonts w:eastAsia="SimSun"/>
          <w:lang w:val="id-ID"/>
        </w:rPr>
        <w:t>serangan jantung</w:t>
      </w:r>
      <w:r w:rsidR="00D72FD9">
        <w:rPr>
          <w:rFonts w:eastAsia="SimSun"/>
          <w:lang w:val="id-ID"/>
        </w:rPr>
        <w:t>,</w:t>
      </w:r>
      <w:r w:rsidR="00D72FD9" w:rsidRPr="00BB1331">
        <w:rPr>
          <w:rFonts w:eastAsia="SimSun"/>
          <w:lang w:val="id-ID"/>
        </w:rPr>
        <w:t xml:space="preserve"> kejang</w:t>
      </w:r>
      <w:r w:rsidR="00D72FD9">
        <w:rPr>
          <w:rFonts w:eastAsia="SimSun"/>
          <w:lang w:val="id-ID"/>
        </w:rPr>
        <w:t>,</w:t>
      </w:r>
      <w:r w:rsidR="00D72FD9" w:rsidRPr="00BB1331">
        <w:rPr>
          <w:rFonts w:eastAsia="SimSun"/>
          <w:lang w:val="id-ID"/>
        </w:rPr>
        <w:t xml:space="preserve"> obstruksi saluran napas bagian atas</w:t>
      </w:r>
      <w:r w:rsidR="00D72FD9">
        <w:rPr>
          <w:rFonts w:eastAsia="SimSun"/>
          <w:lang w:val="id-ID"/>
        </w:rPr>
        <w:t xml:space="preserve">, </w:t>
      </w:r>
      <w:r w:rsidR="00D72FD9" w:rsidRPr="00BB1331">
        <w:rPr>
          <w:rFonts w:eastAsia="SimSun"/>
          <w:lang w:val="id-ID"/>
        </w:rPr>
        <w:t xml:space="preserve">kelumpuhan saraf wajah, </w:t>
      </w:r>
      <w:proofErr w:type="spellStart"/>
      <w:r w:rsidR="00D72FD9">
        <w:rPr>
          <w:rFonts w:eastAsia="SimSun"/>
          <w:lang w:val="en-US"/>
        </w:rPr>
        <w:t>gangguan</w:t>
      </w:r>
      <w:proofErr w:type="spellEnd"/>
      <w:r w:rsidR="00D72FD9">
        <w:rPr>
          <w:rFonts w:eastAsia="SimSun"/>
          <w:lang w:val="en-US"/>
        </w:rPr>
        <w:t xml:space="preserve"> </w:t>
      </w:r>
      <w:proofErr w:type="spellStart"/>
      <w:r w:rsidR="00D72FD9">
        <w:rPr>
          <w:rFonts w:eastAsia="SimSun"/>
          <w:lang w:val="en-US"/>
        </w:rPr>
        <w:t>menelan</w:t>
      </w:r>
      <w:proofErr w:type="spellEnd"/>
      <w:r w:rsidR="00D72FD9">
        <w:rPr>
          <w:rFonts w:eastAsia="SimSun"/>
          <w:lang w:val="en-US"/>
        </w:rPr>
        <w:t xml:space="preserve"> </w:t>
      </w:r>
      <w:proofErr w:type="spellStart"/>
      <w:r w:rsidR="00D72FD9">
        <w:rPr>
          <w:rFonts w:eastAsia="SimSun"/>
          <w:lang w:val="en-US"/>
        </w:rPr>
        <w:t>maupun</w:t>
      </w:r>
      <w:proofErr w:type="spellEnd"/>
      <w:r w:rsidR="00D72FD9">
        <w:rPr>
          <w:rFonts w:eastAsia="SimSun"/>
          <w:lang w:val="en-US"/>
        </w:rPr>
        <w:t xml:space="preserve"> </w:t>
      </w:r>
      <w:r w:rsidR="00D72FD9" w:rsidRPr="00BB1331">
        <w:rPr>
          <w:rFonts w:eastAsia="SimSun"/>
          <w:lang w:val="id-ID"/>
        </w:rPr>
        <w:t>kelumpuhan pita suara</w:t>
      </w:r>
      <w:r w:rsidR="00D72FD9">
        <w:rPr>
          <w:rFonts w:eastAsia="SimSun"/>
          <w:lang w:val="en-US"/>
        </w:rPr>
        <w:t>.</w:t>
      </w:r>
    </w:p>
    <w:p w14:paraId="2295D2AB" w14:textId="77777777" w:rsidR="004A3124" w:rsidRPr="008E4D08" w:rsidRDefault="004A3124" w:rsidP="004A3124">
      <w:pPr>
        <w:pStyle w:val="ListParagraph"/>
        <w:rPr>
          <w:b/>
          <w:bCs/>
          <w:lang w:val="en-US" w:eastAsia="zh-CN"/>
        </w:rPr>
      </w:pPr>
    </w:p>
    <w:p w14:paraId="753DA512" w14:textId="5330579C" w:rsidR="000D07BE" w:rsidRPr="00F426C1" w:rsidRDefault="00CE23F9" w:rsidP="004F2186">
      <w:pPr>
        <w:pStyle w:val="Heading3"/>
        <w:rPr>
          <w:lang w:val="pt-BR" w:eastAsia="zh-CN"/>
        </w:rPr>
      </w:pPr>
      <w:bookmarkStart w:id="131" w:name="_Toc158290299"/>
      <w:r>
        <w:rPr>
          <w:lang w:val="id-ID" w:eastAsia="zh-CN"/>
        </w:rPr>
        <w:t>6.2.3</w:t>
      </w:r>
      <w:r>
        <w:rPr>
          <w:lang w:val="id-ID" w:eastAsia="zh-CN"/>
        </w:rPr>
        <w:tab/>
        <w:t>K</w:t>
      </w:r>
      <w:r w:rsidRPr="00F426C1">
        <w:rPr>
          <w:lang w:val="pt-BR" w:eastAsia="zh-CN"/>
        </w:rPr>
        <w:t xml:space="preserve">orelasi </w:t>
      </w:r>
      <w:r w:rsidR="00D72FD9" w:rsidRPr="00F426C1">
        <w:rPr>
          <w:lang w:val="pt-BR" w:eastAsia="zh-CN"/>
        </w:rPr>
        <w:t>Antara Ukuran Tonsil Terhadap Intensitas Nyeri</w:t>
      </w:r>
      <w:bookmarkEnd w:id="131"/>
    </w:p>
    <w:p w14:paraId="6FEE1170" w14:textId="7F4AA835" w:rsidR="00B112AD" w:rsidRDefault="00B112AD" w:rsidP="00CE23F9">
      <w:pPr>
        <w:spacing w:line="360" w:lineRule="auto"/>
        <w:ind w:firstLine="709"/>
        <w:jc w:val="both"/>
        <w:rPr>
          <w:lang w:val="id-ID"/>
        </w:rPr>
      </w:pPr>
      <w:r w:rsidRPr="00F426C1">
        <w:rPr>
          <w:lang w:val="pt-BR" w:eastAsia="zh-CN"/>
        </w:rPr>
        <w:t>Korelasi</w:t>
      </w:r>
      <w:r w:rsidRPr="00CE23F9">
        <w:t xml:space="preserve"> </w:t>
      </w:r>
      <w:r w:rsidRPr="00F426C1">
        <w:rPr>
          <w:lang w:val="pt-BR" w:eastAsia="zh-CN"/>
        </w:rPr>
        <w:t>antara</w:t>
      </w:r>
      <w:r w:rsidRPr="00CE23F9">
        <w:t xml:space="preserve"> </w:t>
      </w:r>
      <w:r w:rsidR="004A3124" w:rsidRPr="00F426C1">
        <w:rPr>
          <w:lang w:val="pt-BR"/>
        </w:rPr>
        <w:t>ukuran tonsil terhadap intensitas nyeri</w:t>
      </w:r>
      <w:r w:rsidRPr="00CE23F9">
        <w:t xml:space="preserve"> </w:t>
      </w:r>
      <w:r w:rsidR="004A3124" w:rsidRPr="00F426C1">
        <w:rPr>
          <w:lang w:val="pt-BR"/>
        </w:rPr>
        <w:t xml:space="preserve">pada kedua kelompok </w:t>
      </w:r>
      <w:r w:rsidRPr="000F7523">
        <w:t xml:space="preserve">dapat dilihat pada </w:t>
      </w:r>
      <w:r w:rsidR="00CE23F9">
        <w:rPr>
          <w:lang w:val="id-ID"/>
        </w:rPr>
        <w:t>Tabel 3.</w:t>
      </w:r>
    </w:p>
    <w:p w14:paraId="14ADE734" w14:textId="77777777" w:rsidR="000A4CBF" w:rsidRDefault="000A4CBF" w:rsidP="000A4CBF">
      <w:pPr>
        <w:spacing w:line="360" w:lineRule="auto"/>
        <w:ind w:firstLine="709"/>
        <w:jc w:val="both"/>
        <w:rPr>
          <w:rFonts w:eastAsiaTheme="minorEastAsia"/>
          <w:lang w:eastAsia="zh-CN"/>
        </w:rPr>
      </w:pPr>
      <w:r w:rsidRPr="000F7523">
        <w:t xml:space="preserve">Tabel </w:t>
      </w:r>
      <w:r w:rsidRPr="00F426C1">
        <w:rPr>
          <w:lang w:val="pt-BR"/>
        </w:rPr>
        <w:t>3</w:t>
      </w:r>
      <w:r w:rsidRPr="000F7523">
        <w:t xml:space="preserve"> </w:t>
      </w:r>
      <w:r w:rsidRPr="00F426C1">
        <w:rPr>
          <w:lang w:val="pt-BR" w:eastAsia="zh-CN"/>
        </w:rPr>
        <w:t>menunjukkan</w:t>
      </w:r>
      <w:r w:rsidRPr="000F7523">
        <w:t xml:space="preserve"> korelasi antara </w:t>
      </w:r>
      <w:r w:rsidRPr="00F426C1">
        <w:rPr>
          <w:lang w:val="pt-BR"/>
        </w:rPr>
        <w:t>ukuran tonsil terhadap derajat nyeri</w:t>
      </w:r>
      <w:r w:rsidRPr="000F7523">
        <w:t xml:space="preserve"> pada pasien </w:t>
      </w:r>
      <w:r w:rsidRPr="00F426C1">
        <w:rPr>
          <w:lang w:val="pt-BR"/>
        </w:rPr>
        <w:t>tonsilektomi</w:t>
      </w:r>
      <w:r w:rsidRPr="000F7523">
        <w:t xml:space="preserve">. </w:t>
      </w:r>
      <w:bookmarkStart w:id="132" w:name="_Hlk158212036"/>
      <w:r w:rsidRPr="000F7523">
        <w:rPr>
          <w:lang w:eastAsia="zh-CN"/>
        </w:rPr>
        <w:t xml:space="preserve">Pada </w:t>
      </w:r>
      <w:proofErr w:type="spellStart"/>
      <w:r w:rsidRPr="00CE23F9">
        <w:rPr>
          <w:lang w:val="en-US" w:eastAsia="zh-CN"/>
        </w:rPr>
        <w:t>kelompok</w:t>
      </w:r>
      <w:proofErr w:type="spellEnd"/>
      <w:r w:rsidRPr="00CE23F9">
        <w:rPr>
          <w:lang w:val="en-US" w:eastAsia="zh-CN"/>
        </w:rPr>
        <w:t xml:space="preserve"> </w:t>
      </w:r>
      <w:proofErr w:type="spellStart"/>
      <w:r w:rsidRPr="00CE23F9">
        <w:rPr>
          <w:lang w:val="en-US" w:eastAsia="zh-CN"/>
        </w:rPr>
        <w:t>intervensi</w:t>
      </w:r>
      <w:proofErr w:type="spellEnd"/>
      <w:r w:rsidRPr="00CE23F9">
        <w:rPr>
          <w:lang w:val="en-US" w:eastAsia="zh-CN"/>
        </w:rPr>
        <w:t xml:space="preserve"> dan </w:t>
      </w:r>
      <w:proofErr w:type="spellStart"/>
      <w:r w:rsidRPr="00CE23F9">
        <w:rPr>
          <w:lang w:val="en-US" w:eastAsia="zh-CN"/>
        </w:rPr>
        <w:t>kontrol</w:t>
      </w:r>
      <w:proofErr w:type="spellEnd"/>
      <w:r w:rsidRPr="00CE23F9">
        <w:rPr>
          <w:lang w:val="en-US" w:eastAsia="zh-CN"/>
        </w:rPr>
        <w:t xml:space="preserve"> tidak </w:t>
      </w:r>
      <w:proofErr w:type="spellStart"/>
      <w:r w:rsidRPr="00CE23F9">
        <w:rPr>
          <w:lang w:val="en-US" w:eastAsia="zh-CN"/>
        </w:rPr>
        <w:t>ditemukan</w:t>
      </w:r>
      <w:proofErr w:type="spellEnd"/>
      <w:r w:rsidRPr="00CE23F9">
        <w:rPr>
          <w:lang w:val="en-US" w:eastAsia="zh-CN"/>
        </w:rPr>
        <w:t xml:space="preserve"> </w:t>
      </w:r>
      <w:proofErr w:type="spellStart"/>
      <w:r w:rsidRPr="00CE23F9">
        <w:rPr>
          <w:lang w:val="en-US" w:eastAsia="zh-CN"/>
        </w:rPr>
        <w:t>adanya</w:t>
      </w:r>
      <w:proofErr w:type="spellEnd"/>
      <w:r w:rsidRPr="00CE23F9">
        <w:rPr>
          <w:lang w:val="en-US" w:eastAsia="zh-CN"/>
        </w:rPr>
        <w:t xml:space="preserve"> </w:t>
      </w:r>
      <w:proofErr w:type="spellStart"/>
      <w:r w:rsidRPr="00CE23F9">
        <w:rPr>
          <w:lang w:val="en-US" w:eastAsia="zh-CN"/>
        </w:rPr>
        <w:t>korelasi</w:t>
      </w:r>
      <w:proofErr w:type="spellEnd"/>
      <w:r w:rsidRPr="00CE23F9">
        <w:rPr>
          <w:lang w:val="en-US" w:eastAsia="zh-CN"/>
        </w:rPr>
        <w:t xml:space="preserve"> </w:t>
      </w:r>
      <w:proofErr w:type="spellStart"/>
      <w:r w:rsidRPr="00CE23F9">
        <w:rPr>
          <w:lang w:val="en-US" w:eastAsia="zh-CN"/>
        </w:rPr>
        <w:t>antara</w:t>
      </w:r>
      <w:proofErr w:type="spellEnd"/>
      <w:r w:rsidRPr="00CE23F9">
        <w:rPr>
          <w:lang w:val="en-US" w:eastAsia="zh-CN"/>
        </w:rPr>
        <w:t xml:space="preserve"> </w:t>
      </w:r>
      <w:proofErr w:type="spellStart"/>
      <w:r w:rsidRPr="00CE23F9">
        <w:rPr>
          <w:lang w:val="en-US" w:eastAsia="zh-CN"/>
        </w:rPr>
        <w:t>ukuran</w:t>
      </w:r>
      <w:proofErr w:type="spellEnd"/>
      <w:r w:rsidRPr="00CE23F9">
        <w:rPr>
          <w:lang w:val="en-US" w:eastAsia="zh-CN"/>
        </w:rPr>
        <w:t xml:space="preserve"> tonsil dengan </w:t>
      </w:r>
      <w:proofErr w:type="spellStart"/>
      <w:r w:rsidRPr="00CE23F9">
        <w:rPr>
          <w:lang w:val="en-US" w:eastAsia="zh-CN"/>
        </w:rPr>
        <w:t>derajat</w:t>
      </w:r>
      <w:proofErr w:type="spellEnd"/>
      <w:r w:rsidRPr="00CE23F9">
        <w:rPr>
          <w:lang w:val="en-US" w:eastAsia="zh-CN"/>
        </w:rPr>
        <w:t xml:space="preserve"> </w:t>
      </w:r>
      <w:proofErr w:type="spellStart"/>
      <w:r w:rsidRPr="00CE23F9">
        <w:rPr>
          <w:lang w:val="en-US" w:eastAsia="zh-CN"/>
        </w:rPr>
        <w:t>nyeri</w:t>
      </w:r>
      <w:proofErr w:type="spellEnd"/>
      <w:r w:rsidRPr="00CE23F9">
        <w:rPr>
          <w:lang w:val="en-US" w:eastAsia="zh-CN"/>
        </w:rPr>
        <w:t xml:space="preserve"> pada </w:t>
      </w:r>
      <w:proofErr w:type="spellStart"/>
      <w:r w:rsidRPr="00CE23F9">
        <w:rPr>
          <w:lang w:val="en-US" w:eastAsia="zh-CN"/>
        </w:rPr>
        <w:t>keenam</w:t>
      </w:r>
      <w:proofErr w:type="spellEnd"/>
      <w:r w:rsidRPr="00CE23F9">
        <w:rPr>
          <w:lang w:val="en-US" w:eastAsia="zh-CN"/>
        </w:rPr>
        <w:t xml:space="preserve"> </w:t>
      </w:r>
      <w:proofErr w:type="spellStart"/>
      <w:r w:rsidRPr="00CE23F9">
        <w:rPr>
          <w:lang w:val="en-US" w:eastAsia="zh-CN"/>
        </w:rPr>
        <w:t>waktu</w:t>
      </w:r>
      <w:proofErr w:type="spellEnd"/>
      <w:r w:rsidRPr="00CE23F9">
        <w:rPr>
          <w:lang w:val="en-US" w:eastAsia="zh-CN"/>
        </w:rPr>
        <w:t xml:space="preserve"> </w:t>
      </w:r>
      <w:proofErr w:type="spellStart"/>
      <w:r w:rsidRPr="00CE23F9">
        <w:rPr>
          <w:lang w:val="en-US" w:eastAsia="zh-CN"/>
        </w:rPr>
        <w:t>pengukuran</w:t>
      </w:r>
      <w:proofErr w:type="spellEnd"/>
      <w:r w:rsidRPr="00CE23F9">
        <w:rPr>
          <w:lang w:val="en-US" w:eastAsia="zh-CN"/>
        </w:rPr>
        <w:t xml:space="preserve"> NRS </w:t>
      </w:r>
      <w:r>
        <w:rPr>
          <w:lang w:val="id-ID" w:eastAsia="zh-CN"/>
        </w:rPr>
        <w:t>p</w:t>
      </w:r>
      <w:proofErr w:type="spellStart"/>
      <w:r w:rsidRPr="00CE23F9">
        <w:rPr>
          <w:lang w:val="en-US" w:eastAsia="zh-CN"/>
        </w:rPr>
        <w:t>ascabedah</w:t>
      </w:r>
      <w:bookmarkEnd w:id="132"/>
      <w:proofErr w:type="spellEnd"/>
      <w:r>
        <w:rPr>
          <w:lang w:val="id-ID" w:eastAsia="zh-CN"/>
        </w:rPr>
        <w:t xml:space="preserve"> dengan nilai p &gt; 0,05</w:t>
      </w:r>
      <w:r w:rsidRPr="000F7523">
        <w:rPr>
          <w:lang w:eastAsia="zh-CN"/>
        </w:rPr>
        <w:t>.</w:t>
      </w:r>
    </w:p>
    <w:p w14:paraId="4EA0B088" w14:textId="77777777" w:rsidR="000A4CBF" w:rsidRDefault="000A4CBF" w:rsidP="00CE23F9">
      <w:pPr>
        <w:spacing w:line="360" w:lineRule="auto"/>
        <w:ind w:firstLine="709"/>
        <w:jc w:val="both"/>
        <w:rPr>
          <w:rFonts w:eastAsiaTheme="minorEastAsia"/>
          <w:lang w:eastAsia="zh-CN"/>
        </w:rPr>
      </w:pPr>
    </w:p>
    <w:p w14:paraId="7A366F51" w14:textId="77777777" w:rsidR="000A4CBF" w:rsidRDefault="000A4CBF" w:rsidP="00CE23F9">
      <w:pPr>
        <w:spacing w:line="360" w:lineRule="auto"/>
        <w:ind w:firstLine="709"/>
        <w:jc w:val="both"/>
        <w:rPr>
          <w:rFonts w:eastAsiaTheme="minorEastAsia"/>
          <w:lang w:eastAsia="zh-CN"/>
        </w:rPr>
      </w:pPr>
    </w:p>
    <w:p w14:paraId="233FFACA" w14:textId="77777777" w:rsidR="000A4CBF" w:rsidRDefault="000A4CBF" w:rsidP="00CE23F9">
      <w:pPr>
        <w:spacing w:line="360" w:lineRule="auto"/>
        <w:ind w:firstLine="709"/>
        <w:jc w:val="both"/>
        <w:rPr>
          <w:rFonts w:eastAsiaTheme="minorEastAsia"/>
          <w:lang w:eastAsia="zh-CN"/>
        </w:rPr>
      </w:pPr>
    </w:p>
    <w:p w14:paraId="49B4C81A" w14:textId="77777777" w:rsidR="000A4CBF" w:rsidRDefault="000A4CBF" w:rsidP="00CE23F9">
      <w:pPr>
        <w:spacing w:line="360" w:lineRule="auto"/>
        <w:ind w:firstLine="709"/>
        <w:jc w:val="both"/>
        <w:rPr>
          <w:rFonts w:eastAsiaTheme="minorEastAsia"/>
          <w:lang w:eastAsia="zh-CN"/>
        </w:rPr>
      </w:pPr>
    </w:p>
    <w:p w14:paraId="7BA1875E" w14:textId="77777777" w:rsidR="000A4CBF" w:rsidRDefault="000A4CBF" w:rsidP="00CE23F9">
      <w:pPr>
        <w:spacing w:line="360" w:lineRule="auto"/>
        <w:ind w:firstLine="709"/>
        <w:jc w:val="both"/>
        <w:rPr>
          <w:rFonts w:eastAsiaTheme="minorEastAsia"/>
          <w:lang w:eastAsia="zh-CN"/>
        </w:rPr>
      </w:pPr>
    </w:p>
    <w:p w14:paraId="0596614E" w14:textId="77777777" w:rsidR="000A4CBF" w:rsidRDefault="000A4CBF" w:rsidP="00CE23F9">
      <w:pPr>
        <w:spacing w:line="360" w:lineRule="auto"/>
        <w:ind w:firstLine="709"/>
        <w:jc w:val="both"/>
        <w:rPr>
          <w:rFonts w:eastAsiaTheme="minorEastAsia"/>
          <w:lang w:eastAsia="zh-CN"/>
        </w:rPr>
      </w:pPr>
    </w:p>
    <w:p w14:paraId="58A5A607" w14:textId="77777777" w:rsidR="000A4CBF" w:rsidRPr="00CE23F9" w:rsidRDefault="000A4CBF" w:rsidP="00CE23F9">
      <w:pPr>
        <w:spacing w:line="360" w:lineRule="auto"/>
        <w:ind w:firstLine="709"/>
        <w:jc w:val="both"/>
        <w:rPr>
          <w:rFonts w:eastAsiaTheme="minorEastAsia"/>
          <w:lang w:eastAsia="zh-CN"/>
        </w:rPr>
      </w:pPr>
    </w:p>
    <w:p w14:paraId="1B1FF52E" w14:textId="586E5326" w:rsidR="00B112AD" w:rsidRPr="00F426C1" w:rsidRDefault="00CE23F9" w:rsidP="00CE23F9">
      <w:pPr>
        <w:pStyle w:val="Caption"/>
        <w:rPr>
          <w:b/>
          <w:bCs/>
          <w:i w:val="0"/>
          <w:iCs w:val="0"/>
          <w:color w:val="auto"/>
          <w:sz w:val="24"/>
          <w:szCs w:val="24"/>
          <w:lang w:val="pt-BR"/>
        </w:rPr>
      </w:pPr>
      <w:r w:rsidRPr="00CE23F9">
        <w:rPr>
          <w:i w:val="0"/>
          <w:iCs w:val="0"/>
          <w:color w:val="auto"/>
          <w:sz w:val="24"/>
          <w:szCs w:val="24"/>
        </w:rPr>
        <w:t xml:space="preserve">Tabel </w:t>
      </w:r>
      <w:r w:rsidRPr="00CE23F9">
        <w:rPr>
          <w:i w:val="0"/>
          <w:iCs w:val="0"/>
          <w:color w:val="auto"/>
          <w:sz w:val="24"/>
          <w:szCs w:val="24"/>
        </w:rPr>
        <w:fldChar w:fldCharType="begin"/>
      </w:r>
      <w:r w:rsidRPr="00CE23F9">
        <w:rPr>
          <w:i w:val="0"/>
          <w:iCs w:val="0"/>
          <w:color w:val="auto"/>
          <w:sz w:val="24"/>
          <w:szCs w:val="24"/>
        </w:rPr>
        <w:instrText xml:space="preserve"> SEQ Tabel \* ARABIC </w:instrText>
      </w:r>
      <w:r w:rsidRPr="00CE23F9">
        <w:rPr>
          <w:i w:val="0"/>
          <w:iCs w:val="0"/>
          <w:color w:val="auto"/>
          <w:sz w:val="24"/>
          <w:szCs w:val="24"/>
        </w:rPr>
        <w:fldChar w:fldCharType="separate"/>
      </w:r>
      <w:r w:rsidR="00D671E3">
        <w:rPr>
          <w:i w:val="0"/>
          <w:iCs w:val="0"/>
          <w:noProof/>
          <w:color w:val="auto"/>
          <w:sz w:val="24"/>
          <w:szCs w:val="24"/>
        </w:rPr>
        <w:t>3</w:t>
      </w:r>
      <w:r w:rsidRPr="00CE23F9">
        <w:rPr>
          <w:i w:val="0"/>
          <w:iCs w:val="0"/>
          <w:color w:val="auto"/>
          <w:sz w:val="24"/>
          <w:szCs w:val="24"/>
        </w:rPr>
        <w:fldChar w:fldCharType="end"/>
      </w:r>
      <w:r w:rsidRPr="00CE23F9">
        <w:rPr>
          <w:i w:val="0"/>
          <w:iCs w:val="0"/>
          <w:color w:val="auto"/>
          <w:sz w:val="24"/>
          <w:szCs w:val="24"/>
          <w:lang w:val="id-ID"/>
        </w:rPr>
        <w:t xml:space="preserve">. </w:t>
      </w:r>
      <w:r>
        <w:rPr>
          <w:i w:val="0"/>
          <w:iCs w:val="0"/>
          <w:color w:val="auto"/>
          <w:sz w:val="24"/>
          <w:szCs w:val="24"/>
          <w:lang w:val="id-ID"/>
        </w:rPr>
        <w:t>K</w:t>
      </w:r>
      <w:r w:rsidRPr="00CE23F9">
        <w:rPr>
          <w:i w:val="0"/>
          <w:iCs w:val="0"/>
          <w:color w:val="auto"/>
          <w:sz w:val="24"/>
          <w:szCs w:val="24"/>
          <w:lang w:val="id-ID"/>
        </w:rPr>
        <w:t>orelasi antara ukuran tonsil terhadap intensitas nyeri</w:t>
      </w:r>
    </w:p>
    <w:tbl>
      <w:tblPr>
        <w:tblW w:w="5000" w:type="pct"/>
        <w:tblBorders>
          <w:top w:val="single" w:sz="4" w:space="0" w:color="auto"/>
          <w:bottom w:val="single" w:sz="4" w:space="0" w:color="auto"/>
          <w:insideH w:val="single" w:sz="4" w:space="0" w:color="auto"/>
        </w:tblBorders>
        <w:tblLook w:val="04A0" w:firstRow="1" w:lastRow="0" w:firstColumn="1" w:lastColumn="0" w:noHBand="0" w:noVBand="1"/>
      </w:tblPr>
      <w:tblGrid>
        <w:gridCol w:w="1577"/>
        <w:gridCol w:w="3275"/>
        <w:gridCol w:w="2479"/>
        <w:gridCol w:w="1849"/>
      </w:tblGrid>
      <w:tr w:rsidR="00B50EE9" w:rsidRPr="000F7523" w14:paraId="3288F3EF" w14:textId="77777777" w:rsidTr="004F2186">
        <w:trPr>
          <w:trHeight w:val="658"/>
        </w:trPr>
        <w:tc>
          <w:tcPr>
            <w:tcW w:w="859" w:type="pct"/>
          </w:tcPr>
          <w:p w14:paraId="72A04191" w14:textId="77777777" w:rsidR="00B50EE9" w:rsidRPr="00F426C1" w:rsidRDefault="00B50EE9" w:rsidP="001F17F1">
            <w:pPr>
              <w:pStyle w:val="ListParagraph"/>
              <w:widowControl w:val="0"/>
              <w:ind w:left="0"/>
              <w:jc w:val="center"/>
              <w:rPr>
                <w:b/>
                <w:lang w:val="pt-BR"/>
              </w:rPr>
            </w:pPr>
          </w:p>
        </w:tc>
        <w:tc>
          <w:tcPr>
            <w:tcW w:w="1784" w:type="pct"/>
            <w:vAlign w:val="center"/>
          </w:tcPr>
          <w:p w14:paraId="340DAEC4" w14:textId="1D9B873F" w:rsidR="00B50EE9" w:rsidRPr="004A3124" w:rsidRDefault="00B50EE9" w:rsidP="001F17F1">
            <w:pPr>
              <w:pStyle w:val="ListParagraph"/>
              <w:widowControl w:val="0"/>
              <w:ind w:left="0"/>
              <w:jc w:val="center"/>
              <w:rPr>
                <w:b/>
                <w:lang w:val="en-US"/>
              </w:rPr>
            </w:pPr>
            <w:proofErr w:type="spellStart"/>
            <w:r>
              <w:rPr>
                <w:b/>
                <w:lang w:val="en-US"/>
              </w:rPr>
              <w:t>Intensitas</w:t>
            </w:r>
            <w:proofErr w:type="spellEnd"/>
            <w:r>
              <w:rPr>
                <w:b/>
                <w:lang w:val="en-US"/>
              </w:rPr>
              <w:t xml:space="preserve"> Nyeri</w:t>
            </w:r>
          </w:p>
        </w:tc>
        <w:tc>
          <w:tcPr>
            <w:tcW w:w="1350" w:type="pct"/>
            <w:vAlign w:val="center"/>
          </w:tcPr>
          <w:p w14:paraId="0BF672DE" w14:textId="77777777" w:rsidR="00B50EE9" w:rsidRPr="000F7523" w:rsidRDefault="00B50EE9" w:rsidP="001F17F1">
            <w:pPr>
              <w:pStyle w:val="ListParagraph"/>
              <w:widowControl w:val="0"/>
              <w:ind w:left="0"/>
              <w:jc w:val="center"/>
              <w:rPr>
                <w:b/>
              </w:rPr>
            </w:pPr>
            <w:r w:rsidRPr="000F7523">
              <w:rPr>
                <w:b/>
                <w:i/>
                <w:iCs/>
              </w:rPr>
              <w:t>r</w:t>
            </w:r>
            <w:r w:rsidRPr="000F7523">
              <w:rPr>
                <w:b/>
              </w:rPr>
              <w:t xml:space="preserve"> value</w:t>
            </w:r>
          </w:p>
        </w:tc>
        <w:tc>
          <w:tcPr>
            <w:tcW w:w="1007" w:type="pct"/>
            <w:vAlign w:val="center"/>
          </w:tcPr>
          <w:p w14:paraId="08A16413" w14:textId="77777777" w:rsidR="00B50EE9" w:rsidRPr="000F7523" w:rsidRDefault="00B50EE9" w:rsidP="001F17F1">
            <w:pPr>
              <w:pStyle w:val="ListParagraph"/>
              <w:widowControl w:val="0"/>
              <w:ind w:left="0"/>
              <w:jc w:val="center"/>
              <w:rPr>
                <w:b/>
              </w:rPr>
            </w:pPr>
            <w:r w:rsidRPr="000F7523">
              <w:rPr>
                <w:b/>
                <w:i/>
                <w:iCs/>
              </w:rPr>
              <w:t>p</w:t>
            </w:r>
            <w:r w:rsidRPr="000F7523">
              <w:rPr>
                <w:b/>
              </w:rPr>
              <w:t xml:space="preserve"> value</w:t>
            </w:r>
          </w:p>
        </w:tc>
      </w:tr>
      <w:tr w:rsidR="00B50EE9" w:rsidRPr="000F7523" w14:paraId="0AF61833" w14:textId="77777777" w:rsidTr="004F2186">
        <w:tc>
          <w:tcPr>
            <w:tcW w:w="859" w:type="pct"/>
            <w:vMerge w:val="restart"/>
            <w:vAlign w:val="center"/>
          </w:tcPr>
          <w:p w14:paraId="6CCAE966" w14:textId="06339231" w:rsidR="00B50EE9" w:rsidRDefault="00B50EE9" w:rsidP="00B50EE9">
            <w:pPr>
              <w:pStyle w:val="ListParagraph"/>
              <w:widowControl w:val="0"/>
              <w:spacing w:line="360" w:lineRule="auto"/>
              <w:ind w:left="0"/>
              <w:jc w:val="center"/>
              <w:rPr>
                <w:bCs/>
                <w:lang w:val="en-US"/>
              </w:rPr>
            </w:pPr>
            <w:proofErr w:type="spellStart"/>
            <w:r>
              <w:rPr>
                <w:bCs/>
                <w:lang w:val="en-US"/>
              </w:rPr>
              <w:t>Kontrol</w:t>
            </w:r>
            <w:proofErr w:type="spellEnd"/>
          </w:p>
        </w:tc>
        <w:tc>
          <w:tcPr>
            <w:tcW w:w="1784" w:type="pct"/>
          </w:tcPr>
          <w:p w14:paraId="4B02F928" w14:textId="67547139" w:rsidR="00B50EE9" w:rsidRPr="00B50EE9" w:rsidRDefault="00B50EE9" w:rsidP="001F17F1">
            <w:pPr>
              <w:pStyle w:val="ListParagraph"/>
              <w:widowControl w:val="0"/>
              <w:spacing w:line="360" w:lineRule="auto"/>
              <w:ind w:left="0"/>
              <w:jc w:val="center"/>
              <w:rPr>
                <w:bCs/>
                <w:lang w:val="en-US"/>
              </w:rPr>
            </w:pPr>
            <w:r>
              <w:rPr>
                <w:bCs/>
                <w:lang w:val="en-US"/>
              </w:rPr>
              <w:t>NRS 2 Jam</w:t>
            </w:r>
          </w:p>
        </w:tc>
        <w:tc>
          <w:tcPr>
            <w:tcW w:w="1350" w:type="pct"/>
            <w:vAlign w:val="center"/>
          </w:tcPr>
          <w:p w14:paraId="4C1D4B7F" w14:textId="0296E8A4" w:rsidR="00B50EE9" w:rsidRPr="0009147D" w:rsidRDefault="00B50EE9" w:rsidP="001F17F1">
            <w:pPr>
              <w:pStyle w:val="ListParagraph"/>
              <w:widowControl w:val="0"/>
              <w:spacing w:line="360" w:lineRule="auto"/>
              <w:ind w:left="0"/>
              <w:jc w:val="center"/>
              <w:rPr>
                <w:bCs/>
                <w:lang w:val="en-US"/>
              </w:rPr>
            </w:pPr>
            <w:r w:rsidRPr="000F7523">
              <w:rPr>
                <w:bCs/>
              </w:rPr>
              <w:t>0</w:t>
            </w:r>
            <w:r w:rsidR="004F2186">
              <w:rPr>
                <w:bCs/>
              </w:rPr>
              <w:t>,</w:t>
            </w:r>
            <w:r w:rsidR="0009147D">
              <w:rPr>
                <w:bCs/>
                <w:lang w:val="en-US"/>
              </w:rPr>
              <w:t>294</w:t>
            </w:r>
          </w:p>
        </w:tc>
        <w:tc>
          <w:tcPr>
            <w:tcW w:w="1007" w:type="pct"/>
            <w:vAlign w:val="center"/>
          </w:tcPr>
          <w:p w14:paraId="1AE62A6B" w14:textId="08584FBD" w:rsidR="00B50EE9" w:rsidRPr="0009147D" w:rsidRDefault="0009147D" w:rsidP="001F17F1">
            <w:pPr>
              <w:pStyle w:val="ListParagraph"/>
              <w:widowControl w:val="0"/>
              <w:spacing w:line="360" w:lineRule="auto"/>
              <w:ind w:left="0"/>
              <w:jc w:val="center"/>
              <w:rPr>
                <w:bCs/>
                <w:lang w:val="en-US"/>
              </w:rPr>
            </w:pPr>
            <w:r>
              <w:rPr>
                <w:bCs/>
                <w:lang w:val="en-US"/>
              </w:rPr>
              <w:t>0</w:t>
            </w:r>
            <w:r w:rsidR="004F2186">
              <w:rPr>
                <w:bCs/>
                <w:lang w:val="en-US"/>
              </w:rPr>
              <w:t>,</w:t>
            </w:r>
            <w:r>
              <w:rPr>
                <w:bCs/>
                <w:lang w:val="en-US"/>
              </w:rPr>
              <w:t>287</w:t>
            </w:r>
            <w:r w:rsidRPr="0009147D">
              <w:rPr>
                <w:bCs/>
                <w:vertAlign w:val="superscript"/>
                <w:lang w:val="en-US"/>
              </w:rPr>
              <w:t>ns</w:t>
            </w:r>
          </w:p>
        </w:tc>
      </w:tr>
      <w:tr w:rsidR="0009147D" w:rsidRPr="000F7523" w14:paraId="7380B185" w14:textId="77777777" w:rsidTr="004F2186">
        <w:tc>
          <w:tcPr>
            <w:tcW w:w="859" w:type="pct"/>
            <w:vMerge/>
            <w:vAlign w:val="center"/>
          </w:tcPr>
          <w:p w14:paraId="333C3D2E" w14:textId="77777777" w:rsidR="0009147D" w:rsidRDefault="0009147D" w:rsidP="0009147D">
            <w:pPr>
              <w:pStyle w:val="ListParagraph"/>
              <w:widowControl w:val="0"/>
              <w:spacing w:line="360" w:lineRule="auto"/>
              <w:ind w:left="0"/>
              <w:jc w:val="center"/>
              <w:rPr>
                <w:bCs/>
                <w:lang w:val="en-US"/>
              </w:rPr>
            </w:pPr>
          </w:p>
        </w:tc>
        <w:tc>
          <w:tcPr>
            <w:tcW w:w="1784" w:type="pct"/>
          </w:tcPr>
          <w:p w14:paraId="154EBE9E" w14:textId="2D88779E" w:rsidR="0009147D" w:rsidRPr="000F7523" w:rsidRDefault="0009147D" w:rsidP="0009147D">
            <w:pPr>
              <w:pStyle w:val="ListParagraph"/>
              <w:widowControl w:val="0"/>
              <w:spacing w:line="360" w:lineRule="auto"/>
              <w:ind w:left="0"/>
              <w:jc w:val="center"/>
              <w:rPr>
                <w:bCs/>
              </w:rPr>
            </w:pPr>
            <w:r>
              <w:rPr>
                <w:bCs/>
                <w:lang w:val="en-US"/>
              </w:rPr>
              <w:t>NRS 4 Jam</w:t>
            </w:r>
          </w:p>
        </w:tc>
        <w:tc>
          <w:tcPr>
            <w:tcW w:w="1350" w:type="pct"/>
            <w:vAlign w:val="center"/>
          </w:tcPr>
          <w:p w14:paraId="08F37989" w14:textId="4382E2FC" w:rsidR="0009147D" w:rsidRPr="0009147D" w:rsidRDefault="0009147D" w:rsidP="0009147D">
            <w:pPr>
              <w:pStyle w:val="ListParagraph"/>
              <w:widowControl w:val="0"/>
              <w:spacing w:line="360" w:lineRule="auto"/>
              <w:ind w:left="0"/>
              <w:jc w:val="center"/>
              <w:rPr>
                <w:rFonts w:eastAsiaTheme="minorEastAsia"/>
                <w:bCs/>
                <w:lang w:val="en-US" w:eastAsia="zh-CN"/>
              </w:rPr>
            </w:pPr>
            <w:r w:rsidRPr="000F7523">
              <w:rPr>
                <w:bCs/>
              </w:rPr>
              <w:t>0</w:t>
            </w:r>
            <w:r w:rsidR="004F2186">
              <w:rPr>
                <w:bCs/>
              </w:rPr>
              <w:t>,</w:t>
            </w:r>
            <w:r>
              <w:rPr>
                <w:bCs/>
                <w:lang w:val="en-US"/>
              </w:rPr>
              <w:t>272</w:t>
            </w:r>
          </w:p>
        </w:tc>
        <w:tc>
          <w:tcPr>
            <w:tcW w:w="1007" w:type="pct"/>
          </w:tcPr>
          <w:p w14:paraId="7F8A30D7" w14:textId="42CB8738" w:rsidR="0009147D" w:rsidRPr="000F7523" w:rsidRDefault="0009147D" w:rsidP="0009147D">
            <w:pPr>
              <w:pStyle w:val="ListParagraph"/>
              <w:widowControl w:val="0"/>
              <w:spacing w:line="360" w:lineRule="auto"/>
              <w:ind w:left="0"/>
              <w:jc w:val="center"/>
              <w:rPr>
                <w:bCs/>
              </w:rPr>
            </w:pPr>
            <w:r w:rsidRPr="00270E0F">
              <w:rPr>
                <w:bCs/>
                <w:lang w:val="en-US"/>
              </w:rPr>
              <w:t>0</w:t>
            </w:r>
            <w:r w:rsidR="004F2186">
              <w:rPr>
                <w:bCs/>
                <w:lang w:val="en-US"/>
              </w:rPr>
              <w:t>,</w:t>
            </w:r>
            <w:r>
              <w:rPr>
                <w:bCs/>
                <w:lang w:val="en-US"/>
              </w:rPr>
              <w:t>326</w:t>
            </w:r>
            <w:r w:rsidRPr="00270E0F">
              <w:rPr>
                <w:bCs/>
                <w:vertAlign w:val="superscript"/>
                <w:lang w:val="en-US"/>
              </w:rPr>
              <w:t>ns</w:t>
            </w:r>
          </w:p>
        </w:tc>
      </w:tr>
      <w:tr w:rsidR="0009147D" w:rsidRPr="000F7523" w14:paraId="4CF2459C" w14:textId="77777777" w:rsidTr="004F2186">
        <w:tc>
          <w:tcPr>
            <w:tcW w:w="859" w:type="pct"/>
            <w:vMerge/>
            <w:vAlign w:val="center"/>
          </w:tcPr>
          <w:p w14:paraId="1697753C" w14:textId="77777777" w:rsidR="0009147D" w:rsidRDefault="0009147D" w:rsidP="0009147D">
            <w:pPr>
              <w:pStyle w:val="ListParagraph"/>
              <w:widowControl w:val="0"/>
              <w:spacing w:line="360" w:lineRule="auto"/>
              <w:ind w:left="0"/>
              <w:jc w:val="center"/>
              <w:rPr>
                <w:bCs/>
                <w:lang w:val="en-US"/>
              </w:rPr>
            </w:pPr>
          </w:p>
        </w:tc>
        <w:tc>
          <w:tcPr>
            <w:tcW w:w="1784" w:type="pct"/>
          </w:tcPr>
          <w:p w14:paraId="46EC5653" w14:textId="6761AF0E" w:rsidR="0009147D" w:rsidRPr="000F7523" w:rsidRDefault="0009147D" w:rsidP="0009147D">
            <w:pPr>
              <w:pStyle w:val="ListParagraph"/>
              <w:widowControl w:val="0"/>
              <w:spacing w:line="360" w:lineRule="auto"/>
              <w:ind w:left="0"/>
              <w:jc w:val="center"/>
              <w:rPr>
                <w:bCs/>
              </w:rPr>
            </w:pPr>
            <w:r>
              <w:rPr>
                <w:bCs/>
                <w:lang w:val="en-US"/>
              </w:rPr>
              <w:t>NRS 6 Jam</w:t>
            </w:r>
          </w:p>
        </w:tc>
        <w:tc>
          <w:tcPr>
            <w:tcW w:w="1350" w:type="pct"/>
            <w:vAlign w:val="center"/>
          </w:tcPr>
          <w:p w14:paraId="73B883B8" w14:textId="07B39386" w:rsidR="0009147D" w:rsidRPr="0009147D" w:rsidRDefault="0009147D" w:rsidP="0009147D">
            <w:pPr>
              <w:pStyle w:val="ListParagraph"/>
              <w:widowControl w:val="0"/>
              <w:spacing w:line="360" w:lineRule="auto"/>
              <w:ind w:left="0"/>
              <w:jc w:val="center"/>
              <w:rPr>
                <w:rFonts w:eastAsiaTheme="minorEastAsia"/>
                <w:bCs/>
                <w:lang w:val="en-US" w:eastAsia="zh-CN"/>
              </w:rPr>
            </w:pPr>
            <w:r w:rsidRPr="000F7523">
              <w:rPr>
                <w:bCs/>
              </w:rPr>
              <w:t>0</w:t>
            </w:r>
            <w:r w:rsidR="004F2186">
              <w:rPr>
                <w:bCs/>
              </w:rPr>
              <w:t>,</w:t>
            </w:r>
            <w:r>
              <w:rPr>
                <w:bCs/>
                <w:lang w:val="en-US"/>
              </w:rPr>
              <w:t>075</w:t>
            </w:r>
          </w:p>
        </w:tc>
        <w:tc>
          <w:tcPr>
            <w:tcW w:w="1007" w:type="pct"/>
          </w:tcPr>
          <w:p w14:paraId="08A21452" w14:textId="212DD7D3" w:rsidR="0009147D" w:rsidRPr="000F7523" w:rsidRDefault="0009147D" w:rsidP="0009147D">
            <w:pPr>
              <w:pStyle w:val="ListParagraph"/>
              <w:widowControl w:val="0"/>
              <w:spacing w:line="360" w:lineRule="auto"/>
              <w:ind w:left="0"/>
              <w:jc w:val="center"/>
              <w:rPr>
                <w:bCs/>
              </w:rPr>
            </w:pPr>
            <w:r w:rsidRPr="00270E0F">
              <w:rPr>
                <w:bCs/>
                <w:lang w:val="en-US"/>
              </w:rPr>
              <w:t>0</w:t>
            </w:r>
            <w:r w:rsidR="004F2186">
              <w:rPr>
                <w:bCs/>
                <w:lang w:val="en-US"/>
              </w:rPr>
              <w:t>,</w:t>
            </w:r>
            <w:r>
              <w:rPr>
                <w:bCs/>
                <w:lang w:val="en-US"/>
              </w:rPr>
              <w:t>789</w:t>
            </w:r>
            <w:r w:rsidRPr="00270E0F">
              <w:rPr>
                <w:bCs/>
                <w:vertAlign w:val="superscript"/>
                <w:lang w:val="en-US"/>
              </w:rPr>
              <w:t>ns</w:t>
            </w:r>
          </w:p>
        </w:tc>
      </w:tr>
      <w:tr w:rsidR="0009147D" w:rsidRPr="000F7523" w14:paraId="45EEAE1D" w14:textId="77777777" w:rsidTr="004F2186">
        <w:tc>
          <w:tcPr>
            <w:tcW w:w="859" w:type="pct"/>
            <w:vMerge/>
            <w:vAlign w:val="center"/>
          </w:tcPr>
          <w:p w14:paraId="0256E6F2" w14:textId="77777777" w:rsidR="0009147D" w:rsidRDefault="0009147D" w:rsidP="0009147D">
            <w:pPr>
              <w:pStyle w:val="ListParagraph"/>
              <w:widowControl w:val="0"/>
              <w:spacing w:line="360" w:lineRule="auto"/>
              <w:ind w:left="0"/>
              <w:jc w:val="center"/>
              <w:rPr>
                <w:bCs/>
                <w:lang w:val="en-US"/>
              </w:rPr>
            </w:pPr>
          </w:p>
        </w:tc>
        <w:tc>
          <w:tcPr>
            <w:tcW w:w="1784" w:type="pct"/>
          </w:tcPr>
          <w:p w14:paraId="0DDAEF75" w14:textId="298590F1" w:rsidR="0009147D" w:rsidRPr="000F7523" w:rsidRDefault="0009147D" w:rsidP="0009147D">
            <w:pPr>
              <w:pStyle w:val="ListParagraph"/>
              <w:widowControl w:val="0"/>
              <w:spacing w:line="360" w:lineRule="auto"/>
              <w:ind w:left="0"/>
              <w:jc w:val="center"/>
              <w:rPr>
                <w:bCs/>
              </w:rPr>
            </w:pPr>
            <w:r>
              <w:rPr>
                <w:bCs/>
                <w:lang w:val="en-US"/>
              </w:rPr>
              <w:t>NRS 8 Jam</w:t>
            </w:r>
          </w:p>
        </w:tc>
        <w:tc>
          <w:tcPr>
            <w:tcW w:w="1350" w:type="pct"/>
            <w:vAlign w:val="center"/>
          </w:tcPr>
          <w:p w14:paraId="23210338" w14:textId="5F23F939" w:rsidR="0009147D" w:rsidRPr="0009147D" w:rsidRDefault="0009147D" w:rsidP="0009147D">
            <w:pPr>
              <w:pStyle w:val="ListParagraph"/>
              <w:widowControl w:val="0"/>
              <w:spacing w:line="360" w:lineRule="auto"/>
              <w:ind w:left="0"/>
              <w:jc w:val="center"/>
              <w:rPr>
                <w:rFonts w:eastAsiaTheme="minorEastAsia"/>
                <w:bCs/>
                <w:lang w:val="en-US" w:eastAsia="zh-CN"/>
              </w:rPr>
            </w:pPr>
            <w:r w:rsidRPr="000F7523">
              <w:rPr>
                <w:bCs/>
              </w:rPr>
              <w:t>0</w:t>
            </w:r>
            <w:r w:rsidR="004F2186">
              <w:rPr>
                <w:bCs/>
              </w:rPr>
              <w:t>,</w:t>
            </w:r>
            <w:r>
              <w:rPr>
                <w:bCs/>
              </w:rPr>
              <w:t>167</w:t>
            </w:r>
          </w:p>
        </w:tc>
        <w:tc>
          <w:tcPr>
            <w:tcW w:w="1007" w:type="pct"/>
          </w:tcPr>
          <w:p w14:paraId="44853929" w14:textId="2B02FCCE" w:rsidR="0009147D" w:rsidRPr="000F7523" w:rsidRDefault="0009147D" w:rsidP="0009147D">
            <w:pPr>
              <w:pStyle w:val="ListParagraph"/>
              <w:widowControl w:val="0"/>
              <w:spacing w:line="360" w:lineRule="auto"/>
              <w:ind w:left="0"/>
              <w:jc w:val="center"/>
              <w:rPr>
                <w:bCs/>
              </w:rPr>
            </w:pPr>
            <w:r w:rsidRPr="00270E0F">
              <w:rPr>
                <w:bCs/>
                <w:lang w:val="en-US"/>
              </w:rPr>
              <w:t>0</w:t>
            </w:r>
            <w:r w:rsidR="004F2186">
              <w:rPr>
                <w:bCs/>
                <w:lang w:val="en-US"/>
              </w:rPr>
              <w:t>,</w:t>
            </w:r>
            <w:r>
              <w:rPr>
                <w:bCs/>
                <w:lang w:val="en-US"/>
              </w:rPr>
              <w:t>553</w:t>
            </w:r>
            <w:r w:rsidRPr="00270E0F">
              <w:rPr>
                <w:bCs/>
                <w:vertAlign w:val="superscript"/>
                <w:lang w:val="en-US"/>
              </w:rPr>
              <w:t>ns</w:t>
            </w:r>
          </w:p>
        </w:tc>
      </w:tr>
      <w:tr w:rsidR="0009147D" w:rsidRPr="000F7523" w14:paraId="1516C29D" w14:textId="77777777" w:rsidTr="004F2186">
        <w:tc>
          <w:tcPr>
            <w:tcW w:w="859" w:type="pct"/>
            <w:vMerge/>
            <w:vAlign w:val="center"/>
          </w:tcPr>
          <w:p w14:paraId="559E6146" w14:textId="77777777" w:rsidR="0009147D" w:rsidRDefault="0009147D" w:rsidP="0009147D">
            <w:pPr>
              <w:pStyle w:val="ListParagraph"/>
              <w:widowControl w:val="0"/>
              <w:spacing w:line="360" w:lineRule="auto"/>
              <w:ind w:left="0"/>
              <w:jc w:val="center"/>
              <w:rPr>
                <w:bCs/>
                <w:lang w:val="en-US"/>
              </w:rPr>
            </w:pPr>
          </w:p>
        </w:tc>
        <w:tc>
          <w:tcPr>
            <w:tcW w:w="1784" w:type="pct"/>
          </w:tcPr>
          <w:p w14:paraId="64F2986F" w14:textId="041633C3" w:rsidR="0009147D" w:rsidRPr="000F7523" w:rsidRDefault="0009147D" w:rsidP="0009147D">
            <w:pPr>
              <w:pStyle w:val="ListParagraph"/>
              <w:widowControl w:val="0"/>
              <w:spacing w:line="360" w:lineRule="auto"/>
              <w:ind w:left="0"/>
              <w:jc w:val="center"/>
              <w:rPr>
                <w:bCs/>
              </w:rPr>
            </w:pPr>
            <w:r>
              <w:rPr>
                <w:bCs/>
                <w:lang w:val="en-US"/>
              </w:rPr>
              <w:t>NRS 12 Jam</w:t>
            </w:r>
          </w:p>
        </w:tc>
        <w:tc>
          <w:tcPr>
            <w:tcW w:w="1350" w:type="pct"/>
            <w:vAlign w:val="center"/>
          </w:tcPr>
          <w:p w14:paraId="49CECAF1" w14:textId="71BFEBEC" w:rsidR="0009147D" w:rsidRPr="0009147D" w:rsidRDefault="0009147D" w:rsidP="0009147D">
            <w:pPr>
              <w:pStyle w:val="ListParagraph"/>
              <w:widowControl w:val="0"/>
              <w:spacing w:line="360" w:lineRule="auto"/>
              <w:ind w:left="0"/>
              <w:jc w:val="center"/>
              <w:rPr>
                <w:rFonts w:eastAsiaTheme="minorEastAsia"/>
                <w:bCs/>
                <w:lang w:val="en-US" w:eastAsia="zh-CN"/>
              </w:rPr>
            </w:pPr>
            <w:r w:rsidRPr="000F7523">
              <w:rPr>
                <w:bCs/>
              </w:rPr>
              <w:t>0</w:t>
            </w:r>
            <w:r w:rsidR="004F2186">
              <w:rPr>
                <w:bCs/>
              </w:rPr>
              <w:t>,</w:t>
            </w:r>
            <w:r>
              <w:rPr>
                <w:bCs/>
                <w:lang w:val="en-US"/>
              </w:rPr>
              <w:t>001</w:t>
            </w:r>
          </w:p>
        </w:tc>
        <w:tc>
          <w:tcPr>
            <w:tcW w:w="1007" w:type="pct"/>
          </w:tcPr>
          <w:p w14:paraId="1D4C599E" w14:textId="7ADF61A0" w:rsidR="0009147D" w:rsidRPr="000F7523" w:rsidRDefault="0009147D" w:rsidP="0009147D">
            <w:pPr>
              <w:pStyle w:val="ListParagraph"/>
              <w:widowControl w:val="0"/>
              <w:spacing w:line="360" w:lineRule="auto"/>
              <w:ind w:left="0"/>
              <w:jc w:val="center"/>
              <w:rPr>
                <w:bCs/>
              </w:rPr>
            </w:pPr>
            <w:r w:rsidRPr="00270E0F">
              <w:rPr>
                <w:bCs/>
                <w:lang w:val="en-US"/>
              </w:rPr>
              <w:t>0</w:t>
            </w:r>
            <w:r w:rsidR="004F2186">
              <w:rPr>
                <w:bCs/>
                <w:lang w:val="en-US"/>
              </w:rPr>
              <w:t>,</w:t>
            </w:r>
            <w:r>
              <w:rPr>
                <w:bCs/>
                <w:lang w:val="en-US"/>
              </w:rPr>
              <w:t>983</w:t>
            </w:r>
            <w:r w:rsidRPr="00270E0F">
              <w:rPr>
                <w:bCs/>
                <w:vertAlign w:val="superscript"/>
                <w:lang w:val="en-US"/>
              </w:rPr>
              <w:t>ns</w:t>
            </w:r>
          </w:p>
        </w:tc>
      </w:tr>
      <w:tr w:rsidR="0009147D" w:rsidRPr="000F7523" w14:paraId="124C4408" w14:textId="77777777" w:rsidTr="004F2186">
        <w:tc>
          <w:tcPr>
            <w:tcW w:w="859" w:type="pct"/>
            <w:vMerge/>
            <w:vAlign w:val="center"/>
          </w:tcPr>
          <w:p w14:paraId="6FC3691D" w14:textId="77777777" w:rsidR="0009147D" w:rsidRDefault="0009147D" w:rsidP="0009147D">
            <w:pPr>
              <w:pStyle w:val="ListParagraph"/>
              <w:widowControl w:val="0"/>
              <w:spacing w:line="360" w:lineRule="auto"/>
              <w:ind w:left="0"/>
              <w:jc w:val="center"/>
              <w:rPr>
                <w:bCs/>
                <w:lang w:val="en-US"/>
              </w:rPr>
            </w:pPr>
          </w:p>
        </w:tc>
        <w:tc>
          <w:tcPr>
            <w:tcW w:w="1784" w:type="pct"/>
          </w:tcPr>
          <w:p w14:paraId="56C80075" w14:textId="62CC7AE2" w:rsidR="0009147D" w:rsidRPr="000F7523" w:rsidRDefault="0009147D" w:rsidP="0009147D">
            <w:pPr>
              <w:pStyle w:val="ListParagraph"/>
              <w:widowControl w:val="0"/>
              <w:spacing w:line="360" w:lineRule="auto"/>
              <w:ind w:left="0"/>
              <w:jc w:val="center"/>
              <w:rPr>
                <w:bCs/>
              </w:rPr>
            </w:pPr>
            <w:r>
              <w:rPr>
                <w:bCs/>
                <w:lang w:val="en-US"/>
              </w:rPr>
              <w:t>NRS 24 Jam</w:t>
            </w:r>
          </w:p>
        </w:tc>
        <w:tc>
          <w:tcPr>
            <w:tcW w:w="1350" w:type="pct"/>
            <w:vAlign w:val="center"/>
          </w:tcPr>
          <w:p w14:paraId="51C67C58" w14:textId="34460A10" w:rsidR="0009147D" w:rsidRPr="0009147D" w:rsidRDefault="0009147D" w:rsidP="0009147D">
            <w:pPr>
              <w:pStyle w:val="ListParagraph"/>
              <w:widowControl w:val="0"/>
              <w:spacing w:line="360" w:lineRule="auto"/>
              <w:ind w:left="0"/>
              <w:jc w:val="center"/>
              <w:rPr>
                <w:rFonts w:eastAsiaTheme="minorEastAsia"/>
                <w:bCs/>
                <w:lang w:val="en-US" w:eastAsia="zh-CN"/>
              </w:rPr>
            </w:pPr>
            <w:r w:rsidRPr="000F7523">
              <w:rPr>
                <w:bCs/>
              </w:rPr>
              <w:t>0</w:t>
            </w:r>
            <w:r w:rsidR="004F2186">
              <w:rPr>
                <w:bCs/>
              </w:rPr>
              <w:t>,</w:t>
            </w:r>
            <w:r>
              <w:rPr>
                <w:bCs/>
                <w:lang w:val="en-US"/>
              </w:rPr>
              <w:t>200</w:t>
            </w:r>
          </w:p>
        </w:tc>
        <w:tc>
          <w:tcPr>
            <w:tcW w:w="1007" w:type="pct"/>
          </w:tcPr>
          <w:p w14:paraId="469D0EC4" w14:textId="65F15D4D" w:rsidR="0009147D" w:rsidRPr="000F7523" w:rsidRDefault="0009147D" w:rsidP="0009147D">
            <w:pPr>
              <w:pStyle w:val="ListParagraph"/>
              <w:widowControl w:val="0"/>
              <w:spacing w:line="360" w:lineRule="auto"/>
              <w:ind w:left="0"/>
              <w:jc w:val="center"/>
              <w:rPr>
                <w:bCs/>
              </w:rPr>
            </w:pPr>
            <w:r w:rsidRPr="00270E0F">
              <w:rPr>
                <w:bCs/>
                <w:lang w:val="en-US"/>
              </w:rPr>
              <w:t>0</w:t>
            </w:r>
            <w:r w:rsidR="004F2186">
              <w:rPr>
                <w:bCs/>
                <w:lang w:val="en-US"/>
              </w:rPr>
              <w:t>,</w:t>
            </w:r>
            <w:r>
              <w:rPr>
                <w:bCs/>
                <w:lang w:val="en-US"/>
              </w:rPr>
              <w:t>474</w:t>
            </w:r>
            <w:r w:rsidRPr="00270E0F">
              <w:rPr>
                <w:bCs/>
                <w:vertAlign w:val="superscript"/>
                <w:lang w:val="en-US"/>
              </w:rPr>
              <w:t>ns</w:t>
            </w:r>
          </w:p>
        </w:tc>
      </w:tr>
      <w:tr w:rsidR="0009147D" w:rsidRPr="000F7523" w14:paraId="59B6DA7E" w14:textId="77777777" w:rsidTr="004F2186">
        <w:tc>
          <w:tcPr>
            <w:tcW w:w="859" w:type="pct"/>
            <w:vMerge w:val="restart"/>
            <w:vAlign w:val="center"/>
          </w:tcPr>
          <w:p w14:paraId="5F5BCEB3" w14:textId="4A1B46D2" w:rsidR="0009147D" w:rsidRDefault="0009147D" w:rsidP="0009147D">
            <w:pPr>
              <w:pStyle w:val="ListParagraph"/>
              <w:widowControl w:val="0"/>
              <w:spacing w:line="360" w:lineRule="auto"/>
              <w:ind w:left="0"/>
              <w:jc w:val="center"/>
              <w:rPr>
                <w:bCs/>
                <w:lang w:val="en-US"/>
              </w:rPr>
            </w:pPr>
            <w:proofErr w:type="spellStart"/>
            <w:r>
              <w:rPr>
                <w:bCs/>
                <w:lang w:val="en-US"/>
              </w:rPr>
              <w:t>Intervensi</w:t>
            </w:r>
            <w:proofErr w:type="spellEnd"/>
          </w:p>
        </w:tc>
        <w:tc>
          <w:tcPr>
            <w:tcW w:w="1784" w:type="pct"/>
          </w:tcPr>
          <w:p w14:paraId="0E8F1056" w14:textId="2BF14B25" w:rsidR="0009147D" w:rsidRPr="000F7523" w:rsidRDefault="0009147D" w:rsidP="0009147D">
            <w:pPr>
              <w:pStyle w:val="ListParagraph"/>
              <w:widowControl w:val="0"/>
              <w:spacing w:line="360" w:lineRule="auto"/>
              <w:ind w:left="0"/>
              <w:jc w:val="center"/>
              <w:rPr>
                <w:bCs/>
              </w:rPr>
            </w:pPr>
            <w:r>
              <w:rPr>
                <w:bCs/>
                <w:lang w:val="en-US"/>
              </w:rPr>
              <w:t>NRS 2 Jam</w:t>
            </w:r>
          </w:p>
        </w:tc>
        <w:tc>
          <w:tcPr>
            <w:tcW w:w="1350" w:type="pct"/>
            <w:vAlign w:val="center"/>
          </w:tcPr>
          <w:p w14:paraId="21725F14" w14:textId="31F32D14" w:rsidR="0009147D" w:rsidRPr="0009147D" w:rsidRDefault="0009147D" w:rsidP="0009147D">
            <w:pPr>
              <w:pStyle w:val="ListParagraph"/>
              <w:widowControl w:val="0"/>
              <w:spacing w:line="360" w:lineRule="auto"/>
              <w:ind w:left="0"/>
              <w:jc w:val="center"/>
              <w:rPr>
                <w:rFonts w:eastAsiaTheme="minorEastAsia"/>
                <w:bCs/>
                <w:lang w:val="en-US" w:eastAsia="zh-CN"/>
              </w:rPr>
            </w:pPr>
            <w:r w:rsidRPr="000F7523">
              <w:rPr>
                <w:bCs/>
              </w:rPr>
              <w:t>0</w:t>
            </w:r>
            <w:r w:rsidR="004F2186">
              <w:rPr>
                <w:bCs/>
              </w:rPr>
              <w:t>,</w:t>
            </w:r>
            <w:r>
              <w:rPr>
                <w:bCs/>
                <w:lang w:val="en-US"/>
              </w:rPr>
              <w:t>354</w:t>
            </w:r>
          </w:p>
        </w:tc>
        <w:tc>
          <w:tcPr>
            <w:tcW w:w="1007" w:type="pct"/>
          </w:tcPr>
          <w:p w14:paraId="3BB63FB5" w14:textId="1C8F0EBA" w:rsidR="0009147D" w:rsidRPr="000F7523" w:rsidRDefault="0009147D" w:rsidP="0009147D">
            <w:pPr>
              <w:pStyle w:val="ListParagraph"/>
              <w:widowControl w:val="0"/>
              <w:spacing w:line="360" w:lineRule="auto"/>
              <w:ind w:left="0"/>
              <w:jc w:val="center"/>
              <w:rPr>
                <w:bCs/>
              </w:rPr>
            </w:pPr>
            <w:r w:rsidRPr="00270E0F">
              <w:rPr>
                <w:bCs/>
                <w:lang w:val="en-US"/>
              </w:rPr>
              <w:t>0</w:t>
            </w:r>
            <w:r w:rsidR="004F2186">
              <w:rPr>
                <w:bCs/>
                <w:lang w:val="en-US"/>
              </w:rPr>
              <w:t>,</w:t>
            </w:r>
            <w:r>
              <w:rPr>
                <w:bCs/>
                <w:lang w:val="en-US"/>
              </w:rPr>
              <w:t>196</w:t>
            </w:r>
            <w:r w:rsidRPr="00270E0F">
              <w:rPr>
                <w:bCs/>
                <w:vertAlign w:val="superscript"/>
                <w:lang w:val="en-US"/>
              </w:rPr>
              <w:t>ns</w:t>
            </w:r>
          </w:p>
        </w:tc>
      </w:tr>
      <w:tr w:rsidR="0009147D" w:rsidRPr="000F7523" w14:paraId="353DA06E" w14:textId="77777777" w:rsidTr="004F2186">
        <w:tc>
          <w:tcPr>
            <w:tcW w:w="859" w:type="pct"/>
            <w:vMerge/>
          </w:tcPr>
          <w:p w14:paraId="3BADB541" w14:textId="77777777" w:rsidR="0009147D" w:rsidRDefault="0009147D" w:rsidP="0009147D">
            <w:pPr>
              <w:pStyle w:val="ListParagraph"/>
              <w:widowControl w:val="0"/>
              <w:spacing w:line="360" w:lineRule="auto"/>
              <w:ind w:left="0"/>
              <w:jc w:val="center"/>
              <w:rPr>
                <w:bCs/>
                <w:lang w:val="en-US"/>
              </w:rPr>
            </w:pPr>
          </w:p>
        </w:tc>
        <w:tc>
          <w:tcPr>
            <w:tcW w:w="1784" w:type="pct"/>
          </w:tcPr>
          <w:p w14:paraId="120F6245" w14:textId="62DC9644" w:rsidR="0009147D" w:rsidRDefault="0009147D" w:rsidP="0009147D">
            <w:pPr>
              <w:pStyle w:val="ListParagraph"/>
              <w:widowControl w:val="0"/>
              <w:spacing w:line="360" w:lineRule="auto"/>
              <w:ind w:left="0"/>
              <w:jc w:val="center"/>
              <w:rPr>
                <w:bCs/>
                <w:lang w:val="en-US"/>
              </w:rPr>
            </w:pPr>
            <w:r>
              <w:rPr>
                <w:bCs/>
                <w:lang w:val="en-US"/>
              </w:rPr>
              <w:t>NRS 4 Jam</w:t>
            </w:r>
          </w:p>
        </w:tc>
        <w:tc>
          <w:tcPr>
            <w:tcW w:w="1350" w:type="pct"/>
            <w:vAlign w:val="center"/>
          </w:tcPr>
          <w:p w14:paraId="7339BADE" w14:textId="7A4BC2C5" w:rsidR="0009147D" w:rsidRPr="0009147D" w:rsidRDefault="0009147D" w:rsidP="0009147D">
            <w:pPr>
              <w:pStyle w:val="ListParagraph"/>
              <w:widowControl w:val="0"/>
              <w:spacing w:line="360" w:lineRule="auto"/>
              <w:ind w:left="0"/>
              <w:jc w:val="center"/>
              <w:rPr>
                <w:rFonts w:eastAsiaTheme="minorEastAsia"/>
                <w:bCs/>
                <w:lang w:val="en-US" w:eastAsia="zh-CN"/>
              </w:rPr>
            </w:pPr>
            <w:r w:rsidRPr="000F7523">
              <w:rPr>
                <w:bCs/>
              </w:rPr>
              <w:t>0</w:t>
            </w:r>
            <w:r w:rsidR="004F2186">
              <w:rPr>
                <w:bCs/>
              </w:rPr>
              <w:t>,</w:t>
            </w:r>
            <w:r>
              <w:rPr>
                <w:bCs/>
                <w:lang w:val="en-US"/>
              </w:rPr>
              <w:t>277</w:t>
            </w:r>
          </w:p>
        </w:tc>
        <w:tc>
          <w:tcPr>
            <w:tcW w:w="1007" w:type="pct"/>
          </w:tcPr>
          <w:p w14:paraId="08C2D3A2" w14:textId="79C28950" w:rsidR="0009147D" w:rsidRPr="000F7523" w:rsidRDefault="0009147D" w:rsidP="0009147D">
            <w:pPr>
              <w:pStyle w:val="ListParagraph"/>
              <w:widowControl w:val="0"/>
              <w:spacing w:line="360" w:lineRule="auto"/>
              <w:ind w:left="0"/>
              <w:jc w:val="center"/>
              <w:rPr>
                <w:bCs/>
              </w:rPr>
            </w:pPr>
            <w:r w:rsidRPr="00270E0F">
              <w:rPr>
                <w:bCs/>
                <w:lang w:val="en-US"/>
              </w:rPr>
              <w:t>0</w:t>
            </w:r>
            <w:r w:rsidR="004F2186">
              <w:rPr>
                <w:bCs/>
                <w:lang w:val="en-US"/>
              </w:rPr>
              <w:t>,</w:t>
            </w:r>
            <w:r>
              <w:rPr>
                <w:bCs/>
                <w:lang w:val="en-US"/>
              </w:rPr>
              <w:t>317</w:t>
            </w:r>
            <w:r w:rsidRPr="00270E0F">
              <w:rPr>
                <w:bCs/>
                <w:vertAlign w:val="superscript"/>
                <w:lang w:val="en-US"/>
              </w:rPr>
              <w:t>ns</w:t>
            </w:r>
          </w:p>
        </w:tc>
      </w:tr>
      <w:tr w:rsidR="0009147D" w:rsidRPr="000F7523" w14:paraId="15C5B70D" w14:textId="77777777" w:rsidTr="004F2186">
        <w:tc>
          <w:tcPr>
            <w:tcW w:w="859" w:type="pct"/>
            <w:vMerge/>
          </w:tcPr>
          <w:p w14:paraId="1309039B" w14:textId="77777777" w:rsidR="0009147D" w:rsidRDefault="0009147D" w:rsidP="0009147D">
            <w:pPr>
              <w:pStyle w:val="ListParagraph"/>
              <w:widowControl w:val="0"/>
              <w:spacing w:line="360" w:lineRule="auto"/>
              <w:ind w:left="0"/>
              <w:jc w:val="center"/>
              <w:rPr>
                <w:bCs/>
                <w:lang w:val="en-US"/>
              </w:rPr>
            </w:pPr>
          </w:p>
        </w:tc>
        <w:tc>
          <w:tcPr>
            <w:tcW w:w="1784" w:type="pct"/>
          </w:tcPr>
          <w:p w14:paraId="5BDBFD37" w14:textId="437DA803" w:rsidR="0009147D" w:rsidRDefault="0009147D" w:rsidP="0009147D">
            <w:pPr>
              <w:pStyle w:val="ListParagraph"/>
              <w:widowControl w:val="0"/>
              <w:spacing w:line="360" w:lineRule="auto"/>
              <w:ind w:left="0"/>
              <w:jc w:val="center"/>
              <w:rPr>
                <w:bCs/>
                <w:lang w:val="en-US"/>
              </w:rPr>
            </w:pPr>
            <w:r>
              <w:rPr>
                <w:bCs/>
                <w:lang w:val="en-US"/>
              </w:rPr>
              <w:t>NRS 6 Jam</w:t>
            </w:r>
          </w:p>
        </w:tc>
        <w:tc>
          <w:tcPr>
            <w:tcW w:w="1350" w:type="pct"/>
            <w:vAlign w:val="center"/>
          </w:tcPr>
          <w:p w14:paraId="218E11C1" w14:textId="167C34F8" w:rsidR="0009147D" w:rsidRPr="0009147D" w:rsidRDefault="0009147D" w:rsidP="0009147D">
            <w:pPr>
              <w:pStyle w:val="ListParagraph"/>
              <w:widowControl w:val="0"/>
              <w:spacing w:line="360" w:lineRule="auto"/>
              <w:ind w:left="0"/>
              <w:jc w:val="center"/>
              <w:rPr>
                <w:rFonts w:eastAsiaTheme="minorEastAsia"/>
                <w:bCs/>
                <w:lang w:val="en-US" w:eastAsia="zh-CN"/>
              </w:rPr>
            </w:pPr>
            <w:r w:rsidRPr="000F7523">
              <w:rPr>
                <w:bCs/>
              </w:rPr>
              <w:t>0</w:t>
            </w:r>
            <w:r w:rsidR="004F2186">
              <w:rPr>
                <w:bCs/>
              </w:rPr>
              <w:t>,</w:t>
            </w:r>
            <w:r>
              <w:rPr>
                <w:bCs/>
                <w:lang w:val="en-US"/>
              </w:rPr>
              <w:t>001</w:t>
            </w:r>
          </w:p>
        </w:tc>
        <w:tc>
          <w:tcPr>
            <w:tcW w:w="1007" w:type="pct"/>
          </w:tcPr>
          <w:p w14:paraId="624BECBB" w14:textId="0CB9C464" w:rsidR="0009147D" w:rsidRPr="000F7523" w:rsidRDefault="0009147D" w:rsidP="0009147D">
            <w:pPr>
              <w:pStyle w:val="ListParagraph"/>
              <w:widowControl w:val="0"/>
              <w:spacing w:line="360" w:lineRule="auto"/>
              <w:ind w:left="0"/>
              <w:jc w:val="center"/>
              <w:rPr>
                <w:bCs/>
              </w:rPr>
            </w:pPr>
            <w:r w:rsidRPr="00270E0F">
              <w:rPr>
                <w:bCs/>
                <w:lang w:val="en-US"/>
              </w:rPr>
              <w:t>0</w:t>
            </w:r>
            <w:r w:rsidR="004F2186">
              <w:rPr>
                <w:bCs/>
                <w:lang w:val="en-US"/>
              </w:rPr>
              <w:t>,</w:t>
            </w:r>
            <w:r>
              <w:rPr>
                <w:bCs/>
                <w:lang w:val="en-US"/>
              </w:rPr>
              <w:t>999</w:t>
            </w:r>
            <w:r w:rsidRPr="00270E0F">
              <w:rPr>
                <w:bCs/>
                <w:vertAlign w:val="superscript"/>
                <w:lang w:val="en-US"/>
              </w:rPr>
              <w:t>ns</w:t>
            </w:r>
          </w:p>
        </w:tc>
      </w:tr>
      <w:tr w:rsidR="0009147D" w:rsidRPr="000F7523" w14:paraId="2CAFCE35" w14:textId="77777777" w:rsidTr="004F2186">
        <w:tc>
          <w:tcPr>
            <w:tcW w:w="859" w:type="pct"/>
            <w:vMerge/>
          </w:tcPr>
          <w:p w14:paraId="35B1A028" w14:textId="77777777" w:rsidR="0009147D" w:rsidRDefault="0009147D" w:rsidP="0009147D">
            <w:pPr>
              <w:pStyle w:val="ListParagraph"/>
              <w:widowControl w:val="0"/>
              <w:spacing w:line="360" w:lineRule="auto"/>
              <w:ind w:left="0"/>
              <w:jc w:val="center"/>
              <w:rPr>
                <w:bCs/>
                <w:lang w:val="en-US"/>
              </w:rPr>
            </w:pPr>
          </w:p>
        </w:tc>
        <w:tc>
          <w:tcPr>
            <w:tcW w:w="1784" w:type="pct"/>
          </w:tcPr>
          <w:p w14:paraId="2D3ED5BB" w14:textId="036E1B18" w:rsidR="0009147D" w:rsidRPr="000F7523" w:rsidRDefault="0009147D" w:rsidP="0009147D">
            <w:pPr>
              <w:pStyle w:val="ListParagraph"/>
              <w:widowControl w:val="0"/>
              <w:spacing w:line="360" w:lineRule="auto"/>
              <w:ind w:left="0"/>
              <w:jc w:val="center"/>
              <w:rPr>
                <w:bCs/>
              </w:rPr>
            </w:pPr>
            <w:r>
              <w:rPr>
                <w:bCs/>
                <w:lang w:val="en-US"/>
              </w:rPr>
              <w:t>NRS 8 Jam</w:t>
            </w:r>
          </w:p>
        </w:tc>
        <w:tc>
          <w:tcPr>
            <w:tcW w:w="1350" w:type="pct"/>
            <w:vAlign w:val="center"/>
          </w:tcPr>
          <w:p w14:paraId="5E9A3B60" w14:textId="6FC60760" w:rsidR="0009147D" w:rsidRPr="0009147D" w:rsidRDefault="0009147D" w:rsidP="0009147D">
            <w:pPr>
              <w:pStyle w:val="ListParagraph"/>
              <w:widowControl w:val="0"/>
              <w:spacing w:line="360" w:lineRule="auto"/>
              <w:ind w:left="0"/>
              <w:jc w:val="center"/>
              <w:rPr>
                <w:rFonts w:eastAsiaTheme="minorEastAsia"/>
                <w:bCs/>
                <w:lang w:val="en-US" w:eastAsia="zh-CN"/>
              </w:rPr>
            </w:pPr>
            <w:r w:rsidRPr="000F7523">
              <w:rPr>
                <w:bCs/>
              </w:rPr>
              <w:t>0</w:t>
            </w:r>
            <w:r w:rsidR="004F2186">
              <w:rPr>
                <w:bCs/>
              </w:rPr>
              <w:t>,</w:t>
            </w:r>
            <w:r>
              <w:rPr>
                <w:bCs/>
                <w:lang w:val="en-US"/>
              </w:rPr>
              <w:t>001</w:t>
            </w:r>
          </w:p>
        </w:tc>
        <w:tc>
          <w:tcPr>
            <w:tcW w:w="1007" w:type="pct"/>
          </w:tcPr>
          <w:p w14:paraId="5DE4C6E9" w14:textId="32ABEEFA" w:rsidR="0009147D" w:rsidRPr="000F7523" w:rsidRDefault="0009147D" w:rsidP="0009147D">
            <w:pPr>
              <w:pStyle w:val="ListParagraph"/>
              <w:widowControl w:val="0"/>
              <w:spacing w:line="360" w:lineRule="auto"/>
              <w:ind w:left="0"/>
              <w:jc w:val="center"/>
              <w:rPr>
                <w:bCs/>
              </w:rPr>
            </w:pPr>
            <w:r w:rsidRPr="00270E0F">
              <w:rPr>
                <w:bCs/>
                <w:lang w:val="en-US"/>
              </w:rPr>
              <w:t>0</w:t>
            </w:r>
            <w:r w:rsidR="004F2186">
              <w:rPr>
                <w:bCs/>
                <w:lang w:val="en-US"/>
              </w:rPr>
              <w:t>,</w:t>
            </w:r>
            <w:r>
              <w:rPr>
                <w:bCs/>
                <w:lang w:val="en-US"/>
              </w:rPr>
              <w:t>999</w:t>
            </w:r>
            <w:r w:rsidRPr="00270E0F">
              <w:rPr>
                <w:bCs/>
                <w:vertAlign w:val="superscript"/>
                <w:lang w:val="en-US"/>
              </w:rPr>
              <w:t>ns</w:t>
            </w:r>
          </w:p>
        </w:tc>
      </w:tr>
      <w:tr w:rsidR="0009147D" w:rsidRPr="000F7523" w14:paraId="2F6E9BF3" w14:textId="77777777" w:rsidTr="004F2186">
        <w:tc>
          <w:tcPr>
            <w:tcW w:w="859" w:type="pct"/>
            <w:vMerge/>
          </w:tcPr>
          <w:p w14:paraId="66136348" w14:textId="77777777" w:rsidR="0009147D" w:rsidRDefault="0009147D" w:rsidP="0009147D">
            <w:pPr>
              <w:pStyle w:val="ListParagraph"/>
              <w:widowControl w:val="0"/>
              <w:spacing w:line="360" w:lineRule="auto"/>
              <w:ind w:left="0"/>
              <w:jc w:val="center"/>
              <w:rPr>
                <w:bCs/>
                <w:lang w:val="en-US"/>
              </w:rPr>
            </w:pPr>
          </w:p>
        </w:tc>
        <w:tc>
          <w:tcPr>
            <w:tcW w:w="1784" w:type="pct"/>
          </w:tcPr>
          <w:p w14:paraId="08F61F86" w14:textId="7A820C27" w:rsidR="0009147D" w:rsidRPr="000F7523" w:rsidRDefault="0009147D" w:rsidP="0009147D">
            <w:pPr>
              <w:pStyle w:val="ListParagraph"/>
              <w:widowControl w:val="0"/>
              <w:spacing w:line="360" w:lineRule="auto"/>
              <w:ind w:left="0"/>
              <w:jc w:val="center"/>
              <w:rPr>
                <w:bCs/>
              </w:rPr>
            </w:pPr>
            <w:r>
              <w:rPr>
                <w:bCs/>
                <w:lang w:val="en-US"/>
              </w:rPr>
              <w:t>NRS 12 Jam</w:t>
            </w:r>
          </w:p>
        </w:tc>
        <w:tc>
          <w:tcPr>
            <w:tcW w:w="1350" w:type="pct"/>
            <w:vAlign w:val="center"/>
          </w:tcPr>
          <w:p w14:paraId="65240695" w14:textId="3D743967" w:rsidR="0009147D" w:rsidRPr="000F7523" w:rsidRDefault="0009147D" w:rsidP="0009147D">
            <w:pPr>
              <w:pStyle w:val="ListParagraph"/>
              <w:widowControl w:val="0"/>
              <w:spacing w:line="360" w:lineRule="auto"/>
              <w:ind w:left="0"/>
              <w:jc w:val="center"/>
              <w:rPr>
                <w:bCs/>
              </w:rPr>
            </w:pPr>
            <w:r w:rsidRPr="000F7523">
              <w:rPr>
                <w:bCs/>
              </w:rPr>
              <w:t>0</w:t>
            </w:r>
            <w:r w:rsidR="004F2186">
              <w:rPr>
                <w:bCs/>
              </w:rPr>
              <w:t>,</w:t>
            </w:r>
            <w:r>
              <w:rPr>
                <w:bCs/>
                <w:lang w:val="en-US"/>
              </w:rPr>
              <w:t>001</w:t>
            </w:r>
          </w:p>
        </w:tc>
        <w:tc>
          <w:tcPr>
            <w:tcW w:w="1007" w:type="pct"/>
          </w:tcPr>
          <w:p w14:paraId="321D7718" w14:textId="3DFBCAF7" w:rsidR="0009147D" w:rsidRPr="000F7523" w:rsidRDefault="0009147D" w:rsidP="0009147D">
            <w:pPr>
              <w:pStyle w:val="ListParagraph"/>
              <w:widowControl w:val="0"/>
              <w:spacing w:line="360" w:lineRule="auto"/>
              <w:ind w:left="0"/>
              <w:jc w:val="center"/>
              <w:rPr>
                <w:bCs/>
              </w:rPr>
            </w:pPr>
            <w:r w:rsidRPr="00270E0F">
              <w:rPr>
                <w:bCs/>
                <w:lang w:val="en-US"/>
              </w:rPr>
              <w:t>0</w:t>
            </w:r>
            <w:r w:rsidR="004F2186">
              <w:rPr>
                <w:bCs/>
                <w:lang w:val="en-US"/>
              </w:rPr>
              <w:t>,</w:t>
            </w:r>
            <w:r>
              <w:rPr>
                <w:bCs/>
                <w:lang w:val="en-US"/>
              </w:rPr>
              <w:t>999</w:t>
            </w:r>
            <w:r w:rsidRPr="00270E0F">
              <w:rPr>
                <w:bCs/>
                <w:vertAlign w:val="superscript"/>
                <w:lang w:val="en-US"/>
              </w:rPr>
              <w:t>ns</w:t>
            </w:r>
          </w:p>
        </w:tc>
      </w:tr>
      <w:tr w:rsidR="0009147D" w:rsidRPr="000F7523" w14:paraId="4AE102A9" w14:textId="77777777" w:rsidTr="004F2186">
        <w:tc>
          <w:tcPr>
            <w:tcW w:w="859" w:type="pct"/>
            <w:vMerge/>
          </w:tcPr>
          <w:p w14:paraId="4836AFB4" w14:textId="77777777" w:rsidR="0009147D" w:rsidRPr="000F7523" w:rsidRDefault="0009147D" w:rsidP="0009147D">
            <w:pPr>
              <w:pStyle w:val="ListParagraph"/>
              <w:widowControl w:val="0"/>
              <w:spacing w:line="360" w:lineRule="auto"/>
              <w:ind w:left="0"/>
              <w:jc w:val="center"/>
              <w:rPr>
                <w:bCs/>
              </w:rPr>
            </w:pPr>
          </w:p>
        </w:tc>
        <w:tc>
          <w:tcPr>
            <w:tcW w:w="1784" w:type="pct"/>
          </w:tcPr>
          <w:p w14:paraId="1E0B2164" w14:textId="64488ED7" w:rsidR="0009147D" w:rsidRPr="004A3124" w:rsidRDefault="0009147D" w:rsidP="0009147D">
            <w:pPr>
              <w:pStyle w:val="ListParagraph"/>
              <w:widowControl w:val="0"/>
              <w:spacing w:line="360" w:lineRule="auto"/>
              <w:ind w:left="0"/>
              <w:jc w:val="center"/>
              <w:rPr>
                <w:bCs/>
                <w:lang w:val="en-US"/>
              </w:rPr>
            </w:pPr>
            <w:r>
              <w:rPr>
                <w:bCs/>
                <w:lang w:val="en-US"/>
              </w:rPr>
              <w:t>NRS 24 Jam</w:t>
            </w:r>
          </w:p>
        </w:tc>
        <w:tc>
          <w:tcPr>
            <w:tcW w:w="1350" w:type="pct"/>
            <w:vAlign w:val="center"/>
          </w:tcPr>
          <w:p w14:paraId="2C0CAA08" w14:textId="28A22D0C" w:rsidR="0009147D" w:rsidRPr="0009147D" w:rsidRDefault="0009147D" w:rsidP="0009147D">
            <w:pPr>
              <w:pStyle w:val="ListParagraph"/>
              <w:widowControl w:val="0"/>
              <w:spacing w:line="360" w:lineRule="auto"/>
              <w:ind w:left="0"/>
              <w:jc w:val="center"/>
              <w:rPr>
                <w:rFonts w:eastAsiaTheme="minorEastAsia"/>
                <w:bCs/>
                <w:lang w:val="en-US" w:eastAsia="zh-CN"/>
              </w:rPr>
            </w:pPr>
            <w:r w:rsidRPr="000F7523">
              <w:rPr>
                <w:bCs/>
              </w:rPr>
              <w:t>0</w:t>
            </w:r>
            <w:r w:rsidR="004F2186">
              <w:rPr>
                <w:bCs/>
              </w:rPr>
              <w:t>,</w:t>
            </w:r>
            <w:r>
              <w:rPr>
                <w:bCs/>
                <w:lang w:val="en-US"/>
              </w:rPr>
              <w:t>001</w:t>
            </w:r>
          </w:p>
        </w:tc>
        <w:tc>
          <w:tcPr>
            <w:tcW w:w="1007" w:type="pct"/>
          </w:tcPr>
          <w:p w14:paraId="7CE3D14A" w14:textId="506866E8" w:rsidR="0009147D" w:rsidRPr="000F7523" w:rsidRDefault="0009147D" w:rsidP="0009147D">
            <w:pPr>
              <w:pStyle w:val="ListParagraph"/>
              <w:widowControl w:val="0"/>
              <w:spacing w:line="360" w:lineRule="auto"/>
              <w:ind w:left="0"/>
              <w:jc w:val="center"/>
              <w:rPr>
                <w:bCs/>
              </w:rPr>
            </w:pPr>
            <w:r w:rsidRPr="00270E0F">
              <w:rPr>
                <w:bCs/>
                <w:lang w:val="en-US"/>
              </w:rPr>
              <w:t>0</w:t>
            </w:r>
            <w:r w:rsidR="004F2186">
              <w:rPr>
                <w:bCs/>
                <w:lang w:val="en-US"/>
              </w:rPr>
              <w:t>,</w:t>
            </w:r>
            <w:r>
              <w:rPr>
                <w:bCs/>
                <w:lang w:val="en-US"/>
              </w:rPr>
              <w:t>999</w:t>
            </w:r>
            <w:r w:rsidRPr="00270E0F">
              <w:rPr>
                <w:bCs/>
                <w:vertAlign w:val="superscript"/>
                <w:lang w:val="en-US"/>
              </w:rPr>
              <w:t>ns</w:t>
            </w:r>
          </w:p>
        </w:tc>
      </w:tr>
    </w:tbl>
    <w:p w14:paraId="352FF41F" w14:textId="482D7546" w:rsidR="00B112AD" w:rsidRPr="0009147D" w:rsidRDefault="00B112AD" w:rsidP="00CE23F9">
      <w:pPr>
        <w:widowControl w:val="0"/>
        <w:jc w:val="both"/>
        <w:rPr>
          <w:iCs/>
          <w:sz w:val="22"/>
          <w:szCs w:val="22"/>
          <w:lang w:val="en-US"/>
        </w:rPr>
      </w:pPr>
      <w:r w:rsidRPr="000F7523">
        <w:rPr>
          <w:sz w:val="22"/>
          <w:szCs w:val="22"/>
        </w:rPr>
        <w:t xml:space="preserve">Data diuji dengan Uji </w:t>
      </w:r>
      <w:r w:rsidR="0009147D">
        <w:rPr>
          <w:i/>
          <w:iCs/>
          <w:sz w:val="22"/>
          <w:szCs w:val="22"/>
          <w:lang w:val="en-US"/>
        </w:rPr>
        <w:t>Pearson Correlation</w:t>
      </w:r>
      <w:r w:rsidRPr="000F7523">
        <w:rPr>
          <w:sz w:val="22"/>
          <w:szCs w:val="22"/>
        </w:rPr>
        <w:t xml:space="preserve">; data ditampilkan dengan r: koefisien korelasi *: </w:t>
      </w:r>
      <w:r w:rsidRPr="000F7523">
        <w:rPr>
          <w:i/>
          <w:sz w:val="22"/>
          <w:szCs w:val="22"/>
        </w:rPr>
        <w:t>significant</w:t>
      </w:r>
      <w:r w:rsidR="0009147D">
        <w:rPr>
          <w:i/>
          <w:sz w:val="22"/>
          <w:szCs w:val="22"/>
          <w:lang w:val="en-US"/>
        </w:rPr>
        <w:t xml:space="preserve"> ns: not significant</w:t>
      </w:r>
    </w:p>
    <w:p w14:paraId="0FFC3A9C" w14:textId="77777777" w:rsidR="004F2186" w:rsidRPr="004F2186" w:rsidRDefault="004F2186" w:rsidP="000A4CBF">
      <w:pPr>
        <w:spacing w:line="360" w:lineRule="auto"/>
        <w:jc w:val="both"/>
        <w:rPr>
          <w:rFonts w:eastAsiaTheme="minorEastAsia"/>
          <w:lang w:eastAsia="zh-CN"/>
        </w:rPr>
      </w:pPr>
    </w:p>
    <w:p w14:paraId="4B9D8020" w14:textId="31AEB7FA" w:rsidR="000D07BE" w:rsidRDefault="004F2186" w:rsidP="004F2186">
      <w:pPr>
        <w:pStyle w:val="Heading3"/>
        <w:rPr>
          <w:lang w:val="en-US" w:eastAsia="zh-CN"/>
        </w:rPr>
      </w:pPr>
      <w:bookmarkStart w:id="133" w:name="_Toc158290300"/>
      <w:r>
        <w:rPr>
          <w:lang w:val="id-ID" w:eastAsia="zh-CN"/>
        </w:rPr>
        <w:t>6.2.4</w:t>
      </w:r>
      <w:r>
        <w:rPr>
          <w:lang w:val="id-ID" w:eastAsia="zh-CN"/>
        </w:rPr>
        <w:tab/>
        <w:t>W</w:t>
      </w:r>
      <w:proofErr w:type="spellStart"/>
      <w:r>
        <w:rPr>
          <w:lang w:val="en-US" w:eastAsia="zh-CN"/>
        </w:rPr>
        <w:t>aktu</w:t>
      </w:r>
      <w:proofErr w:type="spellEnd"/>
      <w:r>
        <w:rPr>
          <w:lang w:val="en-US" w:eastAsia="zh-CN"/>
        </w:rPr>
        <w:t xml:space="preserve"> </w:t>
      </w:r>
      <w:r w:rsidR="00D72FD9">
        <w:rPr>
          <w:lang w:val="en-US" w:eastAsia="zh-CN"/>
        </w:rPr>
        <w:t>Intake Oral</w:t>
      </w:r>
      <w:bookmarkEnd w:id="133"/>
    </w:p>
    <w:p w14:paraId="60873EF7" w14:textId="27914034" w:rsidR="00B112AD" w:rsidRDefault="00B112AD" w:rsidP="004F2186">
      <w:pPr>
        <w:spacing w:line="360" w:lineRule="auto"/>
        <w:ind w:firstLine="709"/>
        <w:jc w:val="both"/>
        <w:rPr>
          <w:lang w:val="id-ID"/>
        </w:rPr>
      </w:pPr>
      <w:r w:rsidRPr="00F426C1">
        <w:rPr>
          <w:lang w:val="pt-BR"/>
        </w:rPr>
        <w:t xml:space="preserve">Perbandingan antara waktu </w:t>
      </w:r>
      <w:r w:rsidR="00C47A89" w:rsidRPr="00F426C1">
        <w:rPr>
          <w:lang w:val="pt-BR"/>
        </w:rPr>
        <w:t xml:space="preserve">intake oral pada kedua kelompok ditampilkan pada </w:t>
      </w:r>
      <w:r w:rsidR="004F2186">
        <w:rPr>
          <w:lang w:val="id-ID"/>
        </w:rPr>
        <w:t>T</w:t>
      </w:r>
      <w:r w:rsidR="00C47A89" w:rsidRPr="00F426C1">
        <w:rPr>
          <w:lang w:val="pt-BR"/>
        </w:rPr>
        <w:t xml:space="preserve">abel </w:t>
      </w:r>
      <w:r w:rsidR="004F2186">
        <w:rPr>
          <w:lang w:val="id-ID"/>
        </w:rPr>
        <w:t>4.</w:t>
      </w:r>
    </w:p>
    <w:p w14:paraId="5C6DBD3D" w14:textId="77777777" w:rsidR="000A4CBF" w:rsidRPr="002B61F1" w:rsidRDefault="000A4CBF" w:rsidP="000A4CBF">
      <w:pPr>
        <w:spacing w:line="360" w:lineRule="auto"/>
        <w:ind w:firstLine="709"/>
        <w:jc w:val="both"/>
      </w:pPr>
      <w:r w:rsidRPr="002B61F1">
        <w:t xml:space="preserve">Tabel </w:t>
      </w:r>
      <w:r>
        <w:t xml:space="preserve">4 </w:t>
      </w:r>
      <w:r w:rsidRPr="00F426C1">
        <w:rPr>
          <w:lang w:val="id-ID"/>
        </w:rPr>
        <w:t>menunjukkan</w:t>
      </w:r>
      <w:r w:rsidRPr="002B61F1">
        <w:t xml:space="preserve"> </w:t>
      </w:r>
      <w:bookmarkStart w:id="134" w:name="_Hlk158212103"/>
      <w:r>
        <w:t>waktu intake oral</w:t>
      </w:r>
      <w:r w:rsidRPr="002B61F1">
        <w:t xml:space="preserve"> yak</w:t>
      </w:r>
      <w:r w:rsidRPr="00134F1A">
        <w:t>ni sejak pindah dari ruang PACU hingga intake oral pertama pasca bedah</w:t>
      </w:r>
      <w:r>
        <w:rPr>
          <w:lang w:val="id-ID"/>
        </w:rPr>
        <w:t xml:space="preserve"> dengan hasil bahwa</w:t>
      </w:r>
      <w:r w:rsidRPr="002B61F1">
        <w:t xml:space="preserve"> </w:t>
      </w:r>
      <w:r>
        <w:rPr>
          <w:lang w:val="id-ID"/>
        </w:rPr>
        <w:t>t</w:t>
      </w:r>
      <w:r w:rsidRPr="002B61F1">
        <w:t xml:space="preserve">erdapat perbedaan </w:t>
      </w:r>
      <w:r>
        <w:rPr>
          <w:lang w:val="id-ID"/>
        </w:rPr>
        <w:t xml:space="preserve">signifikan </w:t>
      </w:r>
      <w:r>
        <w:t>waktu intake oral</w:t>
      </w:r>
      <w:r w:rsidRPr="002B61F1">
        <w:t xml:space="preserve"> pada kedua kelompok</w:t>
      </w:r>
      <w:r>
        <w:rPr>
          <w:lang w:val="id-ID"/>
        </w:rPr>
        <w:t xml:space="preserve"> dengan</w:t>
      </w:r>
      <w:r w:rsidRPr="002B61F1">
        <w:t xml:space="preserve"> nilai p yang dihasilkan &lt; 0.05.</w:t>
      </w:r>
      <w:bookmarkEnd w:id="134"/>
    </w:p>
    <w:p w14:paraId="10CB2597" w14:textId="77777777" w:rsidR="000A4CBF" w:rsidRDefault="000A4CBF" w:rsidP="004F2186">
      <w:pPr>
        <w:spacing w:line="360" w:lineRule="auto"/>
        <w:ind w:firstLine="709"/>
        <w:jc w:val="both"/>
        <w:rPr>
          <w:rFonts w:eastAsiaTheme="minorEastAsia"/>
          <w:lang w:val="id-ID" w:eastAsia="zh-CN"/>
        </w:rPr>
      </w:pPr>
    </w:p>
    <w:p w14:paraId="506A916B" w14:textId="77777777" w:rsidR="000A4CBF" w:rsidRDefault="000A4CBF" w:rsidP="004F2186">
      <w:pPr>
        <w:spacing w:line="360" w:lineRule="auto"/>
        <w:ind w:firstLine="709"/>
        <w:jc w:val="both"/>
        <w:rPr>
          <w:rFonts w:eastAsiaTheme="minorEastAsia"/>
          <w:lang w:val="id-ID" w:eastAsia="zh-CN"/>
        </w:rPr>
      </w:pPr>
    </w:p>
    <w:p w14:paraId="419FA01D" w14:textId="77777777" w:rsidR="000A4CBF" w:rsidRPr="004F2186" w:rsidRDefault="000A4CBF" w:rsidP="004F2186">
      <w:pPr>
        <w:spacing w:line="360" w:lineRule="auto"/>
        <w:ind w:firstLine="709"/>
        <w:jc w:val="both"/>
        <w:rPr>
          <w:rFonts w:eastAsiaTheme="minorEastAsia"/>
          <w:lang w:val="id-ID" w:eastAsia="zh-CN"/>
        </w:rPr>
      </w:pPr>
    </w:p>
    <w:p w14:paraId="3F877CBF" w14:textId="1F13D91A" w:rsidR="00B112AD" w:rsidRPr="004F2186" w:rsidRDefault="004F2186" w:rsidP="004F2186">
      <w:pPr>
        <w:pStyle w:val="Caption"/>
        <w:rPr>
          <w:b/>
          <w:bCs/>
          <w:i w:val="0"/>
          <w:iCs w:val="0"/>
          <w:color w:val="auto"/>
          <w:sz w:val="24"/>
          <w:szCs w:val="24"/>
          <w:lang w:val="en-US"/>
        </w:rPr>
      </w:pPr>
      <w:r w:rsidRPr="004F2186">
        <w:rPr>
          <w:i w:val="0"/>
          <w:iCs w:val="0"/>
          <w:color w:val="auto"/>
          <w:sz w:val="24"/>
          <w:szCs w:val="24"/>
        </w:rPr>
        <w:t xml:space="preserve">Tabel </w:t>
      </w:r>
      <w:r w:rsidRPr="004F2186">
        <w:rPr>
          <w:i w:val="0"/>
          <w:iCs w:val="0"/>
          <w:color w:val="auto"/>
          <w:sz w:val="24"/>
          <w:szCs w:val="24"/>
        </w:rPr>
        <w:fldChar w:fldCharType="begin"/>
      </w:r>
      <w:r w:rsidRPr="004F2186">
        <w:rPr>
          <w:i w:val="0"/>
          <w:iCs w:val="0"/>
          <w:color w:val="auto"/>
          <w:sz w:val="24"/>
          <w:szCs w:val="24"/>
        </w:rPr>
        <w:instrText xml:space="preserve"> SEQ Tabel \* ARABIC </w:instrText>
      </w:r>
      <w:r w:rsidRPr="004F2186">
        <w:rPr>
          <w:i w:val="0"/>
          <w:iCs w:val="0"/>
          <w:color w:val="auto"/>
          <w:sz w:val="24"/>
          <w:szCs w:val="24"/>
        </w:rPr>
        <w:fldChar w:fldCharType="separate"/>
      </w:r>
      <w:r w:rsidR="00D671E3">
        <w:rPr>
          <w:i w:val="0"/>
          <w:iCs w:val="0"/>
          <w:noProof/>
          <w:color w:val="auto"/>
          <w:sz w:val="24"/>
          <w:szCs w:val="24"/>
        </w:rPr>
        <w:t>4</w:t>
      </w:r>
      <w:r w:rsidRPr="004F2186">
        <w:rPr>
          <w:i w:val="0"/>
          <w:iCs w:val="0"/>
          <w:color w:val="auto"/>
          <w:sz w:val="24"/>
          <w:szCs w:val="24"/>
        </w:rPr>
        <w:fldChar w:fldCharType="end"/>
      </w:r>
      <w:r w:rsidRPr="004F2186">
        <w:rPr>
          <w:i w:val="0"/>
          <w:iCs w:val="0"/>
          <w:color w:val="auto"/>
          <w:sz w:val="24"/>
          <w:szCs w:val="24"/>
          <w:lang w:val="id-ID"/>
        </w:rPr>
        <w:t>. Per</w:t>
      </w:r>
      <w:r>
        <w:rPr>
          <w:i w:val="0"/>
          <w:iCs w:val="0"/>
          <w:color w:val="auto"/>
          <w:sz w:val="24"/>
          <w:szCs w:val="24"/>
          <w:lang w:val="id-ID"/>
        </w:rPr>
        <w:t>bandingan</w:t>
      </w:r>
      <w:r w:rsidRPr="004F2186">
        <w:rPr>
          <w:i w:val="0"/>
          <w:iCs w:val="0"/>
          <w:color w:val="auto"/>
          <w:sz w:val="24"/>
          <w:szCs w:val="24"/>
          <w:lang w:val="id-ID"/>
        </w:rPr>
        <w:t xml:space="preserve"> waktu intake oral pada kedua kelompok</w:t>
      </w:r>
    </w:p>
    <w:tbl>
      <w:tblPr>
        <w:tblW w:w="5000" w:type="pct"/>
        <w:tblBorders>
          <w:top w:val="single" w:sz="4" w:space="0" w:color="auto"/>
          <w:bottom w:val="single" w:sz="4" w:space="0" w:color="auto"/>
          <w:insideH w:val="single" w:sz="4" w:space="0" w:color="auto"/>
        </w:tblBorders>
        <w:tblLook w:val="04A0" w:firstRow="1" w:lastRow="0" w:firstColumn="1" w:lastColumn="0" w:noHBand="0" w:noVBand="1"/>
      </w:tblPr>
      <w:tblGrid>
        <w:gridCol w:w="2352"/>
        <w:gridCol w:w="2493"/>
        <w:gridCol w:w="2721"/>
        <w:gridCol w:w="1614"/>
      </w:tblGrid>
      <w:tr w:rsidR="004D5187" w:rsidRPr="008E57B8" w14:paraId="63E32F50" w14:textId="77777777" w:rsidTr="004F2186">
        <w:trPr>
          <w:trHeight w:val="658"/>
        </w:trPr>
        <w:tc>
          <w:tcPr>
            <w:tcW w:w="1281" w:type="pct"/>
          </w:tcPr>
          <w:p w14:paraId="4BC97E42" w14:textId="77777777" w:rsidR="004D5187" w:rsidRPr="008E57B8" w:rsidRDefault="004D5187" w:rsidP="00444FED">
            <w:pPr>
              <w:pStyle w:val="ListParagraph"/>
              <w:widowControl w:val="0"/>
              <w:spacing w:line="360" w:lineRule="auto"/>
              <w:ind w:left="0"/>
              <w:jc w:val="center"/>
              <w:rPr>
                <w:b/>
              </w:rPr>
            </w:pPr>
          </w:p>
        </w:tc>
        <w:tc>
          <w:tcPr>
            <w:tcW w:w="1358" w:type="pct"/>
          </w:tcPr>
          <w:p w14:paraId="6556ECEE" w14:textId="77777777" w:rsidR="004D5187" w:rsidRPr="008E57B8" w:rsidRDefault="004D5187" w:rsidP="00444FED">
            <w:pPr>
              <w:pStyle w:val="ListParagraph"/>
              <w:widowControl w:val="0"/>
              <w:spacing w:line="360" w:lineRule="auto"/>
              <w:ind w:left="0"/>
              <w:jc w:val="center"/>
              <w:rPr>
                <w:b/>
                <w:lang w:val="en-US"/>
              </w:rPr>
            </w:pPr>
            <w:proofErr w:type="spellStart"/>
            <w:r>
              <w:rPr>
                <w:b/>
                <w:lang w:val="en-US"/>
              </w:rPr>
              <w:t>Intervensi</w:t>
            </w:r>
            <w:proofErr w:type="spellEnd"/>
            <w:r>
              <w:rPr>
                <w:b/>
                <w:lang w:val="en-US"/>
              </w:rPr>
              <w:t xml:space="preserve"> </w:t>
            </w:r>
          </w:p>
          <w:p w14:paraId="171B8196" w14:textId="52CC562E" w:rsidR="004D5187" w:rsidRPr="008E57B8" w:rsidRDefault="004D5187" w:rsidP="00444FED">
            <w:pPr>
              <w:pStyle w:val="ListParagraph"/>
              <w:widowControl w:val="0"/>
              <w:spacing w:line="360" w:lineRule="auto"/>
              <w:ind w:left="0" w:right="-168"/>
              <w:jc w:val="center"/>
              <w:rPr>
                <w:b/>
                <w:lang w:val="en-US"/>
              </w:rPr>
            </w:pPr>
            <w:r w:rsidRPr="008E57B8">
              <w:rPr>
                <w:b/>
                <w:lang w:val="en-US"/>
              </w:rPr>
              <w:t>(</w:t>
            </w:r>
            <w:r w:rsidRPr="008E57B8">
              <w:rPr>
                <w:b/>
              </w:rPr>
              <w:t>Me</w:t>
            </w:r>
            <w:r>
              <w:rPr>
                <w:b/>
                <w:lang w:val="en-US"/>
              </w:rPr>
              <w:t>an ± SD</w:t>
            </w:r>
            <w:r w:rsidRPr="008E57B8">
              <w:rPr>
                <w:b/>
                <w:lang w:val="en-US"/>
              </w:rPr>
              <w:t>)</w:t>
            </w:r>
          </w:p>
        </w:tc>
        <w:tc>
          <w:tcPr>
            <w:tcW w:w="1482" w:type="pct"/>
          </w:tcPr>
          <w:p w14:paraId="666FAA67" w14:textId="77777777" w:rsidR="004D5187" w:rsidRPr="008E57B8" w:rsidRDefault="004D5187" w:rsidP="00444FED">
            <w:pPr>
              <w:pStyle w:val="ListParagraph"/>
              <w:widowControl w:val="0"/>
              <w:spacing w:line="360" w:lineRule="auto"/>
              <w:ind w:left="0"/>
              <w:jc w:val="center"/>
              <w:rPr>
                <w:b/>
                <w:lang w:val="en-US"/>
              </w:rPr>
            </w:pPr>
            <w:proofErr w:type="spellStart"/>
            <w:r>
              <w:rPr>
                <w:b/>
                <w:lang w:val="en-US"/>
              </w:rPr>
              <w:t>Kontrol</w:t>
            </w:r>
            <w:proofErr w:type="spellEnd"/>
          </w:p>
          <w:p w14:paraId="60462BBB" w14:textId="64E9204F" w:rsidR="004D5187" w:rsidRPr="008E57B8" w:rsidRDefault="004D5187" w:rsidP="00444FED">
            <w:pPr>
              <w:pStyle w:val="ListParagraph"/>
              <w:widowControl w:val="0"/>
              <w:spacing w:line="360" w:lineRule="auto"/>
              <w:ind w:left="0"/>
              <w:jc w:val="center"/>
              <w:rPr>
                <w:b/>
                <w:lang w:val="en-US"/>
              </w:rPr>
            </w:pPr>
            <w:r w:rsidRPr="008E57B8">
              <w:rPr>
                <w:b/>
                <w:lang w:val="en-US"/>
              </w:rPr>
              <w:t>(</w:t>
            </w:r>
            <w:r w:rsidRPr="008E57B8">
              <w:rPr>
                <w:b/>
              </w:rPr>
              <w:t>Me</w:t>
            </w:r>
            <w:r>
              <w:rPr>
                <w:b/>
                <w:lang w:val="en-US"/>
              </w:rPr>
              <w:t>an ± SD</w:t>
            </w:r>
            <w:r w:rsidRPr="008E57B8">
              <w:rPr>
                <w:b/>
                <w:lang w:val="en-US"/>
              </w:rPr>
              <w:t>)</w:t>
            </w:r>
          </w:p>
        </w:tc>
        <w:tc>
          <w:tcPr>
            <w:tcW w:w="879" w:type="pct"/>
            <w:vAlign w:val="center"/>
          </w:tcPr>
          <w:p w14:paraId="7F089566" w14:textId="77777777" w:rsidR="004D5187" w:rsidRPr="008E57B8" w:rsidRDefault="004D5187" w:rsidP="00444FED">
            <w:pPr>
              <w:pStyle w:val="ListParagraph"/>
              <w:widowControl w:val="0"/>
              <w:spacing w:line="360" w:lineRule="auto"/>
              <w:ind w:left="0"/>
              <w:jc w:val="center"/>
              <w:rPr>
                <w:b/>
              </w:rPr>
            </w:pPr>
            <w:r w:rsidRPr="008E57B8">
              <w:rPr>
                <w:b/>
              </w:rPr>
              <w:t xml:space="preserve">P </w:t>
            </w:r>
          </w:p>
          <w:p w14:paraId="07585C8D" w14:textId="77777777" w:rsidR="004D5187" w:rsidRPr="008E57B8" w:rsidRDefault="004D5187" w:rsidP="00444FED">
            <w:pPr>
              <w:pStyle w:val="ListParagraph"/>
              <w:widowControl w:val="0"/>
              <w:spacing w:line="360" w:lineRule="auto"/>
              <w:ind w:left="0"/>
              <w:jc w:val="center"/>
              <w:rPr>
                <w:b/>
              </w:rPr>
            </w:pPr>
            <w:r w:rsidRPr="008E57B8">
              <w:rPr>
                <w:b/>
              </w:rPr>
              <w:t>Value</w:t>
            </w:r>
          </w:p>
        </w:tc>
      </w:tr>
      <w:tr w:rsidR="004D5187" w:rsidRPr="008E57B8" w14:paraId="0A3FAC6E" w14:textId="77777777" w:rsidTr="004F2186">
        <w:tc>
          <w:tcPr>
            <w:tcW w:w="1281" w:type="pct"/>
          </w:tcPr>
          <w:p w14:paraId="1D9B02B5" w14:textId="6EBBF179" w:rsidR="004D5187" w:rsidRPr="008E57B8" w:rsidRDefault="004D5187" w:rsidP="00444FED">
            <w:pPr>
              <w:pStyle w:val="ListParagraph"/>
              <w:widowControl w:val="0"/>
              <w:spacing w:line="360" w:lineRule="auto"/>
              <w:ind w:left="0"/>
              <w:jc w:val="center"/>
              <w:rPr>
                <w:b/>
                <w:lang w:val="en-US"/>
              </w:rPr>
            </w:pPr>
            <w:r>
              <w:rPr>
                <w:b/>
                <w:lang w:val="en-US"/>
              </w:rPr>
              <w:t xml:space="preserve">Waktu Intake Oral </w:t>
            </w:r>
            <w:r w:rsidRPr="008E57B8">
              <w:rPr>
                <w:b/>
                <w:lang w:val="en-US"/>
              </w:rPr>
              <w:t>(</w:t>
            </w:r>
            <w:r>
              <w:rPr>
                <w:b/>
                <w:lang w:val="en-US"/>
              </w:rPr>
              <w:t>Jam</w:t>
            </w:r>
            <w:r w:rsidRPr="008E57B8">
              <w:rPr>
                <w:b/>
                <w:lang w:val="en-US"/>
              </w:rPr>
              <w:t>)</w:t>
            </w:r>
          </w:p>
        </w:tc>
        <w:tc>
          <w:tcPr>
            <w:tcW w:w="1358" w:type="pct"/>
            <w:vAlign w:val="center"/>
          </w:tcPr>
          <w:p w14:paraId="5EC389C8" w14:textId="18D5EF40" w:rsidR="004D5187" w:rsidRPr="008E57B8" w:rsidRDefault="004D5187" w:rsidP="00444FED">
            <w:pPr>
              <w:pStyle w:val="ListParagraph"/>
              <w:widowControl w:val="0"/>
              <w:spacing w:line="360" w:lineRule="auto"/>
              <w:ind w:left="0"/>
              <w:jc w:val="center"/>
              <w:rPr>
                <w:bCs/>
                <w:lang w:val="en-US"/>
              </w:rPr>
            </w:pPr>
            <w:r>
              <w:rPr>
                <w:bCs/>
                <w:lang w:val="en-US"/>
              </w:rPr>
              <w:t>4</w:t>
            </w:r>
            <w:r w:rsidR="004F2186">
              <w:rPr>
                <w:bCs/>
                <w:lang w:val="en-US"/>
              </w:rPr>
              <w:t>,</w:t>
            </w:r>
            <w:r>
              <w:rPr>
                <w:bCs/>
                <w:lang w:val="en-US"/>
              </w:rPr>
              <w:t>46</w:t>
            </w:r>
            <w:r w:rsidRPr="00054124">
              <w:rPr>
                <w:bCs/>
                <w:lang w:val="en-US"/>
              </w:rPr>
              <w:t xml:space="preserve"> ± 0</w:t>
            </w:r>
            <w:r w:rsidR="004F2186">
              <w:rPr>
                <w:bCs/>
                <w:lang w:val="en-US"/>
              </w:rPr>
              <w:t>,</w:t>
            </w:r>
            <w:r>
              <w:rPr>
                <w:bCs/>
                <w:lang w:val="en-US"/>
              </w:rPr>
              <w:t>72</w:t>
            </w:r>
          </w:p>
        </w:tc>
        <w:tc>
          <w:tcPr>
            <w:tcW w:w="1482" w:type="pct"/>
            <w:vAlign w:val="center"/>
          </w:tcPr>
          <w:p w14:paraId="0E89A80F" w14:textId="7B31C24B" w:rsidR="004D5187" w:rsidRPr="008E57B8" w:rsidRDefault="004D5187" w:rsidP="00444FED">
            <w:pPr>
              <w:pStyle w:val="ListParagraph"/>
              <w:widowControl w:val="0"/>
              <w:spacing w:line="360" w:lineRule="auto"/>
              <w:ind w:left="0"/>
              <w:jc w:val="center"/>
              <w:rPr>
                <w:bCs/>
              </w:rPr>
            </w:pPr>
            <w:r>
              <w:rPr>
                <w:bCs/>
                <w:lang w:val="en-US"/>
              </w:rPr>
              <w:t>6</w:t>
            </w:r>
            <w:r w:rsidR="004F2186">
              <w:rPr>
                <w:bCs/>
                <w:lang w:val="en-US"/>
              </w:rPr>
              <w:t>,</w:t>
            </w:r>
            <w:r>
              <w:rPr>
                <w:bCs/>
                <w:lang w:val="en-US"/>
              </w:rPr>
              <w:t>67</w:t>
            </w:r>
            <w:r w:rsidRPr="00054124">
              <w:rPr>
                <w:bCs/>
                <w:lang w:val="en-US"/>
              </w:rPr>
              <w:t xml:space="preserve"> ± 0</w:t>
            </w:r>
            <w:r w:rsidR="004F2186">
              <w:rPr>
                <w:bCs/>
                <w:lang w:val="en-US"/>
              </w:rPr>
              <w:t>,</w:t>
            </w:r>
            <w:r>
              <w:rPr>
                <w:bCs/>
                <w:lang w:val="en-US"/>
              </w:rPr>
              <w:t>97</w:t>
            </w:r>
          </w:p>
        </w:tc>
        <w:tc>
          <w:tcPr>
            <w:tcW w:w="879" w:type="pct"/>
            <w:vAlign w:val="center"/>
          </w:tcPr>
          <w:p w14:paraId="5200F83A" w14:textId="417BFA8F" w:rsidR="004D5187" w:rsidRPr="008E57B8" w:rsidRDefault="004D5187" w:rsidP="00444FED">
            <w:pPr>
              <w:pStyle w:val="ListParagraph"/>
              <w:widowControl w:val="0"/>
              <w:spacing w:line="360" w:lineRule="auto"/>
              <w:ind w:left="0"/>
              <w:jc w:val="center"/>
              <w:rPr>
                <w:rFonts w:eastAsiaTheme="minorEastAsia"/>
                <w:bCs/>
                <w:lang w:val="en-US" w:eastAsia="zh-CN"/>
              </w:rPr>
            </w:pPr>
            <w:r w:rsidRPr="00F10B95">
              <w:rPr>
                <w:rFonts w:hint="eastAsia"/>
                <w:lang w:eastAsia="zh-CN"/>
              </w:rPr>
              <w:t>0</w:t>
            </w:r>
            <w:r w:rsidR="004F2186">
              <w:rPr>
                <w:lang w:val="en-US" w:eastAsia="zh-CN"/>
              </w:rPr>
              <w:t>,</w:t>
            </w:r>
            <w:r>
              <w:rPr>
                <w:lang w:val="en-US" w:eastAsia="zh-CN"/>
              </w:rPr>
              <w:t>001*</w:t>
            </w:r>
          </w:p>
        </w:tc>
      </w:tr>
    </w:tbl>
    <w:p w14:paraId="47C6A5E4" w14:textId="77777777" w:rsidR="00B112AD" w:rsidRPr="004F2186" w:rsidRDefault="00B112AD" w:rsidP="004F2186">
      <w:pPr>
        <w:widowControl w:val="0"/>
        <w:spacing w:line="360" w:lineRule="auto"/>
        <w:jc w:val="both"/>
        <w:rPr>
          <w:rFonts w:eastAsiaTheme="minorEastAsia"/>
          <w:i/>
          <w:sz w:val="22"/>
          <w:szCs w:val="22"/>
          <w:lang w:eastAsia="zh-CN"/>
        </w:rPr>
      </w:pPr>
      <w:r w:rsidRPr="004F2186">
        <w:rPr>
          <w:sz w:val="22"/>
          <w:szCs w:val="22"/>
        </w:rPr>
        <w:t xml:space="preserve">Data diuji dengan </w:t>
      </w:r>
      <w:r w:rsidRPr="004F2186">
        <w:rPr>
          <w:i/>
          <w:iCs/>
          <w:sz w:val="22"/>
          <w:szCs w:val="22"/>
          <w:lang w:val="en-US"/>
        </w:rPr>
        <w:t>Mann Whitney U Test</w:t>
      </w:r>
      <w:r w:rsidRPr="004F2186">
        <w:rPr>
          <w:sz w:val="22"/>
          <w:szCs w:val="22"/>
        </w:rPr>
        <w:t xml:space="preserve">; *: </w:t>
      </w:r>
      <w:r w:rsidRPr="004F2186">
        <w:rPr>
          <w:i/>
          <w:sz w:val="22"/>
          <w:szCs w:val="22"/>
        </w:rPr>
        <w:t>significant</w:t>
      </w:r>
    </w:p>
    <w:p w14:paraId="2AD702EE" w14:textId="77777777" w:rsidR="00B112AD" w:rsidRPr="008E57B8" w:rsidRDefault="00B112AD" w:rsidP="00444FED">
      <w:pPr>
        <w:pStyle w:val="ListParagraph"/>
        <w:widowControl w:val="0"/>
        <w:spacing w:line="360" w:lineRule="auto"/>
        <w:ind w:left="360"/>
        <w:jc w:val="both"/>
        <w:rPr>
          <w:rFonts w:eastAsiaTheme="minorEastAsia"/>
          <w:i/>
          <w:sz w:val="22"/>
          <w:szCs w:val="22"/>
          <w:lang w:eastAsia="zh-CN"/>
        </w:rPr>
      </w:pPr>
    </w:p>
    <w:p w14:paraId="4EA39013" w14:textId="77777777" w:rsidR="00B112AD" w:rsidRDefault="00B112AD" w:rsidP="00B112AD">
      <w:pPr>
        <w:pStyle w:val="ListParagraph"/>
        <w:ind w:left="1224"/>
        <w:rPr>
          <w:b/>
          <w:bCs/>
          <w:lang w:val="en-US" w:eastAsia="zh-CN"/>
        </w:rPr>
      </w:pPr>
    </w:p>
    <w:p w14:paraId="3DC05EF9" w14:textId="1E892D5D" w:rsidR="00C364AF" w:rsidRPr="00F426C1" w:rsidRDefault="004F2186" w:rsidP="004F2186">
      <w:pPr>
        <w:pStyle w:val="Heading2"/>
        <w:spacing w:after="0"/>
        <w:rPr>
          <w:lang w:val="pt-BR" w:eastAsia="zh-CN"/>
        </w:rPr>
      </w:pPr>
      <w:bookmarkStart w:id="135" w:name="_Toc158290301"/>
      <w:r>
        <w:rPr>
          <w:lang w:val="id-ID" w:eastAsia="zh-CN"/>
        </w:rPr>
        <w:t>6.2</w:t>
      </w:r>
      <w:r>
        <w:rPr>
          <w:lang w:val="id-ID" w:eastAsia="zh-CN"/>
        </w:rPr>
        <w:tab/>
      </w:r>
      <w:r w:rsidR="00C364AF" w:rsidRPr="00F426C1">
        <w:rPr>
          <w:lang w:val="pt-BR" w:eastAsia="zh-CN"/>
        </w:rPr>
        <w:t>Kadar IL-6</w:t>
      </w:r>
      <w:bookmarkEnd w:id="135"/>
    </w:p>
    <w:p w14:paraId="047D1B2D" w14:textId="6E86ED54" w:rsidR="000D07BE" w:rsidRPr="00F426C1" w:rsidRDefault="004F2186" w:rsidP="004F2186">
      <w:pPr>
        <w:pStyle w:val="Heading3"/>
        <w:rPr>
          <w:lang w:val="pt-BR" w:eastAsia="zh-CN"/>
        </w:rPr>
      </w:pPr>
      <w:bookmarkStart w:id="136" w:name="_Toc158290302"/>
      <w:r>
        <w:rPr>
          <w:lang w:val="id-ID" w:eastAsia="zh-CN"/>
        </w:rPr>
        <w:t>6.2.1</w:t>
      </w:r>
      <w:r>
        <w:rPr>
          <w:lang w:val="id-ID" w:eastAsia="zh-CN"/>
        </w:rPr>
        <w:tab/>
      </w:r>
      <w:r w:rsidR="000D07BE" w:rsidRPr="00F426C1">
        <w:rPr>
          <w:lang w:val="pt-BR" w:eastAsia="zh-CN"/>
        </w:rPr>
        <w:t xml:space="preserve">Perbandingan </w:t>
      </w:r>
      <w:r w:rsidR="00E01370">
        <w:rPr>
          <w:lang w:val="id-ID" w:eastAsia="zh-CN"/>
        </w:rPr>
        <w:t>K</w:t>
      </w:r>
      <w:r w:rsidR="00E01370" w:rsidRPr="00F426C1">
        <w:rPr>
          <w:lang w:val="pt-BR" w:eastAsia="zh-CN"/>
        </w:rPr>
        <w:t xml:space="preserve">adar </w:t>
      </w:r>
      <w:r w:rsidR="000D07BE" w:rsidRPr="00F426C1">
        <w:rPr>
          <w:lang w:val="pt-BR" w:eastAsia="zh-CN"/>
        </w:rPr>
        <w:t>IL-6</w:t>
      </w:r>
      <w:bookmarkEnd w:id="136"/>
      <w:r w:rsidR="000D07BE" w:rsidRPr="00F426C1">
        <w:rPr>
          <w:lang w:val="pt-BR" w:eastAsia="zh-CN"/>
        </w:rPr>
        <w:t xml:space="preserve"> </w:t>
      </w:r>
    </w:p>
    <w:p w14:paraId="7095F8A2" w14:textId="5200864B" w:rsidR="00B112AD" w:rsidRDefault="00B112AD" w:rsidP="004F2186">
      <w:pPr>
        <w:spacing w:line="360" w:lineRule="auto"/>
        <w:ind w:firstLine="709"/>
        <w:jc w:val="both"/>
        <w:rPr>
          <w:lang w:val="id-ID"/>
        </w:rPr>
      </w:pPr>
      <w:r w:rsidRPr="00F426C1">
        <w:rPr>
          <w:lang w:val="pt-BR"/>
        </w:rPr>
        <w:t xml:space="preserve">Perbandingan antara </w:t>
      </w:r>
      <w:r w:rsidR="000D5561" w:rsidRPr="00F426C1">
        <w:rPr>
          <w:lang w:val="pt-BR"/>
        </w:rPr>
        <w:t>kada</w:t>
      </w:r>
      <w:r w:rsidRPr="00F426C1">
        <w:rPr>
          <w:lang w:val="pt-BR"/>
        </w:rPr>
        <w:t>r</w:t>
      </w:r>
      <w:r w:rsidR="000D5561" w:rsidRPr="00F426C1">
        <w:rPr>
          <w:lang w:val="pt-BR"/>
        </w:rPr>
        <w:t xml:space="preserve"> IL-6</w:t>
      </w:r>
      <w:r w:rsidRPr="00F426C1">
        <w:rPr>
          <w:lang w:val="pt-BR"/>
        </w:rPr>
        <w:t xml:space="preserve"> </w:t>
      </w:r>
      <w:r w:rsidR="00BB45D8">
        <w:rPr>
          <w:lang w:val="id-ID"/>
        </w:rPr>
        <w:t>antara</w:t>
      </w:r>
      <w:r w:rsidRPr="00F426C1">
        <w:rPr>
          <w:lang w:val="pt-BR"/>
        </w:rPr>
        <w:t xml:space="preserve"> </w:t>
      </w:r>
      <w:r w:rsidR="000D5561" w:rsidRPr="00F426C1">
        <w:rPr>
          <w:lang w:val="pt-BR"/>
        </w:rPr>
        <w:t>kedua kelompok</w:t>
      </w:r>
      <w:r w:rsidRPr="008E57B8">
        <w:t xml:space="preserve"> ditampilkan pada </w:t>
      </w:r>
      <w:r w:rsidR="004F2186">
        <w:rPr>
          <w:lang w:val="id-ID"/>
        </w:rPr>
        <w:t>T</w:t>
      </w:r>
      <w:r w:rsidRPr="008E57B8">
        <w:t xml:space="preserve">abel </w:t>
      </w:r>
      <w:r w:rsidR="004F2186">
        <w:rPr>
          <w:lang w:val="id-ID"/>
        </w:rPr>
        <w:t>5.</w:t>
      </w:r>
    </w:p>
    <w:p w14:paraId="3A949D12" w14:textId="77777777" w:rsidR="000A4CBF" w:rsidRPr="004F2186" w:rsidRDefault="000A4CBF" w:rsidP="004F2186">
      <w:pPr>
        <w:spacing w:line="360" w:lineRule="auto"/>
        <w:ind w:firstLine="709"/>
        <w:jc w:val="both"/>
        <w:rPr>
          <w:rFonts w:eastAsiaTheme="minorEastAsia"/>
          <w:lang w:val="id-ID" w:eastAsia="zh-CN"/>
        </w:rPr>
      </w:pPr>
    </w:p>
    <w:p w14:paraId="44705CF5" w14:textId="2064FC5D" w:rsidR="00B112AD" w:rsidRPr="00F426C1" w:rsidRDefault="004F2186" w:rsidP="004F2186">
      <w:pPr>
        <w:pStyle w:val="Caption"/>
        <w:rPr>
          <w:b/>
          <w:bCs/>
          <w:i w:val="0"/>
          <w:iCs w:val="0"/>
          <w:color w:val="auto"/>
          <w:sz w:val="24"/>
          <w:szCs w:val="24"/>
          <w:lang w:val="pt-BR"/>
        </w:rPr>
      </w:pPr>
      <w:r w:rsidRPr="004F2186">
        <w:rPr>
          <w:i w:val="0"/>
          <w:iCs w:val="0"/>
          <w:color w:val="auto"/>
          <w:sz w:val="24"/>
          <w:szCs w:val="24"/>
        </w:rPr>
        <w:t xml:space="preserve">Tabel </w:t>
      </w:r>
      <w:r w:rsidRPr="004F2186">
        <w:rPr>
          <w:i w:val="0"/>
          <w:iCs w:val="0"/>
          <w:color w:val="auto"/>
          <w:sz w:val="24"/>
          <w:szCs w:val="24"/>
        </w:rPr>
        <w:fldChar w:fldCharType="begin"/>
      </w:r>
      <w:r w:rsidRPr="004F2186">
        <w:rPr>
          <w:i w:val="0"/>
          <w:iCs w:val="0"/>
          <w:color w:val="auto"/>
          <w:sz w:val="24"/>
          <w:szCs w:val="24"/>
        </w:rPr>
        <w:instrText xml:space="preserve"> SEQ Tabel \* ARABIC </w:instrText>
      </w:r>
      <w:r w:rsidRPr="004F2186">
        <w:rPr>
          <w:i w:val="0"/>
          <w:iCs w:val="0"/>
          <w:color w:val="auto"/>
          <w:sz w:val="24"/>
          <w:szCs w:val="24"/>
        </w:rPr>
        <w:fldChar w:fldCharType="separate"/>
      </w:r>
      <w:r w:rsidR="00D671E3">
        <w:rPr>
          <w:i w:val="0"/>
          <w:iCs w:val="0"/>
          <w:noProof/>
          <w:color w:val="auto"/>
          <w:sz w:val="24"/>
          <w:szCs w:val="24"/>
        </w:rPr>
        <w:t>5</w:t>
      </w:r>
      <w:r w:rsidRPr="004F2186">
        <w:rPr>
          <w:i w:val="0"/>
          <w:iCs w:val="0"/>
          <w:color w:val="auto"/>
          <w:sz w:val="24"/>
          <w:szCs w:val="24"/>
        </w:rPr>
        <w:fldChar w:fldCharType="end"/>
      </w:r>
      <w:r w:rsidRPr="004F2186">
        <w:rPr>
          <w:i w:val="0"/>
          <w:iCs w:val="0"/>
          <w:color w:val="auto"/>
          <w:sz w:val="24"/>
          <w:szCs w:val="24"/>
          <w:lang w:val="id-ID"/>
        </w:rPr>
        <w:t xml:space="preserve">. </w:t>
      </w:r>
      <w:r>
        <w:rPr>
          <w:i w:val="0"/>
          <w:iCs w:val="0"/>
          <w:color w:val="auto"/>
          <w:sz w:val="24"/>
          <w:szCs w:val="24"/>
          <w:lang w:val="id-ID"/>
        </w:rPr>
        <w:t>Perbandingan k</w:t>
      </w:r>
      <w:r w:rsidRPr="004F2186">
        <w:rPr>
          <w:i w:val="0"/>
          <w:iCs w:val="0"/>
          <w:color w:val="auto"/>
          <w:sz w:val="24"/>
          <w:szCs w:val="24"/>
          <w:lang w:val="id-ID"/>
        </w:rPr>
        <w:t xml:space="preserve">adar IL-6 </w:t>
      </w:r>
      <w:r w:rsidR="00BB45D8">
        <w:rPr>
          <w:i w:val="0"/>
          <w:iCs w:val="0"/>
          <w:color w:val="auto"/>
          <w:sz w:val="24"/>
          <w:szCs w:val="24"/>
          <w:lang w:val="id-ID"/>
        </w:rPr>
        <w:t>antara</w:t>
      </w:r>
      <w:r w:rsidRPr="004F2186">
        <w:rPr>
          <w:i w:val="0"/>
          <w:iCs w:val="0"/>
          <w:color w:val="auto"/>
          <w:sz w:val="24"/>
          <w:szCs w:val="24"/>
          <w:lang w:val="id-ID"/>
        </w:rPr>
        <w:t xml:space="preserve"> </w:t>
      </w:r>
      <w:r>
        <w:rPr>
          <w:i w:val="0"/>
          <w:iCs w:val="0"/>
          <w:color w:val="auto"/>
          <w:sz w:val="24"/>
          <w:szCs w:val="24"/>
          <w:lang w:val="id-ID"/>
        </w:rPr>
        <w:t>k</w:t>
      </w:r>
      <w:r w:rsidRPr="004F2186">
        <w:rPr>
          <w:i w:val="0"/>
          <w:iCs w:val="0"/>
          <w:color w:val="auto"/>
          <w:sz w:val="24"/>
          <w:szCs w:val="24"/>
          <w:lang w:val="id-ID"/>
        </w:rPr>
        <w:t xml:space="preserve">edua </w:t>
      </w:r>
      <w:r>
        <w:rPr>
          <w:i w:val="0"/>
          <w:iCs w:val="0"/>
          <w:color w:val="auto"/>
          <w:sz w:val="24"/>
          <w:szCs w:val="24"/>
          <w:lang w:val="id-ID"/>
        </w:rPr>
        <w:t>k</w:t>
      </w:r>
      <w:r w:rsidRPr="004F2186">
        <w:rPr>
          <w:i w:val="0"/>
          <w:iCs w:val="0"/>
          <w:color w:val="auto"/>
          <w:sz w:val="24"/>
          <w:szCs w:val="24"/>
          <w:lang w:val="id-ID"/>
        </w:rPr>
        <w:t>elompok</w:t>
      </w:r>
    </w:p>
    <w:tbl>
      <w:tblPr>
        <w:tblW w:w="5000" w:type="pct"/>
        <w:tblBorders>
          <w:top w:val="single" w:sz="4" w:space="0" w:color="auto"/>
          <w:bottom w:val="single" w:sz="4" w:space="0" w:color="auto"/>
          <w:insideH w:val="single" w:sz="4" w:space="0" w:color="auto"/>
        </w:tblBorders>
        <w:tblLook w:val="04A0" w:firstRow="1" w:lastRow="0" w:firstColumn="1" w:lastColumn="0" w:noHBand="0" w:noVBand="1"/>
      </w:tblPr>
      <w:tblGrid>
        <w:gridCol w:w="2352"/>
        <w:gridCol w:w="2493"/>
        <w:gridCol w:w="2721"/>
        <w:gridCol w:w="1614"/>
      </w:tblGrid>
      <w:tr w:rsidR="000D5561" w:rsidRPr="008E57B8" w14:paraId="27AEE6D1" w14:textId="77777777" w:rsidTr="004F2186">
        <w:trPr>
          <w:trHeight w:val="658"/>
        </w:trPr>
        <w:tc>
          <w:tcPr>
            <w:tcW w:w="1281" w:type="pct"/>
          </w:tcPr>
          <w:p w14:paraId="25AAF175" w14:textId="77777777" w:rsidR="000D5561" w:rsidRPr="008E57B8" w:rsidRDefault="000D5561" w:rsidP="00444FED">
            <w:pPr>
              <w:pStyle w:val="ListParagraph"/>
              <w:widowControl w:val="0"/>
              <w:spacing w:line="360" w:lineRule="auto"/>
              <w:ind w:left="0"/>
              <w:jc w:val="center"/>
              <w:rPr>
                <w:b/>
              </w:rPr>
            </w:pPr>
          </w:p>
        </w:tc>
        <w:tc>
          <w:tcPr>
            <w:tcW w:w="1358" w:type="pct"/>
          </w:tcPr>
          <w:p w14:paraId="16803F5F" w14:textId="77777777" w:rsidR="000D5561" w:rsidRPr="008E57B8" w:rsidRDefault="000D5561" w:rsidP="00444FED">
            <w:pPr>
              <w:pStyle w:val="ListParagraph"/>
              <w:widowControl w:val="0"/>
              <w:spacing w:line="360" w:lineRule="auto"/>
              <w:ind w:left="0"/>
              <w:jc w:val="center"/>
              <w:rPr>
                <w:b/>
                <w:lang w:val="en-US"/>
              </w:rPr>
            </w:pPr>
            <w:proofErr w:type="spellStart"/>
            <w:r>
              <w:rPr>
                <w:b/>
                <w:lang w:val="en-US"/>
              </w:rPr>
              <w:t>Intervensi</w:t>
            </w:r>
            <w:proofErr w:type="spellEnd"/>
            <w:r>
              <w:rPr>
                <w:b/>
                <w:lang w:val="en-US"/>
              </w:rPr>
              <w:t xml:space="preserve"> </w:t>
            </w:r>
          </w:p>
          <w:p w14:paraId="0919AB17" w14:textId="510BE2CC" w:rsidR="000D5561" w:rsidRPr="008E57B8" w:rsidRDefault="000D5561" w:rsidP="00444FED">
            <w:pPr>
              <w:pStyle w:val="ListParagraph"/>
              <w:widowControl w:val="0"/>
              <w:spacing w:line="360" w:lineRule="auto"/>
              <w:ind w:left="0" w:right="-168"/>
              <w:jc w:val="center"/>
              <w:rPr>
                <w:b/>
                <w:lang w:val="en-US"/>
              </w:rPr>
            </w:pPr>
            <w:r w:rsidRPr="008E57B8">
              <w:rPr>
                <w:b/>
                <w:lang w:val="en-US"/>
              </w:rPr>
              <w:t>(</w:t>
            </w:r>
            <w:r w:rsidRPr="008E57B8">
              <w:rPr>
                <w:b/>
              </w:rPr>
              <w:t>Me</w:t>
            </w:r>
            <w:r>
              <w:rPr>
                <w:b/>
                <w:lang w:val="en-US"/>
              </w:rPr>
              <w:t>an ± SD</w:t>
            </w:r>
            <w:r w:rsidRPr="008E57B8">
              <w:rPr>
                <w:b/>
                <w:lang w:val="en-US"/>
              </w:rPr>
              <w:t>)</w:t>
            </w:r>
          </w:p>
        </w:tc>
        <w:tc>
          <w:tcPr>
            <w:tcW w:w="1482" w:type="pct"/>
          </w:tcPr>
          <w:p w14:paraId="72AE4572" w14:textId="77777777" w:rsidR="000D5561" w:rsidRPr="008E57B8" w:rsidRDefault="000D5561" w:rsidP="00444FED">
            <w:pPr>
              <w:pStyle w:val="ListParagraph"/>
              <w:widowControl w:val="0"/>
              <w:spacing w:line="360" w:lineRule="auto"/>
              <w:ind w:left="0"/>
              <w:jc w:val="center"/>
              <w:rPr>
                <w:b/>
                <w:lang w:val="en-US"/>
              </w:rPr>
            </w:pPr>
            <w:proofErr w:type="spellStart"/>
            <w:r>
              <w:rPr>
                <w:b/>
                <w:lang w:val="en-US"/>
              </w:rPr>
              <w:t>Kontrol</w:t>
            </w:r>
            <w:proofErr w:type="spellEnd"/>
          </w:p>
          <w:p w14:paraId="0427C2F5" w14:textId="22AB1D54" w:rsidR="000D5561" w:rsidRPr="008E57B8" w:rsidRDefault="000D5561" w:rsidP="00444FED">
            <w:pPr>
              <w:pStyle w:val="ListParagraph"/>
              <w:widowControl w:val="0"/>
              <w:spacing w:line="360" w:lineRule="auto"/>
              <w:ind w:left="0"/>
              <w:jc w:val="center"/>
              <w:rPr>
                <w:b/>
                <w:lang w:val="en-US"/>
              </w:rPr>
            </w:pPr>
            <w:r w:rsidRPr="008E57B8">
              <w:rPr>
                <w:b/>
                <w:lang w:val="en-US"/>
              </w:rPr>
              <w:t>(</w:t>
            </w:r>
            <w:r w:rsidRPr="008E57B8">
              <w:rPr>
                <w:b/>
              </w:rPr>
              <w:t>Me</w:t>
            </w:r>
            <w:r>
              <w:rPr>
                <w:b/>
                <w:lang w:val="en-US"/>
              </w:rPr>
              <w:t>an ± SD</w:t>
            </w:r>
            <w:r w:rsidRPr="008E57B8">
              <w:rPr>
                <w:b/>
                <w:lang w:val="en-US"/>
              </w:rPr>
              <w:t>)</w:t>
            </w:r>
          </w:p>
        </w:tc>
        <w:tc>
          <w:tcPr>
            <w:tcW w:w="879" w:type="pct"/>
            <w:vAlign w:val="center"/>
          </w:tcPr>
          <w:p w14:paraId="046EEF33" w14:textId="77777777" w:rsidR="000D5561" w:rsidRPr="008E57B8" w:rsidRDefault="000D5561" w:rsidP="00444FED">
            <w:pPr>
              <w:pStyle w:val="ListParagraph"/>
              <w:widowControl w:val="0"/>
              <w:spacing w:line="360" w:lineRule="auto"/>
              <w:ind w:left="0"/>
              <w:jc w:val="center"/>
              <w:rPr>
                <w:b/>
              </w:rPr>
            </w:pPr>
            <w:r w:rsidRPr="008E57B8">
              <w:rPr>
                <w:b/>
              </w:rPr>
              <w:t xml:space="preserve">P </w:t>
            </w:r>
          </w:p>
          <w:p w14:paraId="2EDB21DD" w14:textId="77777777" w:rsidR="000D5561" w:rsidRPr="008E57B8" w:rsidRDefault="000D5561" w:rsidP="00444FED">
            <w:pPr>
              <w:pStyle w:val="ListParagraph"/>
              <w:widowControl w:val="0"/>
              <w:spacing w:line="360" w:lineRule="auto"/>
              <w:ind w:left="0"/>
              <w:jc w:val="center"/>
              <w:rPr>
                <w:b/>
              </w:rPr>
            </w:pPr>
            <w:r w:rsidRPr="008E57B8">
              <w:rPr>
                <w:b/>
              </w:rPr>
              <w:t>Value</w:t>
            </w:r>
          </w:p>
        </w:tc>
      </w:tr>
      <w:tr w:rsidR="000D5561" w:rsidRPr="008E57B8" w14:paraId="250A3296" w14:textId="77777777" w:rsidTr="004F2186">
        <w:tc>
          <w:tcPr>
            <w:tcW w:w="1281" w:type="pct"/>
          </w:tcPr>
          <w:p w14:paraId="7B65BA0F" w14:textId="2678876F" w:rsidR="000D5561" w:rsidRDefault="000D5561" w:rsidP="00444FED">
            <w:pPr>
              <w:pStyle w:val="ListParagraph"/>
              <w:widowControl w:val="0"/>
              <w:spacing w:line="360" w:lineRule="auto"/>
              <w:ind w:left="0"/>
              <w:jc w:val="center"/>
              <w:rPr>
                <w:b/>
                <w:lang w:val="en-US"/>
              </w:rPr>
            </w:pPr>
            <w:r>
              <w:rPr>
                <w:b/>
                <w:lang w:val="en-US"/>
              </w:rPr>
              <w:t xml:space="preserve">IL-6 </w:t>
            </w:r>
            <w:proofErr w:type="spellStart"/>
            <w:r w:rsidRPr="004F2186">
              <w:rPr>
                <w:b/>
                <w:lang w:val="en-US"/>
              </w:rPr>
              <w:t>sebelum</w:t>
            </w:r>
            <w:proofErr w:type="spellEnd"/>
            <w:r w:rsidRPr="004F2186">
              <w:rPr>
                <w:b/>
                <w:lang w:val="en-US"/>
              </w:rPr>
              <w:t xml:space="preserve"> </w:t>
            </w:r>
            <w:proofErr w:type="spellStart"/>
            <w:r w:rsidRPr="004F2186">
              <w:rPr>
                <w:b/>
                <w:lang w:val="en-US"/>
              </w:rPr>
              <w:t>pembiusan</w:t>
            </w:r>
            <w:proofErr w:type="spellEnd"/>
          </w:p>
        </w:tc>
        <w:tc>
          <w:tcPr>
            <w:tcW w:w="1358" w:type="pct"/>
            <w:vAlign w:val="center"/>
          </w:tcPr>
          <w:p w14:paraId="089FB8C7" w14:textId="1F7A1E99" w:rsidR="000D5561" w:rsidRDefault="00134F1A" w:rsidP="00444FED">
            <w:pPr>
              <w:pStyle w:val="ListParagraph"/>
              <w:widowControl w:val="0"/>
              <w:spacing w:line="360" w:lineRule="auto"/>
              <w:ind w:left="0"/>
              <w:jc w:val="center"/>
              <w:rPr>
                <w:bCs/>
                <w:lang w:val="en-US"/>
              </w:rPr>
            </w:pPr>
            <w:r>
              <w:rPr>
                <w:bCs/>
                <w:lang w:val="en-US"/>
              </w:rPr>
              <w:t>17</w:t>
            </w:r>
            <w:r w:rsidR="004F2186">
              <w:rPr>
                <w:bCs/>
                <w:lang w:val="en-US"/>
              </w:rPr>
              <w:t>,</w:t>
            </w:r>
            <w:r>
              <w:rPr>
                <w:bCs/>
                <w:lang w:val="en-US"/>
              </w:rPr>
              <w:t>04</w:t>
            </w:r>
            <w:r w:rsidR="000D5561" w:rsidRPr="00054124">
              <w:rPr>
                <w:bCs/>
                <w:lang w:val="en-US"/>
              </w:rPr>
              <w:t xml:space="preserve"> ± </w:t>
            </w:r>
            <w:r>
              <w:rPr>
                <w:bCs/>
                <w:lang w:val="en-US"/>
              </w:rPr>
              <w:t>24</w:t>
            </w:r>
            <w:r w:rsidR="004F2186">
              <w:rPr>
                <w:bCs/>
                <w:lang w:val="en-US"/>
              </w:rPr>
              <w:t>,</w:t>
            </w:r>
            <w:r>
              <w:rPr>
                <w:bCs/>
                <w:lang w:val="en-US"/>
              </w:rPr>
              <w:t>22</w:t>
            </w:r>
          </w:p>
        </w:tc>
        <w:tc>
          <w:tcPr>
            <w:tcW w:w="1482" w:type="pct"/>
            <w:vAlign w:val="center"/>
          </w:tcPr>
          <w:p w14:paraId="72807059" w14:textId="3E557686" w:rsidR="000D5561" w:rsidRDefault="00134F1A" w:rsidP="00444FED">
            <w:pPr>
              <w:pStyle w:val="ListParagraph"/>
              <w:widowControl w:val="0"/>
              <w:spacing w:line="360" w:lineRule="auto"/>
              <w:ind w:left="0"/>
              <w:jc w:val="center"/>
              <w:rPr>
                <w:bCs/>
                <w:lang w:val="en-US"/>
              </w:rPr>
            </w:pPr>
            <w:r>
              <w:rPr>
                <w:bCs/>
                <w:lang w:val="en-US"/>
              </w:rPr>
              <w:t>12</w:t>
            </w:r>
            <w:r w:rsidR="004F2186">
              <w:rPr>
                <w:bCs/>
                <w:lang w:val="en-US"/>
              </w:rPr>
              <w:t>,</w:t>
            </w:r>
            <w:r>
              <w:rPr>
                <w:bCs/>
                <w:lang w:val="en-US"/>
              </w:rPr>
              <w:t>08</w:t>
            </w:r>
            <w:r w:rsidR="000D5561" w:rsidRPr="00054124">
              <w:rPr>
                <w:bCs/>
                <w:lang w:val="en-US"/>
              </w:rPr>
              <w:t xml:space="preserve"> ± </w:t>
            </w:r>
            <w:r>
              <w:rPr>
                <w:bCs/>
                <w:lang w:val="en-US"/>
              </w:rPr>
              <w:t>22</w:t>
            </w:r>
            <w:r w:rsidR="004F2186">
              <w:rPr>
                <w:bCs/>
                <w:lang w:val="en-US"/>
              </w:rPr>
              <w:t>,</w:t>
            </w:r>
            <w:r>
              <w:rPr>
                <w:bCs/>
                <w:lang w:val="en-US"/>
              </w:rPr>
              <w:t>11</w:t>
            </w:r>
          </w:p>
        </w:tc>
        <w:tc>
          <w:tcPr>
            <w:tcW w:w="879" w:type="pct"/>
            <w:vAlign w:val="center"/>
          </w:tcPr>
          <w:p w14:paraId="4463002A" w14:textId="6E6EC74B" w:rsidR="000D5561" w:rsidRPr="00134F1A" w:rsidRDefault="000D5561" w:rsidP="00444FED">
            <w:pPr>
              <w:pStyle w:val="ListParagraph"/>
              <w:widowControl w:val="0"/>
              <w:spacing w:line="360" w:lineRule="auto"/>
              <w:ind w:left="0"/>
              <w:jc w:val="center"/>
              <w:rPr>
                <w:bCs/>
                <w:lang w:val="en-US"/>
              </w:rPr>
            </w:pPr>
            <w:r w:rsidRPr="008E57B8">
              <w:rPr>
                <w:bCs/>
              </w:rPr>
              <w:t>0</w:t>
            </w:r>
            <w:r w:rsidR="004F2186">
              <w:rPr>
                <w:bCs/>
              </w:rPr>
              <w:t>,</w:t>
            </w:r>
            <w:r w:rsidR="00134F1A">
              <w:rPr>
                <w:bCs/>
                <w:lang w:val="en-US"/>
              </w:rPr>
              <w:t>806</w:t>
            </w:r>
            <w:r w:rsidR="00134F1A" w:rsidRPr="00134F1A">
              <w:rPr>
                <w:bCs/>
                <w:vertAlign w:val="superscript"/>
                <w:lang w:val="en-US"/>
              </w:rPr>
              <w:t>ns</w:t>
            </w:r>
          </w:p>
        </w:tc>
      </w:tr>
      <w:tr w:rsidR="000D5561" w:rsidRPr="008E57B8" w14:paraId="22CD8CAD" w14:textId="77777777" w:rsidTr="004F2186">
        <w:tc>
          <w:tcPr>
            <w:tcW w:w="1281" w:type="pct"/>
          </w:tcPr>
          <w:p w14:paraId="1E5AAE74" w14:textId="713D9103" w:rsidR="000D5561" w:rsidRDefault="000D5561" w:rsidP="00444FED">
            <w:pPr>
              <w:pStyle w:val="ListParagraph"/>
              <w:widowControl w:val="0"/>
              <w:spacing w:line="360" w:lineRule="auto"/>
              <w:ind w:left="0"/>
              <w:jc w:val="center"/>
              <w:rPr>
                <w:b/>
                <w:lang w:val="en-US"/>
              </w:rPr>
            </w:pPr>
            <w:r>
              <w:rPr>
                <w:b/>
                <w:lang w:val="en-US"/>
              </w:rPr>
              <w:t>IL-</w:t>
            </w:r>
            <w:r w:rsidRPr="000D5561">
              <w:rPr>
                <w:b/>
                <w:lang w:val="en-US"/>
              </w:rPr>
              <w:t xml:space="preserve">6 12 Jam Pasca </w:t>
            </w:r>
            <w:proofErr w:type="spellStart"/>
            <w:r w:rsidRPr="000D5561">
              <w:rPr>
                <w:b/>
                <w:lang w:val="en-US"/>
              </w:rPr>
              <w:t>Bedah</w:t>
            </w:r>
            <w:proofErr w:type="spellEnd"/>
          </w:p>
        </w:tc>
        <w:tc>
          <w:tcPr>
            <w:tcW w:w="1358" w:type="pct"/>
            <w:vAlign w:val="center"/>
          </w:tcPr>
          <w:p w14:paraId="17E36BC3" w14:textId="1669D377" w:rsidR="000D5561" w:rsidRDefault="00134F1A" w:rsidP="00444FED">
            <w:pPr>
              <w:pStyle w:val="ListParagraph"/>
              <w:widowControl w:val="0"/>
              <w:spacing w:line="360" w:lineRule="auto"/>
              <w:ind w:left="0"/>
              <w:jc w:val="center"/>
              <w:rPr>
                <w:bCs/>
                <w:lang w:val="en-US"/>
              </w:rPr>
            </w:pPr>
            <w:r>
              <w:rPr>
                <w:bCs/>
                <w:lang w:val="en-US"/>
              </w:rPr>
              <w:t>61</w:t>
            </w:r>
            <w:r w:rsidR="004F2186">
              <w:rPr>
                <w:bCs/>
                <w:lang w:val="en-US"/>
              </w:rPr>
              <w:t>,</w:t>
            </w:r>
            <w:r>
              <w:rPr>
                <w:bCs/>
                <w:lang w:val="en-US"/>
              </w:rPr>
              <w:t>67</w:t>
            </w:r>
            <w:r w:rsidR="000D5561" w:rsidRPr="00054124">
              <w:rPr>
                <w:bCs/>
                <w:lang w:val="en-US"/>
              </w:rPr>
              <w:t xml:space="preserve"> ± </w:t>
            </w:r>
            <w:r>
              <w:rPr>
                <w:bCs/>
                <w:lang w:val="en-US"/>
              </w:rPr>
              <w:t>39</w:t>
            </w:r>
            <w:r w:rsidR="004F2186">
              <w:rPr>
                <w:bCs/>
                <w:lang w:val="en-US"/>
              </w:rPr>
              <w:t>,</w:t>
            </w:r>
            <w:r>
              <w:rPr>
                <w:bCs/>
                <w:lang w:val="en-US"/>
              </w:rPr>
              <w:t>38</w:t>
            </w:r>
          </w:p>
        </w:tc>
        <w:tc>
          <w:tcPr>
            <w:tcW w:w="1482" w:type="pct"/>
            <w:vAlign w:val="center"/>
          </w:tcPr>
          <w:p w14:paraId="0AA9E698" w14:textId="6A75FDAC" w:rsidR="000D5561" w:rsidRDefault="00134F1A" w:rsidP="00444FED">
            <w:pPr>
              <w:pStyle w:val="ListParagraph"/>
              <w:widowControl w:val="0"/>
              <w:spacing w:line="360" w:lineRule="auto"/>
              <w:ind w:left="0"/>
              <w:jc w:val="center"/>
              <w:rPr>
                <w:bCs/>
                <w:lang w:val="en-US"/>
              </w:rPr>
            </w:pPr>
            <w:r>
              <w:rPr>
                <w:bCs/>
                <w:lang w:val="en-US"/>
              </w:rPr>
              <w:t>86</w:t>
            </w:r>
            <w:r w:rsidR="004F2186">
              <w:rPr>
                <w:bCs/>
                <w:lang w:val="en-US"/>
              </w:rPr>
              <w:t>,</w:t>
            </w:r>
            <w:r w:rsidR="000D5561">
              <w:rPr>
                <w:bCs/>
                <w:lang w:val="en-US"/>
              </w:rPr>
              <w:t>6</w:t>
            </w:r>
            <w:r>
              <w:rPr>
                <w:bCs/>
                <w:lang w:val="en-US"/>
              </w:rPr>
              <w:t>4</w:t>
            </w:r>
            <w:r w:rsidR="000D5561" w:rsidRPr="00054124">
              <w:rPr>
                <w:bCs/>
                <w:lang w:val="en-US"/>
              </w:rPr>
              <w:t xml:space="preserve"> ± </w:t>
            </w:r>
            <w:r>
              <w:rPr>
                <w:bCs/>
                <w:lang w:val="en-US"/>
              </w:rPr>
              <w:t>32</w:t>
            </w:r>
            <w:r w:rsidR="004F2186">
              <w:rPr>
                <w:bCs/>
                <w:lang w:val="en-US"/>
              </w:rPr>
              <w:t>,</w:t>
            </w:r>
            <w:r>
              <w:rPr>
                <w:bCs/>
                <w:lang w:val="en-US"/>
              </w:rPr>
              <w:t>61</w:t>
            </w:r>
          </w:p>
        </w:tc>
        <w:tc>
          <w:tcPr>
            <w:tcW w:w="879" w:type="pct"/>
            <w:vAlign w:val="center"/>
          </w:tcPr>
          <w:p w14:paraId="33000506" w14:textId="2CB21FC5" w:rsidR="000D5561" w:rsidRPr="008E57B8" w:rsidRDefault="000D5561" w:rsidP="00444FED">
            <w:pPr>
              <w:pStyle w:val="ListParagraph"/>
              <w:widowControl w:val="0"/>
              <w:spacing w:line="360" w:lineRule="auto"/>
              <w:ind w:left="0"/>
              <w:jc w:val="center"/>
              <w:rPr>
                <w:bCs/>
              </w:rPr>
            </w:pPr>
            <w:r w:rsidRPr="008E57B8">
              <w:rPr>
                <w:bCs/>
              </w:rPr>
              <w:t>0</w:t>
            </w:r>
            <w:r w:rsidR="004F2186">
              <w:rPr>
                <w:bCs/>
              </w:rPr>
              <w:t>,</w:t>
            </w:r>
            <w:r w:rsidRPr="008E57B8">
              <w:rPr>
                <w:bCs/>
              </w:rPr>
              <w:t>0</w:t>
            </w:r>
            <w:r w:rsidR="00134F1A">
              <w:rPr>
                <w:bCs/>
              </w:rPr>
              <w:t>4</w:t>
            </w:r>
            <w:r w:rsidR="00134F1A">
              <w:rPr>
                <w:bCs/>
                <w:lang w:val="en-US"/>
              </w:rPr>
              <w:t>9</w:t>
            </w:r>
            <w:r>
              <w:rPr>
                <w:bCs/>
                <w:lang w:val="en-US"/>
              </w:rPr>
              <w:t>*</w:t>
            </w:r>
          </w:p>
        </w:tc>
      </w:tr>
      <w:tr w:rsidR="000D5561" w:rsidRPr="008E57B8" w14:paraId="2A594C48" w14:textId="77777777" w:rsidTr="004F2186">
        <w:tc>
          <w:tcPr>
            <w:tcW w:w="1281" w:type="pct"/>
          </w:tcPr>
          <w:p w14:paraId="7BD996FF" w14:textId="347EC1DC" w:rsidR="000D5561" w:rsidRPr="008E57B8" w:rsidRDefault="000D5561" w:rsidP="00444FED">
            <w:pPr>
              <w:pStyle w:val="ListParagraph"/>
              <w:widowControl w:val="0"/>
              <w:spacing w:line="360" w:lineRule="auto"/>
              <w:ind w:left="0"/>
              <w:jc w:val="center"/>
              <w:rPr>
                <w:b/>
                <w:lang w:val="en-US"/>
              </w:rPr>
            </w:pPr>
            <w:r>
              <w:rPr>
                <w:b/>
                <w:lang w:val="en-US"/>
              </w:rPr>
              <w:t xml:space="preserve">Δ IL-6 </w:t>
            </w:r>
          </w:p>
        </w:tc>
        <w:tc>
          <w:tcPr>
            <w:tcW w:w="1358" w:type="pct"/>
            <w:vAlign w:val="center"/>
          </w:tcPr>
          <w:p w14:paraId="6582A1E1" w14:textId="05FDF8AB" w:rsidR="000D5561" w:rsidRPr="008E57B8" w:rsidRDefault="000D5561" w:rsidP="00444FED">
            <w:pPr>
              <w:pStyle w:val="ListParagraph"/>
              <w:widowControl w:val="0"/>
              <w:spacing w:line="360" w:lineRule="auto"/>
              <w:ind w:left="0"/>
              <w:jc w:val="center"/>
              <w:rPr>
                <w:bCs/>
                <w:lang w:val="en-US"/>
              </w:rPr>
            </w:pPr>
            <w:r>
              <w:rPr>
                <w:bCs/>
                <w:lang w:val="en-US"/>
              </w:rPr>
              <w:t>4</w:t>
            </w:r>
            <w:r w:rsidR="00134F1A">
              <w:rPr>
                <w:bCs/>
                <w:lang w:val="en-US"/>
              </w:rPr>
              <w:t>4</w:t>
            </w:r>
            <w:r w:rsidR="004F2186">
              <w:rPr>
                <w:bCs/>
                <w:lang w:val="en-US"/>
              </w:rPr>
              <w:t>,</w:t>
            </w:r>
            <w:r w:rsidR="00134F1A">
              <w:rPr>
                <w:bCs/>
                <w:lang w:val="en-US"/>
              </w:rPr>
              <w:t>67</w:t>
            </w:r>
            <w:r w:rsidRPr="00054124">
              <w:rPr>
                <w:bCs/>
                <w:lang w:val="en-US"/>
              </w:rPr>
              <w:t xml:space="preserve"> ± </w:t>
            </w:r>
            <w:r w:rsidR="00134F1A">
              <w:rPr>
                <w:bCs/>
                <w:lang w:val="en-US"/>
              </w:rPr>
              <w:t>45</w:t>
            </w:r>
            <w:r w:rsidR="004F2186">
              <w:rPr>
                <w:bCs/>
                <w:lang w:val="en-US"/>
              </w:rPr>
              <w:t>,</w:t>
            </w:r>
            <w:r w:rsidR="00134F1A">
              <w:rPr>
                <w:bCs/>
                <w:lang w:val="en-US"/>
              </w:rPr>
              <w:t>44</w:t>
            </w:r>
          </w:p>
        </w:tc>
        <w:tc>
          <w:tcPr>
            <w:tcW w:w="1482" w:type="pct"/>
            <w:vAlign w:val="center"/>
          </w:tcPr>
          <w:p w14:paraId="5F892EA5" w14:textId="31779905" w:rsidR="000D5561" w:rsidRPr="008E57B8" w:rsidRDefault="00134F1A" w:rsidP="00444FED">
            <w:pPr>
              <w:pStyle w:val="ListParagraph"/>
              <w:widowControl w:val="0"/>
              <w:spacing w:line="360" w:lineRule="auto"/>
              <w:ind w:left="0"/>
              <w:jc w:val="center"/>
              <w:rPr>
                <w:bCs/>
              </w:rPr>
            </w:pPr>
            <w:r>
              <w:rPr>
                <w:bCs/>
                <w:lang w:val="en-US"/>
              </w:rPr>
              <w:t>74</w:t>
            </w:r>
            <w:r w:rsidR="004F2186">
              <w:rPr>
                <w:bCs/>
                <w:lang w:val="en-US"/>
              </w:rPr>
              <w:t>,</w:t>
            </w:r>
            <w:r>
              <w:rPr>
                <w:bCs/>
                <w:lang w:val="en-US"/>
              </w:rPr>
              <w:t>56</w:t>
            </w:r>
            <w:r w:rsidR="000D5561" w:rsidRPr="00054124">
              <w:rPr>
                <w:bCs/>
                <w:lang w:val="en-US"/>
              </w:rPr>
              <w:t xml:space="preserve"> ± </w:t>
            </w:r>
            <w:r>
              <w:rPr>
                <w:bCs/>
                <w:lang w:val="en-US"/>
              </w:rPr>
              <w:t>33</w:t>
            </w:r>
            <w:r w:rsidR="004F2186">
              <w:rPr>
                <w:bCs/>
                <w:lang w:val="en-US"/>
              </w:rPr>
              <w:t>,</w:t>
            </w:r>
            <w:r>
              <w:rPr>
                <w:bCs/>
                <w:lang w:val="en-US"/>
              </w:rPr>
              <w:t>79</w:t>
            </w:r>
          </w:p>
        </w:tc>
        <w:tc>
          <w:tcPr>
            <w:tcW w:w="879" w:type="pct"/>
            <w:vAlign w:val="center"/>
          </w:tcPr>
          <w:p w14:paraId="2CCF5E16" w14:textId="39982385" w:rsidR="000D5561" w:rsidRPr="008E57B8" w:rsidRDefault="000D5561" w:rsidP="00444FED">
            <w:pPr>
              <w:pStyle w:val="ListParagraph"/>
              <w:widowControl w:val="0"/>
              <w:spacing w:line="360" w:lineRule="auto"/>
              <w:ind w:left="0"/>
              <w:jc w:val="center"/>
              <w:rPr>
                <w:rFonts w:eastAsiaTheme="minorEastAsia"/>
                <w:bCs/>
                <w:lang w:val="en-US" w:eastAsia="zh-CN"/>
              </w:rPr>
            </w:pPr>
            <w:r w:rsidRPr="008E57B8">
              <w:rPr>
                <w:bCs/>
              </w:rPr>
              <w:t>0</w:t>
            </w:r>
            <w:r w:rsidR="004F2186">
              <w:rPr>
                <w:bCs/>
              </w:rPr>
              <w:t>,</w:t>
            </w:r>
            <w:r w:rsidRPr="008E57B8">
              <w:rPr>
                <w:bCs/>
              </w:rPr>
              <w:t>0</w:t>
            </w:r>
            <w:r w:rsidR="00134F1A">
              <w:rPr>
                <w:bCs/>
                <w:lang w:val="en-US"/>
              </w:rPr>
              <w:t>33</w:t>
            </w:r>
            <w:r>
              <w:rPr>
                <w:bCs/>
                <w:lang w:val="en-US"/>
              </w:rPr>
              <w:t>*</w:t>
            </w:r>
          </w:p>
        </w:tc>
      </w:tr>
    </w:tbl>
    <w:p w14:paraId="3ED03B46" w14:textId="77777777" w:rsidR="00B112AD" w:rsidRPr="004F2186" w:rsidRDefault="00B112AD" w:rsidP="004F2186">
      <w:pPr>
        <w:widowControl w:val="0"/>
        <w:spacing w:line="360" w:lineRule="auto"/>
        <w:jc w:val="both"/>
        <w:rPr>
          <w:rFonts w:eastAsiaTheme="minorEastAsia"/>
          <w:i/>
          <w:sz w:val="22"/>
          <w:szCs w:val="22"/>
          <w:lang w:eastAsia="zh-CN"/>
        </w:rPr>
      </w:pPr>
      <w:r w:rsidRPr="004F2186">
        <w:rPr>
          <w:sz w:val="22"/>
          <w:szCs w:val="22"/>
        </w:rPr>
        <w:lastRenderedPageBreak/>
        <w:t xml:space="preserve">Data diuji dengan </w:t>
      </w:r>
      <w:r w:rsidRPr="004F2186">
        <w:rPr>
          <w:i/>
          <w:iCs/>
          <w:sz w:val="22"/>
          <w:szCs w:val="22"/>
          <w:lang w:val="en-US"/>
        </w:rPr>
        <w:t>Mann Whitney U Test</w:t>
      </w:r>
      <w:r w:rsidRPr="004F2186">
        <w:rPr>
          <w:sz w:val="22"/>
          <w:szCs w:val="22"/>
        </w:rPr>
        <w:t xml:space="preserve">; *: </w:t>
      </w:r>
      <w:r w:rsidRPr="004F2186">
        <w:rPr>
          <w:i/>
          <w:sz w:val="22"/>
          <w:szCs w:val="22"/>
        </w:rPr>
        <w:t>significant</w:t>
      </w:r>
    </w:p>
    <w:p w14:paraId="557ED375" w14:textId="77777777" w:rsidR="00B112AD" w:rsidRPr="008E57B8" w:rsidRDefault="00B112AD" w:rsidP="00444FED">
      <w:pPr>
        <w:pStyle w:val="ListParagraph"/>
        <w:widowControl w:val="0"/>
        <w:spacing w:line="360" w:lineRule="auto"/>
        <w:ind w:left="360"/>
        <w:jc w:val="both"/>
        <w:rPr>
          <w:rFonts w:eastAsiaTheme="minorEastAsia"/>
          <w:i/>
          <w:sz w:val="22"/>
          <w:szCs w:val="22"/>
          <w:lang w:eastAsia="zh-CN"/>
        </w:rPr>
      </w:pPr>
    </w:p>
    <w:p w14:paraId="7D82FFF9" w14:textId="454D576B" w:rsidR="00B112AD" w:rsidRPr="002B61F1" w:rsidRDefault="00B112AD" w:rsidP="00BB45D8">
      <w:pPr>
        <w:spacing w:line="360" w:lineRule="auto"/>
        <w:ind w:firstLine="709"/>
        <w:jc w:val="both"/>
      </w:pPr>
      <w:r w:rsidRPr="002B61F1">
        <w:rPr>
          <w:lang w:eastAsia="zh-CN"/>
        </w:rPr>
        <w:t xml:space="preserve">Tabel </w:t>
      </w:r>
      <w:r w:rsidR="00444FED">
        <w:rPr>
          <w:lang w:eastAsia="zh-CN"/>
        </w:rPr>
        <w:t>5</w:t>
      </w:r>
      <w:r w:rsidRPr="002B61F1">
        <w:rPr>
          <w:lang w:eastAsia="zh-CN"/>
        </w:rPr>
        <w:t xml:space="preserve"> menunjukkan </w:t>
      </w:r>
      <w:r w:rsidR="00134F1A">
        <w:rPr>
          <w:lang w:eastAsia="zh-CN"/>
        </w:rPr>
        <w:t>perbedaan kadar IL-6 pada kedua kelompok</w:t>
      </w:r>
      <w:r w:rsidR="00BB45D8">
        <w:rPr>
          <w:lang w:val="id-ID" w:eastAsia="zh-CN"/>
        </w:rPr>
        <w:t xml:space="preserve"> diperoleh hasil ba</w:t>
      </w:r>
      <w:r w:rsidR="00BB45D8" w:rsidRPr="00BB45D8">
        <w:rPr>
          <w:lang w:val="id-ID" w:eastAsia="zh-CN"/>
        </w:rPr>
        <w:t>hwa</w:t>
      </w:r>
      <w:r w:rsidRPr="00BB45D8">
        <w:rPr>
          <w:lang w:eastAsia="zh-CN"/>
        </w:rPr>
        <w:t xml:space="preserve"> </w:t>
      </w:r>
      <w:r w:rsidR="00BB45D8" w:rsidRPr="00BB45D8">
        <w:rPr>
          <w:lang w:val="id-ID" w:eastAsia="zh-CN"/>
        </w:rPr>
        <w:t>t</w:t>
      </w:r>
      <w:r w:rsidR="00134F1A" w:rsidRPr="00BB45D8">
        <w:rPr>
          <w:lang w:eastAsia="zh-CN"/>
        </w:rPr>
        <w:t xml:space="preserve">idak </w:t>
      </w:r>
      <w:proofErr w:type="spellStart"/>
      <w:r w:rsidR="00134F1A" w:rsidRPr="00BB45D8">
        <w:rPr>
          <w:lang w:val="en-US" w:eastAsia="zh-CN"/>
        </w:rPr>
        <w:t>ditemukan</w:t>
      </w:r>
      <w:proofErr w:type="spellEnd"/>
      <w:r w:rsidR="00134F1A" w:rsidRPr="00BB45D8">
        <w:rPr>
          <w:lang w:eastAsia="zh-CN"/>
        </w:rPr>
        <w:t xml:space="preserve"> perbedaan kadar IL-6 pada saat sebelum pembiusan</w:t>
      </w:r>
      <w:r w:rsidR="00BB45D8" w:rsidRPr="00BB45D8">
        <w:rPr>
          <w:lang w:val="id-ID" w:eastAsia="zh-CN"/>
        </w:rPr>
        <w:t xml:space="preserve"> antara kedua kelompok dengan nilai p &gt; 0,05.</w:t>
      </w:r>
      <w:r w:rsidR="00134F1A" w:rsidRPr="00BB45D8">
        <w:rPr>
          <w:lang w:eastAsia="zh-CN"/>
        </w:rPr>
        <w:t xml:space="preserve"> </w:t>
      </w:r>
      <w:r w:rsidR="00BB45D8" w:rsidRPr="00BB45D8">
        <w:rPr>
          <w:lang w:val="id-ID"/>
        </w:rPr>
        <w:t>S</w:t>
      </w:r>
      <w:r w:rsidR="00134F1A" w:rsidRPr="00BB45D8">
        <w:t>ementara itu</w:t>
      </w:r>
      <w:r w:rsidR="00BB45D8" w:rsidRPr="00BB45D8">
        <w:rPr>
          <w:lang w:val="id-ID"/>
        </w:rPr>
        <w:t>,</w:t>
      </w:r>
      <w:r w:rsidR="00134F1A" w:rsidRPr="00BB45D8">
        <w:t xml:space="preserve"> </w:t>
      </w:r>
      <w:bookmarkStart w:id="137" w:name="_Hlk158212151"/>
      <w:r w:rsidR="00134F1A" w:rsidRPr="00BB45D8">
        <w:t>t</w:t>
      </w:r>
      <w:r w:rsidRPr="00BB45D8">
        <w:t xml:space="preserve">erdapat perbedaan </w:t>
      </w:r>
      <w:r w:rsidR="00134F1A" w:rsidRPr="00BB45D8">
        <w:t>kadar I</w:t>
      </w:r>
      <w:r w:rsidR="00134F1A">
        <w:t xml:space="preserve">L-6 pada 12 jam pascabedah </w:t>
      </w:r>
      <w:r w:rsidR="00134F1A" w:rsidRPr="00F27D56">
        <w:t>dan</w:t>
      </w:r>
      <w:r w:rsidR="00F27D56" w:rsidRPr="00F27D56">
        <w:t xml:space="preserve"> Δ IL-6 </w:t>
      </w:r>
      <w:r w:rsidRPr="00F27D56">
        <w:t xml:space="preserve"> </w:t>
      </w:r>
      <w:r w:rsidR="00BB45D8">
        <w:rPr>
          <w:lang w:val="id-ID"/>
        </w:rPr>
        <w:t>antara</w:t>
      </w:r>
      <w:r w:rsidRPr="002B61F1">
        <w:t xml:space="preserve"> kedua kelompok</w:t>
      </w:r>
      <w:r w:rsidR="00F27D56">
        <w:t xml:space="preserve"> dengan nilai p</w:t>
      </w:r>
      <w:r w:rsidRPr="002B61F1">
        <w:t xml:space="preserve"> &lt; 0</w:t>
      </w:r>
      <w:r w:rsidR="00BB45D8">
        <w:rPr>
          <w:lang w:val="id-ID"/>
        </w:rPr>
        <w:t>,</w:t>
      </w:r>
      <w:r w:rsidRPr="002B61F1">
        <w:t>05.</w:t>
      </w:r>
      <w:bookmarkEnd w:id="137"/>
    </w:p>
    <w:p w14:paraId="3108E295" w14:textId="77777777" w:rsidR="00B112AD" w:rsidRPr="00F426C1" w:rsidRDefault="00B112AD" w:rsidP="00444FED">
      <w:pPr>
        <w:pStyle w:val="ListParagraph"/>
        <w:spacing w:line="360" w:lineRule="auto"/>
        <w:ind w:left="1224"/>
        <w:rPr>
          <w:b/>
          <w:bCs/>
          <w:lang w:val="pt-BR" w:eastAsia="zh-CN"/>
        </w:rPr>
      </w:pPr>
    </w:p>
    <w:p w14:paraId="27D0FC98" w14:textId="2AC2F3D1" w:rsidR="000D07BE" w:rsidRPr="00F426C1" w:rsidRDefault="00BB45D8" w:rsidP="00BB45D8">
      <w:pPr>
        <w:pStyle w:val="Heading3"/>
        <w:rPr>
          <w:b w:val="0"/>
          <w:bCs/>
          <w:lang w:val="pt-BR" w:eastAsia="zh-CN"/>
        </w:rPr>
      </w:pPr>
      <w:bookmarkStart w:id="138" w:name="_Toc158290303"/>
      <w:r>
        <w:rPr>
          <w:lang w:val="id-ID" w:eastAsia="zh-CN"/>
        </w:rPr>
        <w:t>6.2.2</w:t>
      </w:r>
      <w:r>
        <w:rPr>
          <w:lang w:val="id-ID" w:eastAsia="zh-CN"/>
        </w:rPr>
        <w:tab/>
        <w:t>K</w:t>
      </w:r>
      <w:r w:rsidRPr="00F426C1">
        <w:rPr>
          <w:lang w:val="pt-BR" w:eastAsia="zh-CN"/>
        </w:rPr>
        <w:t>orelasi</w:t>
      </w:r>
      <w:r w:rsidRPr="00F426C1">
        <w:rPr>
          <w:bCs/>
          <w:lang w:val="pt-BR" w:eastAsia="zh-CN"/>
        </w:rPr>
        <w:t xml:space="preserve"> </w:t>
      </w:r>
      <w:r w:rsidR="000A4CBF" w:rsidRPr="00F426C1">
        <w:rPr>
          <w:bCs/>
          <w:lang w:val="pt-BR" w:eastAsia="zh-CN"/>
        </w:rPr>
        <w:t xml:space="preserve">Antara Ukuran Tonsil Terhadap Kadar </w:t>
      </w:r>
      <w:r w:rsidR="000A4CBF">
        <w:rPr>
          <w:bCs/>
          <w:lang w:val="id-ID" w:eastAsia="zh-CN"/>
        </w:rPr>
        <w:t>Il</w:t>
      </w:r>
      <w:r w:rsidR="000A4CBF" w:rsidRPr="00F426C1">
        <w:rPr>
          <w:bCs/>
          <w:lang w:val="pt-BR" w:eastAsia="zh-CN"/>
        </w:rPr>
        <w:t>-6</w:t>
      </w:r>
      <w:bookmarkEnd w:id="138"/>
    </w:p>
    <w:p w14:paraId="296F19CF" w14:textId="08BA23D4" w:rsidR="00F1071A" w:rsidRDefault="00F1071A" w:rsidP="00BB45D8">
      <w:pPr>
        <w:spacing w:line="360" w:lineRule="auto"/>
        <w:ind w:firstLine="709"/>
        <w:jc w:val="both"/>
        <w:rPr>
          <w:lang w:val="id-ID"/>
        </w:rPr>
      </w:pPr>
      <w:r w:rsidRPr="000F7523">
        <w:t xml:space="preserve">Korelasi antara </w:t>
      </w:r>
      <w:r w:rsidRPr="00F426C1">
        <w:rPr>
          <w:lang w:val="pt-BR"/>
        </w:rPr>
        <w:t>ukuran tonsil terhadap intensitas nyeri</w:t>
      </w:r>
      <w:r w:rsidRPr="000F7523">
        <w:t xml:space="preserve"> </w:t>
      </w:r>
      <w:r w:rsidRPr="00F426C1">
        <w:rPr>
          <w:lang w:val="pt-BR"/>
        </w:rPr>
        <w:t xml:space="preserve">pada kedua kelompok </w:t>
      </w:r>
      <w:r w:rsidRPr="000F7523">
        <w:t xml:space="preserve">dapat dilihat pada </w:t>
      </w:r>
      <w:r w:rsidR="00BB45D8">
        <w:rPr>
          <w:lang w:val="id-ID"/>
        </w:rPr>
        <w:t>T</w:t>
      </w:r>
      <w:r w:rsidRPr="000F7523">
        <w:t xml:space="preserve">abel </w:t>
      </w:r>
      <w:r w:rsidR="00BB45D8">
        <w:rPr>
          <w:lang w:val="id-ID"/>
        </w:rPr>
        <w:t>6.</w:t>
      </w:r>
    </w:p>
    <w:p w14:paraId="52CB2082" w14:textId="77777777" w:rsidR="000A4CBF" w:rsidRPr="00BB45D8" w:rsidRDefault="000A4CBF" w:rsidP="00BB45D8">
      <w:pPr>
        <w:spacing w:line="360" w:lineRule="auto"/>
        <w:ind w:firstLine="709"/>
        <w:jc w:val="both"/>
        <w:rPr>
          <w:lang w:val="id-ID"/>
        </w:rPr>
      </w:pPr>
    </w:p>
    <w:p w14:paraId="263DEDAC" w14:textId="4F6F2C89" w:rsidR="00F1071A" w:rsidRPr="00F426C1" w:rsidRDefault="00BB45D8" w:rsidP="00BB45D8">
      <w:pPr>
        <w:pStyle w:val="Caption"/>
        <w:rPr>
          <w:b/>
          <w:bCs/>
          <w:i w:val="0"/>
          <w:iCs w:val="0"/>
          <w:sz w:val="24"/>
          <w:szCs w:val="24"/>
          <w:lang w:val="pt-BR"/>
        </w:rPr>
      </w:pPr>
      <w:r w:rsidRPr="00BB45D8">
        <w:rPr>
          <w:i w:val="0"/>
          <w:iCs w:val="0"/>
          <w:color w:val="auto"/>
          <w:sz w:val="24"/>
          <w:szCs w:val="24"/>
        </w:rPr>
        <w:t xml:space="preserve">Tabel </w:t>
      </w:r>
      <w:r w:rsidRPr="00BB45D8">
        <w:rPr>
          <w:i w:val="0"/>
          <w:iCs w:val="0"/>
          <w:color w:val="auto"/>
          <w:sz w:val="24"/>
          <w:szCs w:val="24"/>
        </w:rPr>
        <w:fldChar w:fldCharType="begin"/>
      </w:r>
      <w:r w:rsidRPr="00BB45D8">
        <w:rPr>
          <w:i w:val="0"/>
          <w:iCs w:val="0"/>
          <w:color w:val="auto"/>
          <w:sz w:val="24"/>
          <w:szCs w:val="24"/>
        </w:rPr>
        <w:instrText xml:space="preserve"> SEQ Tabel \* ARABIC </w:instrText>
      </w:r>
      <w:r w:rsidRPr="00BB45D8">
        <w:rPr>
          <w:i w:val="0"/>
          <w:iCs w:val="0"/>
          <w:color w:val="auto"/>
          <w:sz w:val="24"/>
          <w:szCs w:val="24"/>
        </w:rPr>
        <w:fldChar w:fldCharType="separate"/>
      </w:r>
      <w:r w:rsidR="00D671E3">
        <w:rPr>
          <w:i w:val="0"/>
          <w:iCs w:val="0"/>
          <w:noProof/>
          <w:color w:val="auto"/>
          <w:sz w:val="24"/>
          <w:szCs w:val="24"/>
        </w:rPr>
        <w:t>6</w:t>
      </w:r>
      <w:r w:rsidRPr="00BB45D8">
        <w:rPr>
          <w:i w:val="0"/>
          <w:iCs w:val="0"/>
          <w:color w:val="auto"/>
          <w:sz w:val="24"/>
          <w:szCs w:val="24"/>
        </w:rPr>
        <w:fldChar w:fldCharType="end"/>
      </w:r>
      <w:r w:rsidRPr="00BB45D8">
        <w:rPr>
          <w:i w:val="0"/>
          <w:iCs w:val="0"/>
          <w:color w:val="auto"/>
          <w:sz w:val="24"/>
          <w:szCs w:val="24"/>
          <w:lang w:val="id-ID"/>
        </w:rPr>
        <w:t>. Korelasi antara ukuran tonsil terhadap kadar IL-6</w:t>
      </w:r>
    </w:p>
    <w:tbl>
      <w:tblPr>
        <w:tblW w:w="5000" w:type="pct"/>
        <w:tblBorders>
          <w:top w:val="single" w:sz="4" w:space="0" w:color="auto"/>
          <w:bottom w:val="single" w:sz="4" w:space="0" w:color="auto"/>
          <w:insideH w:val="single" w:sz="4" w:space="0" w:color="auto"/>
        </w:tblBorders>
        <w:tblLook w:val="04A0" w:firstRow="1" w:lastRow="0" w:firstColumn="1" w:lastColumn="0" w:noHBand="0" w:noVBand="1"/>
      </w:tblPr>
      <w:tblGrid>
        <w:gridCol w:w="1561"/>
        <w:gridCol w:w="3431"/>
        <w:gridCol w:w="2398"/>
        <w:gridCol w:w="1790"/>
      </w:tblGrid>
      <w:tr w:rsidR="00F1071A" w:rsidRPr="000F7523" w14:paraId="15A84980" w14:textId="77777777" w:rsidTr="00BB45D8">
        <w:trPr>
          <w:trHeight w:val="658"/>
        </w:trPr>
        <w:tc>
          <w:tcPr>
            <w:tcW w:w="850" w:type="pct"/>
            <w:vAlign w:val="center"/>
          </w:tcPr>
          <w:p w14:paraId="30D3B74D" w14:textId="1AD40494" w:rsidR="00F1071A" w:rsidRDefault="00F1071A" w:rsidP="00444FED">
            <w:pPr>
              <w:pStyle w:val="ListParagraph"/>
              <w:widowControl w:val="0"/>
              <w:spacing w:line="360" w:lineRule="auto"/>
              <w:ind w:left="0"/>
              <w:jc w:val="center"/>
              <w:rPr>
                <w:b/>
                <w:lang w:val="en-US"/>
              </w:rPr>
            </w:pPr>
            <w:proofErr w:type="spellStart"/>
            <w:r>
              <w:rPr>
                <w:b/>
                <w:lang w:val="en-US"/>
              </w:rPr>
              <w:t>Kelompok</w:t>
            </w:r>
            <w:proofErr w:type="spellEnd"/>
          </w:p>
        </w:tc>
        <w:tc>
          <w:tcPr>
            <w:tcW w:w="1869" w:type="pct"/>
            <w:vAlign w:val="center"/>
          </w:tcPr>
          <w:p w14:paraId="452BDA51" w14:textId="36275771" w:rsidR="00F1071A" w:rsidRPr="004A3124" w:rsidRDefault="00F1071A" w:rsidP="00444FED">
            <w:pPr>
              <w:pStyle w:val="ListParagraph"/>
              <w:widowControl w:val="0"/>
              <w:spacing w:line="360" w:lineRule="auto"/>
              <w:ind w:left="0"/>
              <w:jc w:val="center"/>
              <w:rPr>
                <w:b/>
                <w:lang w:val="en-US"/>
              </w:rPr>
            </w:pPr>
            <w:r>
              <w:rPr>
                <w:b/>
                <w:lang w:val="en-US"/>
              </w:rPr>
              <w:t>Kadar IL-6</w:t>
            </w:r>
          </w:p>
        </w:tc>
        <w:tc>
          <w:tcPr>
            <w:tcW w:w="1306" w:type="pct"/>
            <w:vAlign w:val="center"/>
          </w:tcPr>
          <w:p w14:paraId="3E632AFF" w14:textId="77777777" w:rsidR="00F1071A" w:rsidRPr="000F7523" w:rsidRDefault="00F1071A" w:rsidP="00444FED">
            <w:pPr>
              <w:pStyle w:val="ListParagraph"/>
              <w:widowControl w:val="0"/>
              <w:spacing w:line="360" w:lineRule="auto"/>
              <w:ind w:left="0"/>
              <w:jc w:val="center"/>
              <w:rPr>
                <w:b/>
              </w:rPr>
            </w:pPr>
            <w:r w:rsidRPr="000F7523">
              <w:rPr>
                <w:b/>
                <w:i/>
                <w:iCs/>
              </w:rPr>
              <w:t>r</w:t>
            </w:r>
            <w:r w:rsidRPr="000F7523">
              <w:rPr>
                <w:b/>
              </w:rPr>
              <w:t xml:space="preserve"> value</w:t>
            </w:r>
          </w:p>
        </w:tc>
        <w:tc>
          <w:tcPr>
            <w:tcW w:w="975" w:type="pct"/>
            <w:vAlign w:val="center"/>
          </w:tcPr>
          <w:p w14:paraId="7D753CBE" w14:textId="77777777" w:rsidR="00F1071A" w:rsidRPr="000F7523" w:rsidRDefault="00F1071A" w:rsidP="00444FED">
            <w:pPr>
              <w:pStyle w:val="ListParagraph"/>
              <w:widowControl w:val="0"/>
              <w:spacing w:line="360" w:lineRule="auto"/>
              <w:ind w:left="0"/>
              <w:jc w:val="center"/>
              <w:rPr>
                <w:b/>
              </w:rPr>
            </w:pPr>
            <w:r w:rsidRPr="000F7523">
              <w:rPr>
                <w:b/>
                <w:i/>
                <w:iCs/>
              </w:rPr>
              <w:t>p</w:t>
            </w:r>
            <w:r w:rsidRPr="000F7523">
              <w:rPr>
                <w:b/>
              </w:rPr>
              <w:t xml:space="preserve"> value</w:t>
            </w:r>
          </w:p>
        </w:tc>
      </w:tr>
      <w:tr w:rsidR="00F1071A" w:rsidRPr="000F7523" w14:paraId="3FB85D26" w14:textId="77777777" w:rsidTr="00BB45D8">
        <w:tc>
          <w:tcPr>
            <w:tcW w:w="850" w:type="pct"/>
            <w:vMerge w:val="restart"/>
            <w:vAlign w:val="center"/>
          </w:tcPr>
          <w:p w14:paraId="74186C5E" w14:textId="77777777" w:rsidR="00F1071A" w:rsidRDefault="00F1071A" w:rsidP="00444FED">
            <w:pPr>
              <w:pStyle w:val="ListParagraph"/>
              <w:widowControl w:val="0"/>
              <w:spacing w:line="360" w:lineRule="auto"/>
              <w:ind w:left="0"/>
              <w:jc w:val="center"/>
              <w:rPr>
                <w:bCs/>
                <w:lang w:val="en-US"/>
              </w:rPr>
            </w:pPr>
            <w:proofErr w:type="spellStart"/>
            <w:r>
              <w:rPr>
                <w:bCs/>
                <w:lang w:val="en-US"/>
              </w:rPr>
              <w:t>Kontrol</w:t>
            </w:r>
            <w:proofErr w:type="spellEnd"/>
          </w:p>
        </w:tc>
        <w:tc>
          <w:tcPr>
            <w:tcW w:w="1869" w:type="pct"/>
          </w:tcPr>
          <w:p w14:paraId="68024D2E" w14:textId="359CB99F" w:rsidR="00F1071A" w:rsidRPr="00F1071A" w:rsidRDefault="00F1071A" w:rsidP="00444FED">
            <w:pPr>
              <w:pStyle w:val="ListParagraph"/>
              <w:widowControl w:val="0"/>
              <w:spacing w:line="360" w:lineRule="auto"/>
              <w:ind w:left="0"/>
              <w:rPr>
                <w:bCs/>
                <w:lang w:val="en-US"/>
              </w:rPr>
            </w:pPr>
            <w:r w:rsidRPr="00F1071A">
              <w:rPr>
                <w:bCs/>
                <w:lang w:val="en-US"/>
              </w:rPr>
              <w:t xml:space="preserve">IL-6 </w:t>
            </w:r>
            <w:proofErr w:type="spellStart"/>
            <w:r w:rsidRPr="00F85EC3">
              <w:rPr>
                <w:bCs/>
                <w:lang w:val="en-US"/>
              </w:rPr>
              <w:t>sebelum</w:t>
            </w:r>
            <w:proofErr w:type="spellEnd"/>
            <w:r w:rsidRPr="00F85EC3">
              <w:rPr>
                <w:bCs/>
                <w:lang w:val="en-US"/>
              </w:rPr>
              <w:t xml:space="preserve"> </w:t>
            </w:r>
            <w:proofErr w:type="spellStart"/>
            <w:r w:rsidRPr="00F85EC3">
              <w:rPr>
                <w:bCs/>
                <w:lang w:val="en-US"/>
              </w:rPr>
              <w:t>pembiusan</w:t>
            </w:r>
            <w:proofErr w:type="spellEnd"/>
          </w:p>
        </w:tc>
        <w:tc>
          <w:tcPr>
            <w:tcW w:w="1306" w:type="pct"/>
            <w:vAlign w:val="center"/>
          </w:tcPr>
          <w:p w14:paraId="3B57C171" w14:textId="58A1FFAB" w:rsidR="00F1071A" w:rsidRPr="0009147D" w:rsidRDefault="00F1071A" w:rsidP="00444FED">
            <w:pPr>
              <w:pStyle w:val="ListParagraph"/>
              <w:widowControl w:val="0"/>
              <w:spacing w:line="360" w:lineRule="auto"/>
              <w:ind w:left="0"/>
              <w:jc w:val="center"/>
              <w:rPr>
                <w:bCs/>
                <w:lang w:val="en-US"/>
              </w:rPr>
            </w:pPr>
            <w:r w:rsidRPr="000F7523">
              <w:rPr>
                <w:bCs/>
              </w:rPr>
              <w:t>0</w:t>
            </w:r>
            <w:r w:rsidR="00BB45D8">
              <w:rPr>
                <w:bCs/>
              </w:rPr>
              <w:t>,</w:t>
            </w:r>
            <w:r>
              <w:rPr>
                <w:bCs/>
              </w:rPr>
              <w:t>254</w:t>
            </w:r>
          </w:p>
        </w:tc>
        <w:tc>
          <w:tcPr>
            <w:tcW w:w="975" w:type="pct"/>
            <w:vAlign w:val="center"/>
          </w:tcPr>
          <w:p w14:paraId="30A4DCD3" w14:textId="2327F1EA" w:rsidR="00F1071A" w:rsidRPr="0009147D" w:rsidRDefault="00F1071A" w:rsidP="00444FED">
            <w:pPr>
              <w:pStyle w:val="ListParagraph"/>
              <w:widowControl w:val="0"/>
              <w:spacing w:line="360" w:lineRule="auto"/>
              <w:ind w:left="0"/>
              <w:jc w:val="center"/>
              <w:rPr>
                <w:bCs/>
                <w:lang w:val="en-US"/>
              </w:rPr>
            </w:pPr>
            <w:r>
              <w:rPr>
                <w:bCs/>
                <w:lang w:val="en-US"/>
              </w:rPr>
              <w:t>0</w:t>
            </w:r>
            <w:r w:rsidR="00BB45D8">
              <w:rPr>
                <w:bCs/>
                <w:lang w:val="en-US"/>
              </w:rPr>
              <w:t>,</w:t>
            </w:r>
            <w:r>
              <w:rPr>
                <w:bCs/>
                <w:lang w:val="en-US"/>
              </w:rPr>
              <w:t>361</w:t>
            </w:r>
            <w:r w:rsidRPr="0009147D">
              <w:rPr>
                <w:bCs/>
                <w:vertAlign w:val="superscript"/>
                <w:lang w:val="en-US"/>
              </w:rPr>
              <w:t>ns</w:t>
            </w:r>
          </w:p>
        </w:tc>
      </w:tr>
      <w:tr w:rsidR="00F1071A" w:rsidRPr="000F7523" w14:paraId="595BE8D2" w14:textId="77777777" w:rsidTr="00BB45D8">
        <w:tc>
          <w:tcPr>
            <w:tcW w:w="850" w:type="pct"/>
            <w:vMerge/>
            <w:vAlign w:val="center"/>
          </w:tcPr>
          <w:p w14:paraId="1EDA541F" w14:textId="77777777" w:rsidR="00F1071A" w:rsidRDefault="00F1071A" w:rsidP="00444FED">
            <w:pPr>
              <w:pStyle w:val="ListParagraph"/>
              <w:widowControl w:val="0"/>
              <w:spacing w:line="360" w:lineRule="auto"/>
              <w:ind w:left="0"/>
              <w:jc w:val="center"/>
              <w:rPr>
                <w:bCs/>
                <w:lang w:val="en-US"/>
              </w:rPr>
            </w:pPr>
          </w:p>
        </w:tc>
        <w:tc>
          <w:tcPr>
            <w:tcW w:w="1869" w:type="pct"/>
          </w:tcPr>
          <w:p w14:paraId="38D9F085" w14:textId="3923A985" w:rsidR="00F1071A" w:rsidRPr="00F1071A" w:rsidRDefault="00F1071A" w:rsidP="00444FED">
            <w:pPr>
              <w:pStyle w:val="ListParagraph"/>
              <w:widowControl w:val="0"/>
              <w:spacing w:line="360" w:lineRule="auto"/>
              <w:ind w:left="0"/>
              <w:rPr>
                <w:bCs/>
              </w:rPr>
            </w:pPr>
            <w:r w:rsidRPr="00F1071A">
              <w:rPr>
                <w:bCs/>
                <w:lang w:val="en-US"/>
              </w:rPr>
              <w:t xml:space="preserve">IL-6 12 Jam Pasca </w:t>
            </w:r>
            <w:proofErr w:type="spellStart"/>
            <w:r w:rsidRPr="00F1071A">
              <w:rPr>
                <w:bCs/>
                <w:lang w:val="en-US"/>
              </w:rPr>
              <w:t>Bedah</w:t>
            </w:r>
            <w:proofErr w:type="spellEnd"/>
          </w:p>
        </w:tc>
        <w:tc>
          <w:tcPr>
            <w:tcW w:w="1306" w:type="pct"/>
            <w:vAlign w:val="center"/>
          </w:tcPr>
          <w:p w14:paraId="1BECEE31" w14:textId="7D9D9CE2" w:rsidR="00F1071A" w:rsidRPr="0009147D" w:rsidRDefault="00F1071A" w:rsidP="00444FED">
            <w:pPr>
              <w:pStyle w:val="ListParagraph"/>
              <w:widowControl w:val="0"/>
              <w:spacing w:line="360" w:lineRule="auto"/>
              <w:ind w:left="0"/>
              <w:jc w:val="center"/>
              <w:rPr>
                <w:rFonts w:eastAsiaTheme="minorEastAsia"/>
                <w:bCs/>
                <w:lang w:val="en-US" w:eastAsia="zh-CN"/>
              </w:rPr>
            </w:pPr>
            <w:r w:rsidRPr="000F7523">
              <w:rPr>
                <w:bCs/>
              </w:rPr>
              <w:t>0</w:t>
            </w:r>
            <w:r w:rsidR="00BB45D8">
              <w:rPr>
                <w:bCs/>
              </w:rPr>
              <w:t>,</w:t>
            </w:r>
            <w:r>
              <w:rPr>
                <w:bCs/>
              </w:rPr>
              <w:t>498</w:t>
            </w:r>
          </w:p>
        </w:tc>
        <w:tc>
          <w:tcPr>
            <w:tcW w:w="975" w:type="pct"/>
          </w:tcPr>
          <w:p w14:paraId="6B7A9967" w14:textId="4DC88912" w:rsidR="00F1071A" w:rsidRPr="000F7523" w:rsidRDefault="00F1071A" w:rsidP="00444FED">
            <w:pPr>
              <w:pStyle w:val="ListParagraph"/>
              <w:widowControl w:val="0"/>
              <w:spacing w:line="360" w:lineRule="auto"/>
              <w:ind w:left="0"/>
              <w:jc w:val="center"/>
              <w:rPr>
                <w:bCs/>
              </w:rPr>
            </w:pPr>
            <w:r w:rsidRPr="00270E0F">
              <w:rPr>
                <w:bCs/>
                <w:lang w:val="en-US"/>
              </w:rPr>
              <w:t>0</w:t>
            </w:r>
            <w:r w:rsidR="00BB45D8">
              <w:rPr>
                <w:bCs/>
                <w:lang w:val="en-US"/>
              </w:rPr>
              <w:t>,</w:t>
            </w:r>
            <w:r>
              <w:rPr>
                <w:bCs/>
                <w:lang w:val="en-US"/>
              </w:rPr>
              <w:t>059</w:t>
            </w:r>
            <w:r w:rsidRPr="00270E0F">
              <w:rPr>
                <w:bCs/>
                <w:vertAlign w:val="superscript"/>
                <w:lang w:val="en-US"/>
              </w:rPr>
              <w:t>ns</w:t>
            </w:r>
          </w:p>
        </w:tc>
      </w:tr>
      <w:tr w:rsidR="00F1071A" w:rsidRPr="000F7523" w14:paraId="41D009EA" w14:textId="77777777" w:rsidTr="00BB45D8">
        <w:tc>
          <w:tcPr>
            <w:tcW w:w="850" w:type="pct"/>
            <w:vMerge/>
            <w:vAlign w:val="center"/>
          </w:tcPr>
          <w:p w14:paraId="35FFA96A" w14:textId="77777777" w:rsidR="00F1071A" w:rsidRDefault="00F1071A" w:rsidP="00444FED">
            <w:pPr>
              <w:pStyle w:val="ListParagraph"/>
              <w:widowControl w:val="0"/>
              <w:spacing w:line="360" w:lineRule="auto"/>
              <w:ind w:left="0"/>
              <w:jc w:val="center"/>
              <w:rPr>
                <w:bCs/>
                <w:lang w:val="en-US"/>
              </w:rPr>
            </w:pPr>
          </w:p>
        </w:tc>
        <w:tc>
          <w:tcPr>
            <w:tcW w:w="1869" w:type="pct"/>
          </w:tcPr>
          <w:p w14:paraId="2C131B47" w14:textId="1A3F76EA" w:rsidR="00F1071A" w:rsidRPr="00F1071A" w:rsidRDefault="00F1071A" w:rsidP="00444FED">
            <w:pPr>
              <w:pStyle w:val="ListParagraph"/>
              <w:widowControl w:val="0"/>
              <w:spacing w:line="360" w:lineRule="auto"/>
              <w:ind w:left="0"/>
              <w:rPr>
                <w:bCs/>
              </w:rPr>
            </w:pPr>
            <w:r w:rsidRPr="00F1071A">
              <w:rPr>
                <w:bCs/>
                <w:lang w:val="en-US"/>
              </w:rPr>
              <w:t xml:space="preserve">Δ IL-6 </w:t>
            </w:r>
          </w:p>
        </w:tc>
        <w:tc>
          <w:tcPr>
            <w:tcW w:w="1306" w:type="pct"/>
            <w:vAlign w:val="center"/>
          </w:tcPr>
          <w:p w14:paraId="740A4F7A" w14:textId="1483AF07" w:rsidR="00F1071A" w:rsidRPr="0009147D" w:rsidRDefault="00F1071A" w:rsidP="00444FED">
            <w:pPr>
              <w:pStyle w:val="ListParagraph"/>
              <w:widowControl w:val="0"/>
              <w:spacing w:line="360" w:lineRule="auto"/>
              <w:ind w:left="0"/>
              <w:jc w:val="center"/>
              <w:rPr>
                <w:rFonts w:eastAsiaTheme="minorEastAsia"/>
                <w:bCs/>
                <w:lang w:val="en-US" w:eastAsia="zh-CN"/>
              </w:rPr>
            </w:pPr>
            <w:r w:rsidRPr="000F7523">
              <w:rPr>
                <w:bCs/>
              </w:rPr>
              <w:t>0</w:t>
            </w:r>
            <w:r w:rsidR="00BB45D8">
              <w:rPr>
                <w:bCs/>
              </w:rPr>
              <w:t>,</w:t>
            </w:r>
            <w:r>
              <w:rPr>
                <w:bCs/>
              </w:rPr>
              <w:t>647</w:t>
            </w:r>
          </w:p>
        </w:tc>
        <w:tc>
          <w:tcPr>
            <w:tcW w:w="975" w:type="pct"/>
          </w:tcPr>
          <w:p w14:paraId="4A97EF9C" w14:textId="5D8B5F57" w:rsidR="00F1071A" w:rsidRPr="000F7523" w:rsidRDefault="00F1071A" w:rsidP="00444FED">
            <w:pPr>
              <w:pStyle w:val="ListParagraph"/>
              <w:widowControl w:val="0"/>
              <w:spacing w:line="360" w:lineRule="auto"/>
              <w:ind w:left="0"/>
              <w:jc w:val="center"/>
              <w:rPr>
                <w:bCs/>
              </w:rPr>
            </w:pPr>
            <w:r w:rsidRPr="00270E0F">
              <w:rPr>
                <w:bCs/>
                <w:lang w:val="en-US"/>
              </w:rPr>
              <w:t>0</w:t>
            </w:r>
            <w:r w:rsidR="00BB45D8">
              <w:rPr>
                <w:bCs/>
                <w:lang w:val="en-US"/>
              </w:rPr>
              <w:t>,</w:t>
            </w:r>
            <w:r>
              <w:rPr>
                <w:bCs/>
                <w:lang w:val="en-US"/>
              </w:rPr>
              <w:t>009*</w:t>
            </w:r>
          </w:p>
        </w:tc>
      </w:tr>
      <w:tr w:rsidR="00F1071A" w:rsidRPr="000F7523" w14:paraId="0070D93C" w14:textId="77777777" w:rsidTr="00BB45D8">
        <w:tc>
          <w:tcPr>
            <w:tcW w:w="850" w:type="pct"/>
            <w:vMerge w:val="restart"/>
            <w:vAlign w:val="center"/>
          </w:tcPr>
          <w:p w14:paraId="239E1551" w14:textId="77777777" w:rsidR="00F1071A" w:rsidRDefault="00F1071A" w:rsidP="00444FED">
            <w:pPr>
              <w:pStyle w:val="ListParagraph"/>
              <w:widowControl w:val="0"/>
              <w:spacing w:line="360" w:lineRule="auto"/>
              <w:ind w:left="0"/>
              <w:jc w:val="center"/>
              <w:rPr>
                <w:bCs/>
                <w:lang w:val="en-US"/>
              </w:rPr>
            </w:pPr>
            <w:proofErr w:type="spellStart"/>
            <w:r>
              <w:rPr>
                <w:bCs/>
                <w:lang w:val="en-US"/>
              </w:rPr>
              <w:t>Intervensi</w:t>
            </w:r>
            <w:proofErr w:type="spellEnd"/>
          </w:p>
        </w:tc>
        <w:tc>
          <w:tcPr>
            <w:tcW w:w="1869" w:type="pct"/>
          </w:tcPr>
          <w:p w14:paraId="02A48073" w14:textId="034147CF" w:rsidR="00F1071A" w:rsidRPr="000F7523" w:rsidRDefault="00F1071A" w:rsidP="00444FED">
            <w:pPr>
              <w:pStyle w:val="ListParagraph"/>
              <w:widowControl w:val="0"/>
              <w:spacing w:line="360" w:lineRule="auto"/>
              <w:ind w:left="0"/>
              <w:rPr>
                <w:bCs/>
              </w:rPr>
            </w:pPr>
            <w:r w:rsidRPr="00F1071A">
              <w:rPr>
                <w:bCs/>
                <w:lang w:val="en-US"/>
              </w:rPr>
              <w:t xml:space="preserve">IL-6 </w:t>
            </w:r>
            <w:proofErr w:type="spellStart"/>
            <w:r w:rsidRPr="00F85EC3">
              <w:rPr>
                <w:bCs/>
                <w:lang w:val="en-US"/>
              </w:rPr>
              <w:t>sebelum</w:t>
            </w:r>
            <w:proofErr w:type="spellEnd"/>
            <w:r w:rsidRPr="00F85EC3">
              <w:rPr>
                <w:bCs/>
                <w:lang w:val="en-US"/>
              </w:rPr>
              <w:t xml:space="preserve"> </w:t>
            </w:r>
            <w:proofErr w:type="spellStart"/>
            <w:r w:rsidRPr="00F85EC3">
              <w:rPr>
                <w:bCs/>
                <w:lang w:val="en-US"/>
              </w:rPr>
              <w:t>pembiusan</w:t>
            </w:r>
            <w:proofErr w:type="spellEnd"/>
          </w:p>
        </w:tc>
        <w:tc>
          <w:tcPr>
            <w:tcW w:w="1306" w:type="pct"/>
            <w:vAlign w:val="center"/>
          </w:tcPr>
          <w:p w14:paraId="7BE05BD8" w14:textId="07B327F4" w:rsidR="00F1071A" w:rsidRPr="0009147D" w:rsidRDefault="00F1071A" w:rsidP="00444FED">
            <w:pPr>
              <w:pStyle w:val="ListParagraph"/>
              <w:widowControl w:val="0"/>
              <w:spacing w:line="360" w:lineRule="auto"/>
              <w:ind w:left="0"/>
              <w:jc w:val="center"/>
              <w:rPr>
                <w:rFonts w:eastAsiaTheme="minorEastAsia"/>
                <w:bCs/>
                <w:lang w:val="en-US" w:eastAsia="zh-CN"/>
              </w:rPr>
            </w:pPr>
            <w:r w:rsidRPr="000F7523">
              <w:rPr>
                <w:bCs/>
              </w:rPr>
              <w:t>0</w:t>
            </w:r>
            <w:r w:rsidR="00BB45D8">
              <w:rPr>
                <w:bCs/>
              </w:rPr>
              <w:t>,</w:t>
            </w:r>
            <w:r>
              <w:rPr>
                <w:bCs/>
              </w:rPr>
              <w:t>049</w:t>
            </w:r>
          </w:p>
        </w:tc>
        <w:tc>
          <w:tcPr>
            <w:tcW w:w="975" w:type="pct"/>
          </w:tcPr>
          <w:p w14:paraId="693063C8" w14:textId="3760A298" w:rsidR="00F1071A" w:rsidRPr="000F7523" w:rsidRDefault="00F1071A" w:rsidP="00444FED">
            <w:pPr>
              <w:pStyle w:val="ListParagraph"/>
              <w:widowControl w:val="0"/>
              <w:spacing w:line="360" w:lineRule="auto"/>
              <w:ind w:left="0"/>
              <w:jc w:val="center"/>
              <w:rPr>
                <w:bCs/>
              </w:rPr>
            </w:pPr>
            <w:r w:rsidRPr="00270E0F">
              <w:rPr>
                <w:bCs/>
                <w:lang w:val="en-US"/>
              </w:rPr>
              <w:t>0</w:t>
            </w:r>
            <w:r w:rsidR="00BB45D8">
              <w:rPr>
                <w:bCs/>
                <w:lang w:val="en-US"/>
              </w:rPr>
              <w:t>,</w:t>
            </w:r>
            <w:r>
              <w:rPr>
                <w:bCs/>
                <w:lang w:val="en-US"/>
              </w:rPr>
              <w:t>862</w:t>
            </w:r>
            <w:r w:rsidRPr="00270E0F">
              <w:rPr>
                <w:bCs/>
                <w:vertAlign w:val="superscript"/>
                <w:lang w:val="en-US"/>
              </w:rPr>
              <w:t>ns</w:t>
            </w:r>
          </w:p>
        </w:tc>
      </w:tr>
      <w:tr w:rsidR="00F1071A" w:rsidRPr="000F7523" w14:paraId="4949A37D" w14:textId="77777777" w:rsidTr="00BB45D8">
        <w:tc>
          <w:tcPr>
            <w:tcW w:w="850" w:type="pct"/>
            <w:vMerge/>
          </w:tcPr>
          <w:p w14:paraId="044A83A7" w14:textId="77777777" w:rsidR="00F1071A" w:rsidRDefault="00F1071A" w:rsidP="00444FED">
            <w:pPr>
              <w:pStyle w:val="ListParagraph"/>
              <w:widowControl w:val="0"/>
              <w:spacing w:line="360" w:lineRule="auto"/>
              <w:ind w:left="0"/>
              <w:jc w:val="center"/>
              <w:rPr>
                <w:bCs/>
                <w:lang w:val="en-US"/>
              </w:rPr>
            </w:pPr>
          </w:p>
        </w:tc>
        <w:tc>
          <w:tcPr>
            <w:tcW w:w="1869" w:type="pct"/>
          </w:tcPr>
          <w:p w14:paraId="39A961A1" w14:textId="32433BA8" w:rsidR="00F1071A" w:rsidRDefault="00F1071A" w:rsidP="00444FED">
            <w:pPr>
              <w:pStyle w:val="ListParagraph"/>
              <w:widowControl w:val="0"/>
              <w:spacing w:line="360" w:lineRule="auto"/>
              <w:ind w:left="0"/>
              <w:rPr>
                <w:bCs/>
                <w:lang w:val="en-US"/>
              </w:rPr>
            </w:pPr>
            <w:r w:rsidRPr="00F1071A">
              <w:rPr>
                <w:bCs/>
                <w:lang w:val="en-US"/>
              </w:rPr>
              <w:t xml:space="preserve">IL-6 12 Jam Pasca </w:t>
            </w:r>
            <w:proofErr w:type="spellStart"/>
            <w:r w:rsidRPr="00F1071A">
              <w:rPr>
                <w:bCs/>
                <w:lang w:val="en-US"/>
              </w:rPr>
              <w:t>Bedah</w:t>
            </w:r>
            <w:proofErr w:type="spellEnd"/>
          </w:p>
        </w:tc>
        <w:tc>
          <w:tcPr>
            <w:tcW w:w="1306" w:type="pct"/>
            <w:vAlign w:val="center"/>
          </w:tcPr>
          <w:p w14:paraId="32133929" w14:textId="6F0F9AC2" w:rsidR="00F1071A" w:rsidRPr="0009147D" w:rsidRDefault="00F1071A" w:rsidP="00444FED">
            <w:pPr>
              <w:pStyle w:val="ListParagraph"/>
              <w:widowControl w:val="0"/>
              <w:spacing w:line="360" w:lineRule="auto"/>
              <w:ind w:left="0"/>
              <w:jc w:val="center"/>
              <w:rPr>
                <w:rFonts w:eastAsiaTheme="minorEastAsia"/>
                <w:bCs/>
                <w:lang w:val="en-US" w:eastAsia="zh-CN"/>
              </w:rPr>
            </w:pPr>
            <w:r w:rsidRPr="000F7523">
              <w:rPr>
                <w:bCs/>
              </w:rPr>
              <w:t>0</w:t>
            </w:r>
            <w:r w:rsidR="00BB45D8">
              <w:rPr>
                <w:bCs/>
              </w:rPr>
              <w:t>,</w:t>
            </w:r>
            <w:r>
              <w:rPr>
                <w:bCs/>
              </w:rPr>
              <w:t>407</w:t>
            </w:r>
          </w:p>
        </w:tc>
        <w:tc>
          <w:tcPr>
            <w:tcW w:w="975" w:type="pct"/>
          </w:tcPr>
          <w:p w14:paraId="2684A20D" w14:textId="56B9D132" w:rsidR="00F1071A" w:rsidRPr="000F7523" w:rsidRDefault="00F1071A" w:rsidP="00444FED">
            <w:pPr>
              <w:pStyle w:val="ListParagraph"/>
              <w:widowControl w:val="0"/>
              <w:spacing w:line="360" w:lineRule="auto"/>
              <w:ind w:left="0"/>
              <w:jc w:val="center"/>
              <w:rPr>
                <w:bCs/>
              </w:rPr>
            </w:pPr>
            <w:r w:rsidRPr="00270E0F">
              <w:rPr>
                <w:bCs/>
                <w:lang w:val="en-US"/>
              </w:rPr>
              <w:t>0</w:t>
            </w:r>
            <w:r w:rsidR="00BB45D8">
              <w:rPr>
                <w:bCs/>
                <w:lang w:val="en-US"/>
              </w:rPr>
              <w:t>,</w:t>
            </w:r>
            <w:r>
              <w:rPr>
                <w:bCs/>
                <w:lang w:val="en-US"/>
              </w:rPr>
              <w:t>132</w:t>
            </w:r>
            <w:r w:rsidRPr="00270E0F">
              <w:rPr>
                <w:bCs/>
                <w:vertAlign w:val="superscript"/>
                <w:lang w:val="en-US"/>
              </w:rPr>
              <w:t>ns</w:t>
            </w:r>
          </w:p>
        </w:tc>
      </w:tr>
      <w:tr w:rsidR="00F1071A" w:rsidRPr="000F7523" w14:paraId="7A5C3126" w14:textId="77777777" w:rsidTr="00BB45D8">
        <w:tc>
          <w:tcPr>
            <w:tcW w:w="850" w:type="pct"/>
            <w:vMerge/>
          </w:tcPr>
          <w:p w14:paraId="2911D94A" w14:textId="77777777" w:rsidR="00F1071A" w:rsidRDefault="00F1071A" w:rsidP="00444FED">
            <w:pPr>
              <w:pStyle w:val="ListParagraph"/>
              <w:widowControl w:val="0"/>
              <w:spacing w:line="360" w:lineRule="auto"/>
              <w:ind w:left="0"/>
              <w:jc w:val="center"/>
              <w:rPr>
                <w:bCs/>
                <w:lang w:val="en-US"/>
              </w:rPr>
            </w:pPr>
          </w:p>
        </w:tc>
        <w:tc>
          <w:tcPr>
            <w:tcW w:w="1869" w:type="pct"/>
          </w:tcPr>
          <w:p w14:paraId="2CC9AE6C" w14:textId="3BD5F6B3" w:rsidR="00F1071A" w:rsidRDefault="00F1071A" w:rsidP="00444FED">
            <w:pPr>
              <w:pStyle w:val="ListParagraph"/>
              <w:widowControl w:val="0"/>
              <w:spacing w:line="360" w:lineRule="auto"/>
              <w:ind w:left="0"/>
              <w:rPr>
                <w:bCs/>
                <w:lang w:val="en-US"/>
              </w:rPr>
            </w:pPr>
            <w:r w:rsidRPr="00F1071A">
              <w:rPr>
                <w:bCs/>
                <w:lang w:val="en-US"/>
              </w:rPr>
              <w:t xml:space="preserve">Δ IL-6 </w:t>
            </w:r>
          </w:p>
        </w:tc>
        <w:tc>
          <w:tcPr>
            <w:tcW w:w="1306" w:type="pct"/>
            <w:vAlign w:val="center"/>
          </w:tcPr>
          <w:p w14:paraId="50352419" w14:textId="30DD790E" w:rsidR="00F1071A" w:rsidRPr="0009147D" w:rsidRDefault="00F1071A" w:rsidP="00444FED">
            <w:pPr>
              <w:pStyle w:val="ListParagraph"/>
              <w:widowControl w:val="0"/>
              <w:spacing w:line="360" w:lineRule="auto"/>
              <w:ind w:left="0"/>
              <w:jc w:val="center"/>
              <w:rPr>
                <w:rFonts w:eastAsiaTheme="minorEastAsia"/>
                <w:bCs/>
                <w:lang w:val="en-US" w:eastAsia="zh-CN"/>
              </w:rPr>
            </w:pPr>
            <w:r w:rsidRPr="000F7523">
              <w:rPr>
                <w:bCs/>
              </w:rPr>
              <w:t>0</w:t>
            </w:r>
            <w:r w:rsidR="00BB45D8">
              <w:rPr>
                <w:bCs/>
              </w:rPr>
              <w:t>,</w:t>
            </w:r>
            <w:r>
              <w:rPr>
                <w:bCs/>
              </w:rPr>
              <w:t>327</w:t>
            </w:r>
          </w:p>
        </w:tc>
        <w:tc>
          <w:tcPr>
            <w:tcW w:w="975" w:type="pct"/>
          </w:tcPr>
          <w:p w14:paraId="21B6BC22" w14:textId="4F8997D8" w:rsidR="00F1071A" w:rsidRPr="000F7523" w:rsidRDefault="00F1071A" w:rsidP="00444FED">
            <w:pPr>
              <w:pStyle w:val="ListParagraph"/>
              <w:widowControl w:val="0"/>
              <w:spacing w:line="360" w:lineRule="auto"/>
              <w:ind w:left="0"/>
              <w:jc w:val="center"/>
              <w:rPr>
                <w:bCs/>
              </w:rPr>
            </w:pPr>
            <w:r w:rsidRPr="00270E0F">
              <w:rPr>
                <w:bCs/>
                <w:lang w:val="en-US"/>
              </w:rPr>
              <w:t>0</w:t>
            </w:r>
            <w:r w:rsidR="00BB45D8">
              <w:rPr>
                <w:bCs/>
                <w:lang w:val="en-US"/>
              </w:rPr>
              <w:t>,</w:t>
            </w:r>
            <w:r>
              <w:rPr>
                <w:bCs/>
                <w:lang w:val="en-US"/>
              </w:rPr>
              <w:t>234</w:t>
            </w:r>
            <w:r w:rsidRPr="00270E0F">
              <w:rPr>
                <w:bCs/>
                <w:vertAlign w:val="superscript"/>
                <w:lang w:val="en-US"/>
              </w:rPr>
              <w:t>ns</w:t>
            </w:r>
          </w:p>
        </w:tc>
      </w:tr>
    </w:tbl>
    <w:p w14:paraId="412F9408" w14:textId="77777777" w:rsidR="00F1071A" w:rsidRPr="0009147D" w:rsidRDefault="00F1071A" w:rsidP="00BB45D8">
      <w:pPr>
        <w:widowControl w:val="0"/>
        <w:jc w:val="both"/>
        <w:rPr>
          <w:iCs/>
          <w:sz w:val="22"/>
          <w:szCs w:val="22"/>
          <w:lang w:val="en-US"/>
        </w:rPr>
      </w:pPr>
      <w:r w:rsidRPr="000F7523">
        <w:rPr>
          <w:sz w:val="22"/>
          <w:szCs w:val="22"/>
        </w:rPr>
        <w:t xml:space="preserve">Data diuji dengan Uji </w:t>
      </w:r>
      <w:r>
        <w:rPr>
          <w:i/>
          <w:iCs/>
          <w:sz w:val="22"/>
          <w:szCs w:val="22"/>
          <w:lang w:val="en-US"/>
        </w:rPr>
        <w:t>Pearson Correlation</w:t>
      </w:r>
      <w:r w:rsidRPr="000F7523">
        <w:rPr>
          <w:sz w:val="22"/>
          <w:szCs w:val="22"/>
        </w:rPr>
        <w:t xml:space="preserve">; data ditampilkan dengan r: koefisien korelasi *: </w:t>
      </w:r>
      <w:r w:rsidRPr="000F7523">
        <w:rPr>
          <w:i/>
          <w:sz w:val="22"/>
          <w:szCs w:val="22"/>
        </w:rPr>
        <w:t>significant</w:t>
      </w:r>
      <w:r>
        <w:rPr>
          <w:i/>
          <w:sz w:val="22"/>
          <w:szCs w:val="22"/>
          <w:lang w:val="en-US"/>
        </w:rPr>
        <w:t xml:space="preserve"> ns: not significant</w:t>
      </w:r>
    </w:p>
    <w:p w14:paraId="594EC102" w14:textId="77777777" w:rsidR="00F1071A" w:rsidRDefault="00F1071A" w:rsidP="00444FED">
      <w:pPr>
        <w:pStyle w:val="ListParagraph"/>
        <w:spacing w:line="360" w:lineRule="auto"/>
        <w:ind w:left="1080"/>
        <w:jc w:val="both"/>
        <w:rPr>
          <w:rFonts w:eastAsiaTheme="minorEastAsia"/>
          <w:lang w:eastAsia="zh-CN"/>
        </w:rPr>
      </w:pPr>
    </w:p>
    <w:p w14:paraId="3D4F5C38" w14:textId="5775B797" w:rsidR="00F1071A" w:rsidRPr="000F7523" w:rsidRDefault="00F1071A" w:rsidP="00BB45D8">
      <w:pPr>
        <w:spacing w:line="360" w:lineRule="auto"/>
        <w:ind w:firstLine="709"/>
        <w:jc w:val="both"/>
      </w:pPr>
      <w:r w:rsidRPr="000F7523">
        <w:t xml:space="preserve">Tabel </w:t>
      </w:r>
      <w:r w:rsidR="00444FED" w:rsidRPr="00F426C1">
        <w:rPr>
          <w:lang w:val="pt-BR"/>
        </w:rPr>
        <w:t>6</w:t>
      </w:r>
      <w:r w:rsidRPr="000F7523">
        <w:t xml:space="preserve"> menunjukkan korelasi antara </w:t>
      </w:r>
      <w:r w:rsidRPr="00F426C1">
        <w:rPr>
          <w:lang w:val="pt-BR"/>
        </w:rPr>
        <w:t xml:space="preserve">ukuran tonsil terhadap </w:t>
      </w:r>
      <w:r w:rsidR="00B65284" w:rsidRPr="00F426C1">
        <w:rPr>
          <w:lang w:val="pt-BR"/>
        </w:rPr>
        <w:t>kad</w:t>
      </w:r>
      <w:r w:rsidR="00BB45D8">
        <w:rPr>
          <w:lang w:val="id-ID"/>
        </w:rPr>
        <w:t>a</w:t>
      </w:r>
      <w:r w:rsidR="00B65284" w:rsidRPr="00F426C1">
        <w:rPr>
          <w:lang w:val="pt-BR"/>
        </w:rPr>
        <w:t>r IL-6</w:t>
      </w:r>
      <w:r w:rsidRPr="000F7523">
        <w:t xml:space="preserve">. </w:t>
      </w:r>
      <w:r w:rsidRPr="000F7523">
        <w:rPr>
          <w:lang w:eastAsia="zh-CN"/>
        </w:rPr>
        <w:t xml:space="preserve">Pada </w:t>
      </w:r>
      <w:proofErr w:type="spellStart"/>
      <w:r w:rsidRPr="00BB45D8">
        <w:rPr>
          <w:lang w:val="en-US" w:eastAsia="zh-CN"/>
        </w:rPr>
        <w:t>kelompok</w:t>
      </w:r>
      <w:proofErr w:type="spellEnd"/>
      <w:r w:rsidRPr="00BB45D8">
        <w:rPr>
          <w:lang w:val="en-US" w:eastAsia="zh-CN"/>
        </w:rPr>
        <w:t xml:space="preserve"> </w:t>
      </w:r>
      <w:proofErr w:type="spellStart"/>
      <w:r w:rsidRPr="00BB45D8">
        <w:rPr>
          <w:lang w:val="en-US" w:eastAsia="zh-CN"/>
        </w:rPr>
        <w:t>kontrol</w:t>
      </w:r>
      <w:proofErr w:type="spellEnd"/>
      <w:r w:rsidRPr="00BB45D8">
        <w:rPr>
          <w:lang w:val="en-US" w:eastAsia="zh-CN"/>
        </w:rPr>
        <w:t xml:space="preserve"> tidak </w:t>
      </w:r>
      <w:proofErr w:type="spellStart"/>
      <w:r w:rsidRPr="00BB45D8">
        <w:rPr>
          <w:lang w:val="en-US" w:eastAsia="zh-CN"/>
        </w:rPr>
        <w:t>ditemukan</w:t>
      </w:r>
      <w:proofErr w:type="spellEnd"/>
      <w:r w:rsidRPr="00BB45D8">
        <w:rPr>
          <w:lang w:val="en-US" w:eastAsia="zh-CN"/>
        </w:rPr>
        <w:t xml:space="preserve"> </w:t>
      </w:r>
      <w:proofErr w:type="spellStart"/>
      <w:r w:rsidRPr="00BB45D8">
        <w:rPr>
          <w:lang w:val="en-US" w:eastAsia="zh-CN"/>
        </w:rPr>
        <w:t>adanya</w:t>
      </w:r>
      <w:proofErr w:type="spellEnd"/>
      <w:r w:rsidRPr="00BB45D8">
        <w:rPr>
          <w:lang w:val="en-US" w:eastAsia="zh-CN"/>
        </w:rPr>
        <w:t xml:space="preserve"> </w:t>
      </w:r>
      <w:proofErr w:type="spellStart"/>
      <w:r w:rsidRPr="00BB45D8">
        <w:rPr>
          <w:lang w:val="en-US" w:eastAsia="zh-CN"/>
        </w:rPr>
        <w:t>korelasi</w:t>
      </w:r>
      <w:proofErr w:type="spellEnd"/>
      <w:r w:rsidRPr="00BB45D8">
        <w:rPr>
          <w:lang w:val="en-US" w:eastAsia="zh-CN"/>
        </w:rPr>
        <w:t xml:space="preserve"> </w:t>
      </w:r>
      <w:proofErr w:type="spellStart"/>
      <w:r w:rsidRPr="00BB45D8">
        <w:rPr>
          <w:lang w:val="en-US" w:eastAsia="zh-CN"/>
        </w:rPr>
        <w:t>antara</w:t>
      </w:r>
      <w:proofErr w:type="spellEnd"/>
      <w:r w:rsidRPr="00BB45D8">
        <w:rPr>
          <w:lang w:val="en-US" w:eastAsia="zh-CN"/>
        </w:rPr>
        <w:t xml:space="preserve"> </w:t>
      </w:r>
      <w:proofErr w:type="spellStart"/>
      <w:r w:rsidRPr="00BB45D8">
        <w:rPr>
          <w:lang w:val="en-US" w:eastAsia="zh-CN"/>
        </w:rPr>
        <w:t>ukuran</w:t>
      </w:r>
      <w:proofErr w:type="spellEnd"/>
      <w:r w:rsidRPr="00BB45D8">
        <w:rPr>
          <w:lang w:val="en-US" w:eastAsia="zh-CN"/>
        </w:rPr>
        <w:t xml:space="preserve"> tonsil dengan </w:t>
      </w:r>
      <w:proofErr w:type="spellStart"/>
      <w:r w:rsidR="00B65284" w:rsidRPr="00BB45D8">
        <w:rPr>
          <w:lang w:val="en-US" w:eastAsia="zh-CN"/>
        </w:rPr>
        <w:t>kadar</w:t>
      </w:r>
      <w:proofErr w:type="spellEnd"/>
      <w:r w:rsidR="00B65284" w:rsidRPr="00BB45D8">
        <w:rPr>
          <w:lang w:val="en-US" w:eastAsia="zh-CN"/>
        </w:rPr>
        <w:t xml:space="preserve"> IL-6</w:t>
      </w:r>
      <w:r w:rsidRPr="00BB45D8">
        <w:rPr>
          <w:lang w:val="en-US" w:eastAsia="zh-CN"/>
        </w:rPr>
        <w:t xml:space="preserve"> </w:t>
      </w:r>
      <w:proofErr w:type="spellStart"/>
      <w:r w:rsidR="00B65284" w:rsidRPr="00BB45D8">
        <w:rPr>
          <w:lang w:val="en-US" w:eastAsia="zh-CN"/>
        </w:rPr>
        <w:t>sebelum</w:t>
      </w:r>
      <w:proofErr w:type="spellEnd"/>
      <w:r w:rsidR="00B65284" w:rsidRPr="00BB45D8">
        <w:rPr>
          <w:lang w:val="en-US" w:eastAsia="zh-CN"/>
        </w:rPr>
        <w:t xml:space="preserve"> </w:t>
      </w:r>
      <w:proofErr w:type="spellStart"/>
      <w:r w:rsidR="00B65284" w:rsidRPr="00BB45D8">
        <w:rPr>
          <w:lang w:val="en-US" w:eastAsia="zh-CN"/>
        </w:rPr>
        <w:t>pembiusan</w:t>
      </w:r>
      <w:proofErr w:type="spellEnd"/>
      <w:r w:rsidR="00B65284" w:rsidRPr="00BB45D8">
        <w:rPr>
          <w:lang w:val="en-US" w:eastAsia="zh-CN"/>
        </w:rPr>
        <w:t xml:space="preserve"> </w:t>
      </w:r>
      <w:proofErr w:type="spellStart"/>
      <w:r w:rsidR="00B65284" w:rsidRPr="00BB45D8">
        <w:rPr>
          <w:lang w:val="en-US" w:eastAsia="zh-CN"/>
        </w:rPr>
        <w:t>maupun</w:t>
      </w:r>
      <w:proofErr w:type="spellEnd"/>
      <w:r w:rsidR="00B65284" w:rsidRPr="00BB45D8">
        <w:rPr>
          <w:lang w:val="en-US" w:eastAsia="zh-CN"/>
        </w:rPr>
        <w:t xml:space="preserve"> 12 jam </w:t>
      </w:r>
      <w:proofErr w:type="spellStart"/>
      <w:r w:rsidR="00B65284" w:rsidRPr="00BB45D8">
        <w:rPr>
          <w:lang w:val="en-US" w:eastAsia="zh-CN"/>
        </w:rPr>
        <w:t>pasca</w:t>
      </w:r>
      <w:proofErr w:type="spellEnd"/>
      <w:r w:rsidR="00B65284" w:rsidRPr="00BB45D8">
        <w:rPr>
          <w:lang w:val="en-US" w:eastAsia="zh-CN"/>
        </w:rPr>
        <w:t xml:space="preserve"> </w:t>
      </w:r>
      <w:proofErr w:type="spellStart"/>
      <w:r w:rsidR="00B65284" w:rsidRPr="00BB45D8">
        <w:rPr>
          <w:lang w:val="en-US" w:eastAsia="zh-CN"/>
        </w:rPr>
        <w:t>bedah</w:t>
      </w:r>
      <w:proofErr w:type="spellEnd"/>
      <w:r w:rsidR="00BB45D8">
        <w:rPr>
          <w:lang w:val="id-ID" w:eastAsia="zh-CN"/>
        </w:rPr>
        <w:t xml:space="preserve"> dengan nilai p &gt; 0,05</w:t>
      </w:r>
      <w:r w:rsidR="00B65284" w:rsidRPr="00BB45D8">
        <w:rPr>
          <w:lang w:val="en-US" w:eastAsia="zh-CN"/>
        </w:rPr>
        <w:t xml:space="preserve">. </w:t>
      </w:r>
      <w:bookmarkStart w:id="139" w:name="_Hlk158212201"/>
      <w:proofErr w:type="spellStart"/>
      <w:r w:rsidR="00B65284" w:rsidRPr="00BB45D8">
        <w:rPr>
          <w:lang w:val="en-US"/>
        </w:rPr>
        <w:t>Namun</w:t>
      </w:r>
      <w:proofErr w:type="spellEnd"/>
      <w:r w:rsidR="00B65284" w:rsidRPr="00BB45D8">
        <w:rPr>
          <w:lang w:val="en-US"/>
        </w:rPr>
        <w:t xml:space="preserve"> </w:t>
      </w:r>
      <w:proofErr w:type="spellStart"/>
      <w:r w:rsidR="00B65284" w:rsidRPr="00BB45D8">
        <w:rPr>
          <w:lang w:val="en-US"/>
        </w:rPr>
        <w:t>ditemukan</w:t>
      </w:r>
      <w:proofErr w:type="spellEnd"/>
      <w:r w:rsidR="00B65284" w:rsidRPr="00BB45D8">
        <w:rPr>
          <w:lang w:val="en-US"/>
        </w:rPr>
        <w:t xml:space="preserve"> </w:t>
      </w:r>
      <w:proofErr w:type="spellStart"/>
      <w:r w:rsidR="00B65284" w:rsidRPr="00BB45D8">
        <w:rPr>
          <w:lang w:val="en-US"/>
        </w:rPr>
        <w:t>korelasi</w:t>
      </w:r>
      <w:proofErr w:type="spellEnd"/>
      <w:r w:rsidR="00B65284" w:rsidRPr="00BB45D8">
        <w:rPr>
          <w:lang w:val="en-US"/>
        </w:rPr>
        <w:t xml:space="preserve"> </w:t>
      </w:r>
      <w:proofErr w:type="spellStart"/>
      <w:r w:rsidR="00B65284" w:rsidRPr="00BB45D8">
        <w:rPr>
          <w:lang w:val="en-US"/>
        </w:rPr>
        <w:t>antara</w:t>
      </w:r>
      <w:proofErr w:type="spellEnd"/>
      <w:r w:rsidR="00B65284" w:rsidRPr="00BB45D8">
        <w:rPr>
          <w:lang w:val="en-US"/>
        </w:rPr>
        <w:t xml:space="preserve"> </w:t>
      </w:r>
      <w:proofErr w:type="spellStart"/>
      <w:r w:rsidR="00B65284" w:rsidRPr="00BB45D8">
        <w:rPr>
          <w:lang w:val="en-US"/>
        </w:rPr>
        <w:t>ukuran</w:t>
      </w:r>
      <w:proofErr w:type="spellEnd"/>
      <w:r w:rsidR="00B65284" w:rsidRPr="00BB45D8">
        <w:rPr>
          <w:lang w:val="en-US"/>
        </w:rPr>
        <w:t xml:space="preserve"> tonsil dan </w:t>
      </w:r>
      <w:proofErr w:type="spellStart"/>
      <w:r w:rsidR="00B65284" w:rsidRPr="00BB45D8">
        <w:rPr>
          <w:lang w:val="en-US"/>
        </w:rPr>
        <w:t>kadar</w:t>
      </w:r>
      <w:proofErr w:type="spellEnd"/>
      <w:r w:rsidR="00B65284" w:rsidRPr="00BB45D8">
        <w:rPr>
          <w:lang w:val="en-US"/>
        </w:rPr>
        <w:t xml:space="preserve"> </w:t>
      </w:r>
      <w:proofErr w:type="spellStart"/>
      <w:r w:rsidR="00B65284" w:rsidRPr="00BB45D8">
        <w:rPr>
          <w:lang w:val="en-US"/>
        </w:rPr>
        <w:t>perubahan</w:t>
      </w:r>
      <w:proofErr w:type="spellEnd"/>
      <w:r w:rsidR="00B65284" w:rsidRPr="00BB45D8">
        <w:rPr>
          <w:lang w:val="en-US"/>
        </w:rPr>
        <w:t xml:space="preserve"> Δ IL-6 </w:t>
      </w:r>
      <w:r w:rsidR="00BB45D8">
        <w:rPr>
          <w:lang w:val="id-ID"/>
        </w:rPr>
        <w:t xml:space="preserve">dengan nilai p &lt; 0,05 dan </w:t>
      </w:r>
      <w:proofErr w:type="spellStart"/>
      <w:r w:rsidR="00B65284" w:rsidRPr="00BB45D8">
        <w:rPr>
          <w:lang w:val="en-US"/>
        </w:rPr>
        <w:t>nilai</w:t>
      </w:r>
      <w:proofErr w:type="spellEnd"/>
      <w:r w:rsidR="00B65284" w:rsidRPr="00BB45D8">
        <w:rPr>
          <w:lang w:val="en-US"/>
        </w:rPr>
        <w:t xml:space="preserve"> r = 0</w:t>
      </w:r>
      <w:r w:rsidR="00BB45D8">
        <w:rPr>
          <w:lang w:val="id-ID"/>
        </w:rPr>
        <w:t>,</w:t>
      </w:r>
      <w:r w:rsidR="00B65284" w:rsidRPr="00BB45D8">
        <w:rPr>
          <w:lang w:val="en-US"/>
        </w:rPr>
        <w:t xml:space="preserve">647 yang </w:t>
      </w:r>
      <w:proofErr w:type="spellStart"/>
      <w:r w:rsidR="00B65284" w:rsidRPr="00BB45D8">
        <w:rPr>
          <w:lang w:val="en-US"/>
        </w:rPr>
        <w:t>berarti</w:t>
      </w:r>
      <w:proofErr w:type="spellEnd"/>
      <w:r w:rsidR="00B65284" w:rsidRPr="00BB45D8">
        <w:rPr>
          <w:lang w:val="en-US"/>
        </w:rPr>
        <w:t xml:space="preserve"> </w:t>
      </w:r>
      <w:proofErr w:type="spellStart"/>
      <w:r w:rsidR="00B65284" w:rsidRPr="00BB45D8">
        <w:rPr>
          <w:lang w:val="en-US"/>
        </w:rPr>
        <w:t>terdapat</w:t>
      </w:r>
      <w:proofErr w:type="spellEnd"/>
      <w:r w:rsidR="00B65284" w:rsidRPr="00BB45D8">
        <w:rPr>
          <w:lang w:val="en-US"/>
        </w:rPr>
        <w:t xml:space="preserve"> </w:t>
      </w:r>
      <w:proofErr w:type="spellStart"/>
      <w:r w:rsidR="00B65284" w:rsidRPr="00BB45D8">
        <w:rPr>
          <w:lang w:val="en-US"/>
        </w:rPr>
        <w:t>korelasi</w:t>
      </w:r>
      <w:proofErr w:type="spellEnd"/>
      <w:r w:rsidR="00B65284" w:rsidRPr="00BB45D8">
        <w:rPr>
          <w:lang w:val="en-US"/>
        </w:rPr>
        <w:t xml:space="preserve"> </w:t>
      </w:r>
      <w:proofErr w:type="spellStart"/>
      <w:r w:rsidR="00B65284" w:rsidRPr="00BB45D8">
        <w:rPr>
          <w:lang w:val="en-US"/>
        </w:rPr>
        <w:t>bernilai</w:t>
      </w:r>
      <w:proofErr w:type="spellEnd"/>
      <w:r w:rsidR="00B65284" w:rsidRPr="00BB45D8">
        <w:rPr>
          <w:lang w:val="en-US"/>
        </w:rPr>
        <w:t xml:space="preserve"> </w:t>
      </w:r>
      <w:proofErr w:type="spellStart"/>
      <w:r w:rsidR="00B65284" w:rsidRPr="00BB45D8">
        <w:rPr>
          <w:lang w:val="en-US"/>
        </w:rPr>
        <w:t>kuat</w:t>
      </w:r>
      <w:proofErr w:type="spellEnd"/>
      <w:r w:rsidR="00B65284" w:rsidRPr="00BB45D8">
        <w:rPr>
          <w:lang w:val="en-US"/>
        </w:rPr>
        <w:t xml:space="preserve"> </w:t>
      </w:r>
      <w:proofErr w:type="spellStart"/>
      <w:r w:rsidR="00B65284" w:rsidRPr="00BB45D8">
        <w:rPr>
          <w:lang w:val="en-US"/>
        </w:rPr>
        <w:t>antara</w:t>
      </w:r>
      <w:proofErr w:type="spellEnd"/>
      <w:r w:rsidR="00B65284" w:rsidRPr="00BB45D8">
        <w:rPr>
          <w:lang w:val="en-US"/>
        </w:rPr>
        <w:t xml:space="preserve"> </w:t>
      </w:r>
      <w:proofErr w:type="spellStart"/>
      <w:r w:rsidR="00B65284" w:rsidRPr="00BB45D8">
        <w:rPr>
          <w:lang w:val="en-US"/>
        </w:rPr>
        <w:t>kedua</w:t>
      </w:r>
      <w:proofErr w:type="spellEnd"/>
      <w:r w:rsidR="00B65284" w:rsidRPr="00BB45D8">
        <w:rPr>
          <w:lang w:val="en-US"/>
        </w:rPr>
        <w:t xml:space="preserve"> </w:t>
      </w:r>
      <w:proofErr w:type="spellStart"/>
      <w:r w:rsidR="00B65284" w:rsidRPr="00BB45D8">
        <w:rPr>
          <w:lang w:val="en-US"/>
        </w:rPr>
        <w:t>variabel</w:t>
      </w:r>
      <w:proofErr w:type="spellEnd"/>
      <w:r w:rsidR="00B65284" w:rsidRPr="00BB45D8">
        <w:rPr>
          <w:lang w:val="en-US"/>
        </w:rPr>
        <w:t xml:space="preserve"> </w:t>
      </w:r>
      <w:proofErr w:type="spellStart"/>
      <w:r w:rsidR="00B65284" w:rsidRPr="00BB45D8">
        <w:rPr>
          <w:lang w:val="en-US"/>
        </w:rPr>
        <w:t>tersebut</w:t>
      </w:r>
      <w:proofErr w:type="spellEnd"/>
      <w:r w:rsidR="00B65284" w:rsidRPr="00BB45D8">
        <w:rPr>
          <w:lang w:val="en-US"/>
        </w:rPr>
        <w:t>.</w:t>
      </w:r>
      <w:bookmarkEnd w:id="139"/>
      <w:r w:rsidR="00B65284" w:rsidRPr="00BB45D8">
        <w:rPr>
          <w:lang w:val="en-US"/>
        </w:rPr>
        <w:t xml:space="preserve"> </w:t>
      </w:r>
      <w:r w:rsidR="00B65284" w:rsidRPr="00F426C1">
        <w:rPr>
          <w:lang w:val="pt-BR"/>
        </w:rPr>
        <w:t>Sedangkan pada kelompok intervensi tidak ditemukan korelasi antara ukuran tonsil dengan kadar IL-6</w:t>
      </w:r>
      <w:r w:rsidR="00BB45D8">
        <w:rPr>
          <w:lang w:val="id-ID"/>
        </w:rPr>
        <w:t xml:space="preserve"> dengan nilai p &gt; 0,05</w:t>
      </w:r>
      <w:r w:rsidRPr="000F7523">
        <w:t>.</w:t>
      </w:r>
    </w:p>
    <w:p w14:paraId="6A2A87A6" w14:textId="77777777" w:rsidR="00A977BF" w:rsidRPr="00F426C1" w:rsidRDefault="00A977BF" w:rsidP="00BB45D8">
      <w:pPr>
        <w:rPr>
          <w:b/>
          <w:bCs/>
          <w:lang w:val="pt-BR" w:eastAsia="zh-CN"/>
        </w:rPr>
      </w:pPr>
    </w:p>
    <w:p w14:paraId="205B4936" w14:textId="10799C00" w:rsidR="00892FD4" w:rsidRPr="00892FD4" w:rsidRDefault="00BB45D8" w:rsidP="00892FD4">
      <w:pPr>
        <w:pStyle w:val="Heading2"/>
        <w:spacing w:after="0"/>
        <w:rPr>
          <w:lang w:val="id-ID" w:eastAsia="zh-CN"/>
        </w:rPr>
      </w:pPr>
      <w:bookmarkStart w:id="140" w:name="_Toc158290304"/>
      <w:r w:rsidRPr="00BB45D8">
        <w:rPr>
          <w:lang w:val="id-ID" w:eastAsia="zh-CN"/>
        </w:rPr>
        <w:t>6.3</w:t>
      </w:r>
      <w:r w:rsidRPr="00BB45D8">
        <w:rPr>
          <w:lang w:val="id-ID" w:eastAsia="zh-CN"/>
        </w:rPr>
        <w:tab/>
        <w:t>Pembahasan</w:t>
      </w:r>
      <w:bookmarkEnd w:id="140"/>
    </w:p>
    <w:p w14:paraId="47682B7C" w14:textId="43D5543B" w:rsidR="00B428B4" w:rsidRPr="006E7538" w:rsidRDefault="00892FD4" w:rsidP="00B428B4">
      <w:pPr>
        <w:pStyle w:val="Heading3"/>
        <w:spacing w:before="0" w:after="0" w:line="360" w:lineRule="auto"/>
        <w:rPr>
          <w:rFonts w:cs="Times New Roman"/>
          <w:lang w:val="id-ID"/>
        </w:rPr>
      </w:pPr>
      <w:bookmarkStart w:id="141" w:name="_Toc158290305"/>
      <w:r>
        <w:rPr>
          <w:color w:val="000000" w:themeColor="text1"/>
          <w:lang w:val="id-ID"/>
        </w:rPr>
        <w:t>6.3.1</w:t>
      </w:r>
      <w:r>
        <w:rPr>
          <w:color w:val="000000" w:themeColor="text1"/>
          <w:lang w:val="id-ID"/>
        </w:rPr>
        <w:tab/>
      </w:r>
      <w:r w:rsidR="00B428B4" w:rsidRPr="006E7538">
        <w:rPr>
          <w:rFonts w:cs="Times New Roman"/>
          <w:lang w:val="id-ID"/>
        </w:rPr>
        <w:t>Karakteristik Sampel</w:t>
      </w:r>
      <w:bookmarkEnd w:id="141"/>
    </w:p>
    <w:p w14:paraId="149E7897" w14:textId="098142F0" w:rsidR="00B428B4" w:rsidRDefault="00B428B4" w:rsidP="00B428B4">
      <w:pPr>
        <w:spacing w:line="360" w:lineRule="auto"/>
        <w:ind w:firstLine="709"/>
        <w:jc w:val="both"/>
        <w:rPr>
          <w:lang w:val="id-ID" w:eastAsia="zh-CN"/>
        </w:rPr>
      </w:pPr>
      <w:r w:rsidRPr="006E7538">
        <w:rPr>
          <w:lang w:val="id-ID"/>
        </w:rPr>
        <w:t xml:space="preserve">Penelitian ini dilakukan terhadap 30 </w:t>
      </w:r>
      <w:r w:rsidRPr="006E7538">
        <w:t xml:space="preserve">pasien yang menjalani prosedur pembedahan </w:t>
      </w:r>
      <w:r w:rsidRPr="006E7538">
        <w:rPr>
          <w:lang w:val="id-ID"/>
        </w:rPr>
        <w:t>tonsilektomi yang dibagi menjadi 2 kelompok dimana pada Tabel 1</w:t>
      </w:r>
      <w:r w:rsidRPr="006E7538">
        <w:t xml:space="preserve"> menunjukkan bahwa tidak terdapat perbedaan yang bermakna</w:t>
      </w:r>
      <w:r w:rsidRPr="006E7538">
        <w:rPr>
          <w:lang w:val="id-ID"/>
        </w:rPr>
        <w:t xml:space="preserve"> </w:t>
      </w:r>
      <w:r w:rsidRPr="006E7538">
        <w:t>umur, jenis kelamin,</w:t>
      </w:r>
      <w:r w:rsidRPr="00F426C1">
        <w:rPr>
          <w:lang w:val="pt-BR"/>
        </w:rPr>
        <w:t xml:space="preserve"> ASA PS, ukuran tonsil dan </w:t>
      </w:r>
      <w:r w:rsidRPr="006E7538">
        <w:t xml:space="preserve">indeks massa </w:t>
      </w:r>
      <w:r w:rsidRPr="006E7538">
        <w:lastRenderedPageBreak/>
        <w:t>tubuh</w:t>
      </w:r>
      <w:r w:rsidRPr="006E7538">
        <w:rPr>
          <w:lang w:val="id-ID"/>
        </w:rPr>
        <w:t xml:space="preserve"> antara kelompok intervensi dan kontrol.</w:t>
      </w:r>
      <w:r w:rsidRPr="006E7538">
        <w:rPr>
          <w:rFonts w:eastAsia="DengXian"/>
          <w:lang w:eastAsia="zh-CN"/>
        </w:rPr>
        <w:t xml:space="preserve"> </w:t>
      </w:r>
      <w:r w:rsidRPr="006E7538">
        <w:rPr>
          <w:bCs/>
          <w:lang w:val="id-ID" w:eastAsia="zh-CN"/>
        </w:rPr>
        <w:t>Hasil ini menunjukkan bahwa karakteristik sampel penelitian pada kedua kelompok</w:t>
      </w:r>
      <w:r w:rsidRPr="006E7538">
        <w:rPr>
          <w:lang w:eastAsia="zh-CN"/>
        </w:rPr>
        <w:t xml:space="preserve"> </w:t>
      </w:r>
      <w:r w:rsidRPr="006E7538">
        <w:rPr>
          <w:lang w:val="id-ID" w:eastAsia="zh-CN"/>
        </w:rPr>
        <w:t>tersebut dinyatakan</w:t>
      </w:r>
      <w:r w:rsidRPr="006E7538">
        <w:rPr>
          <w:lang w:eastAsia="zh-CN"/>
        </w:rPr>
        <w:t xml:space="preserve"> homogen</w:t>
      </w:r>
      <w:r w:rsidRPr="006E7538">
        <w:rPr>
          <w:lang w:val="id-ID" w:eastAsia="zh-CN"/>
        </w:rPr>
        <w:t xml:space="preserve"> dan layak untuk diperbandingkan dalam sebuah penelitian.</w:t>
      </w:r>
    </w:p>
    <w:p w14:paraId="65EB1070" w14:textId="77777777" w:rsidR="000A4CBF" w:rsidRPr="006E7538" w:rsidRDefault="000A4CBF" w:rsidP="00B428B4">
      <w:pPr>
        <w:spacing w:line="360" w:lineRule="auto"/>
        <w:ind w:firstLine="709"/>
        <w:jc w:val="both"/>
        <w:rPr>
          <w:lang w:val="id-ID" w:eastAsia="zh-CN"/>
        </w:rPr>
      </w:pPr>
    </w:p>
    <w:p w14:paraId="1AF6B086" w14:textId="75023A68" w:rsidR="00892FD4" w:rsidRPr="003360E7" w:rsidRDefault="00B428B4" w:rsidP="003360E7">
      <w:pPr>
        <w:pStyle w:val="Heading3"/>
        <w:spacing w:before="0" w:after="0" w:line="360" w:lineRule="auto"/>
        <w:ind w:left="709" w:hanging="709"/>
        <w:jc w:val="both"/>
      </w:pPr>
      <w:bookmarkStart w:id="142" w:name="_Toc158290306"/>
      <w:r w:rsidRPr="00BB1331">
        <w:rPr>
          <w:rFonts w:cs="Times New Roman"/>
          <w:lang w:val="id-ID"/>
        </w:rPr>
        <w:t>6.3.</w:t>
      </w:r>
      <w:r>
        <w:rPr>
          <w:rFonts w:cs="Times New Roman"/>
          <w:lang w:val="id-ID"/>
        </w:rPr>
        <w:t>2</w:t>
      </w:r>
      <w:r w:rsidRPr="00BB1331">
        <w:rPr>
          <w:rFonts w:cs="Times New Roman"/>
          <w:lang w:val="id-ID"/>
        </w:rPr>
        <w:tab/>
      </w:r>
      <w:r w:rsidR="000A4CBF">
        <w:rPr>
          <w:rFonts w:cs="Times New Roman"/>
          <w:lang w:val="id-ID"/>
        </w:rPr>
        <w:t xml:space="preserve">Efek Pemberian </w:t>
      </w:r>
      <w:r w:rsidR="000A4CBF" w:rsidRPr="00BB1331">
        <w:rPr>
          <w:rFonts w:cs="Times New Roman"/>
        </w:rPr>
        <w:t>Blok Peritonsil</w:t>
      </w:r>
      <w:r w:rsidR="000A4CBF" w:rsidRPr="00F426C1">
        <w:rPr>
          <w:rFonts w:cs="Times New Roman"/>
          <w:lang w:val="id-ID"/>
        </w:rPr>
        <w:t>e</w:t>
      </w:r>
      <w:r w:rsidR="000A4CBF" w:rsidRPr="00BB1331">
        <w:rPr>
          <w:rFonts w:cs="Times New Roman"/>
        </w:rPr>
        <w:t xml:space="preserve">r </w:t>
      </w:r>
      <w:r w:rsidR="000A4CBF" w:rsidRPr="00BB1331">
        <w:rPr>
          <w:rFonts w:cs="Times New Roman"/>
          <w:lang w:val="id-ID"/>
        </w:rPr>
        <w:t>Levo</w:t>
      </w:r>
      <w:r w:rsidR="000A4CBF" w:rsidRPr="00BB1331">
        <w:rPr>
          <w:rFonts w:cs="Times New Roman"/>
        </w:rPr>
        <w:t>bupiva</w:t>
      </w:r>
      <w:r w:rsidR="000A4CBF" w:rsidRPr="00BB1331">
        <w:rPr>
          <w:rFonts w:cs="Times New Roman"/>
          <w:lang w:val="id-ID"/>
        </w:rPr>
        <w:t>ca</w:t>
      </w:r>
      <w:r w:rsidR="000A4CBF" w:rsidRPr="00BB1331">
        <w:rPr>
          <w:rFonts w:cs="Times New Roman"/>
        </w:rPr>
        <w:t xml:space="preserve">ine Isobarik 0,125% </w:t>
      </w:r>
      <w:r w:rsidR="000A4CBF">
        <w:rPr>
          <w:rFonts w:cs="Times New Roman"/>
          <w:lang w:val="id-ID"/>
        </w:rPr>
        <w:t xml:space="preserve">Terhadap </w:t>
      </w:r>
      <w:r w:rsidR="000A4CBF" w:rsidRPr="00BB1331">
        <w:rPr>
          <w:rFonts w:cs="Times New Roman"/>
        </w:rPr>
        <w:t>Intensitas Nyeri</w:t>
      </w:r>
      <w:r w:rsidR="000A4CBF" w:rsidRPr="00F426C1">
        <w:rPr>
          <w:rFonts w:cs="Times New Roman"/>
          <w:lang w:val="id-ID"/>
        </w:rPr>
        <w:t xml:space="preserve"> </w:t>
      </w:r>
      <w:r w:rsidR="000A4CBF" w:rsidRPr="00BB1331">
        <w:rPr>
          <w:rFonts w:cs="Times New Roman"/>
          <w:lang w:val="id-ID"/>
        </w:rPr>
        <w:t>P</w:t>
      </w:r>
      <w:r w:rsidR="000A4CBF">
        <w:rPr>
          <w:rFonts w:cs="Times New Roman"/>
          <w:lang w:val="id-ID"/>
        </w:rPr>
        <w:t>ascabedah</w:t>
      </w:r>
      <w:r w:rsidR="000A4CBF" w:rsidRPr="00BB1331">
        <w:rPr>
          <w:rFonts w:cs="Times New Roman"/>
        </w:rPr>
        <w:t xml:space="preserve"> Tonsilektomi</w:t>
      </w:r>
      <w:bookmarkEnd w:id="142"/>
    </w:p>
    <w:p w14:paraId="0B63BB1B" w14:textId="3DFE0BD8" w:rsidR="0066055A" w:rsidRDefault="003360E7" w:rsidP="0066055A">
      <w:pPr>
        <w:spacing w:line="360" w:lineRule="auto"/>
        <w:ind w:firstLine="709"/>
        <w:jc w:val="both"/>
        <w:rPr>
          <w:rFonts w:eastAsia="AdvP4DF60E"/>
          <w:lang w:val="id-ID"/>
        </w:rPr>
      </w:pPr>
      <w:r w:rsidRPr="00BB1331">
        <w:rPr>
          <w:lang w:val="id-ID" w:eastAsia="zh-CN"/>
        </w:rPr>
        <w:t>Pada penelitian ini diperoleh hasil bahwa intensitas nyeri</w:t>
      </w:r>
      <w:r w:rsidRPr="00BB1331">
        <w:rPr>
          <w:lang w:val="en-US" w:eastAsia="zh-CN"/>
        </w:rPr>
        <w:t xml:space="preserve"> </w:t>
      </w:r>
      <w:r w:rsidRPr="00BB1331">
        <w:rPr>
          <w:lang w:val="id-ID" w:eastAsia="zh-CN"/>
        </w:rPr>
        <w:t xml:space="preserve">pada pasien yang diberi </w:t>
      </w:r>
      <w:r w:rsidRPr="00BB1331">
        <w:rPr>
          <w:lang w:eastAsia="zh-CN"/>
        </w:rPr>
        <w:t>blok peritonsil</w:t>
      </w:r>
      <w:r w:rsidRPr="00BB1331">
        <w:rPr>
          <w:lang w:val="en-US" w:eastAsia="zh-CN"/>
        </w:rPr>
        <w:t>e</w:t>
      </w:r>
      <w:r w:rsidRPr="00BB1331">
        <w:rPr>
          <w:lang w:eastAsia="zh-CN"/>
        </w:rPr>
        <w:t xml:space="preserve">r </w:t>
      </w:r>
      <w:r w:rsidRPr="00BB1331">
        <w:rPr>
          <w:lang w:val="id-ID" w:eastAsia="zh-CN"/>
        </w:rPr>
        <w:t>levo</w:t>
      </w:r>
      <w:r w:rsidRPr="00BB1331">
        <w:rPr>
          <w:lang w:eastAsia="zh-CN"/>
        </w:rPr>
        <w:t>bupiva</w:t>
      </w:r>
      <w:r w:rsidRPr="00BB1331">
        <w:rPr>
          <w:lang w:val="id-ID" w:eastAsia="zh-CN"/>
        </w:rPr>
        <w:t>ca</w:t>
      </w:r>
      <w:r w:rsidRPr="00BB1331">
        <w:rPr>
          <w:lang w:eastAsia="zh-CN"/>
        </w:rPr>
        <w:t>ine isobarik 0,125%</w:t>
      </w:r>
      <w:r w:rsidRPr="00BB1331">
        <w:rPr>
          <w:lang w:val="id-ID" w:eastAsia="zh-CN"/>
        </w:rPr>
        <w:t xml:space="preserve"> lebih rendah secara bermakna pada </w:t>
      </w:r>
      <w:r w:rsidRPr="00BB1331">
        <w:rPr>
          <w:lang w:val="en-US" w:eastAsia="zh-CN"/>
        </w:rPr>
        <w:t xml:space="preserve">2, 4, 6, </w:t>
      </w:r>
      <w:proofErr w:type="spellStart"/>
      <w:r w:rsidRPr="00BB1331">
        <w:rPr>
          <w:lang w:val="en-US" w:eastAsia="zh-CN"/>
        </w:rPr>
        <w:t>hingga</w:t>
      </w:r>
      <w:proofErr w:type="spellEnd"/>
      <w:r w:rsidRPr="00BB1331">
        <w:rPr>
          <w:lang w:val="en-US" w:eastAsia="zh-CN"/>
        </w:rPr>
        <w:t xml:space="preserve"> 8 jam </w:t>
      </w:r>
      <w:r w:rsidRPr="006E7538">
        <w:rPr>
          <w:bCs/>
          <w:lang w:val="id-ID" w:eastAsia="zh-CN"/>
        </w:rPr>
        <w:t>pascabedah</w:t>
      </w:r>
      <w:r w:rsidRPr="00BB1331">
        <w:rPr>
          <w:lang w:val="id-ID" w:eastAsia="zh-CN"/>
        </w:rPr>
        <w:t xml:space="preserve"> </w:t>
      </w:r>
      <w:r w:rsidRPr="00BB1331">
        <w:rPr>
          <w:lang w:eastAsia="zh-CN"/>
        </w:rPr>
        <w:t>tonsilektomi</w:t>
      </w:r>
      <w:r w:rsidRPr="00BB1331">
        <w:rPr>
          <w:lang w:val="id-ID" w:eastAsia="zh-CN"/>
        </w:rPr>
        <w:t xml:space="preserve"> dibandingkan kontrol, namun intensitas nyeri tidak berbeda secara bermakna pada </w:t>
      </w:r>
      <w:r w:rsidRPr="00BB1331">
        <w:rPr>
          <w:rFonts w:eastAsiaTheme="minorEastAsia"/>
          <w:lang w:val="id-ID" w:eastAsia="zh-CN"/>
        </w:rPr>
        <w:t>12</w:t>
      </w:r>
      <w:r w:rsidRPr="00BB1331">
        <w:rPr>
          <w:rFonts w:eastAsiaTheme="minorEastAsia"/>
          <w:lang w:val="en-US" w:eastAsia="zh-CN"/>
        </w:rPr>
        <w:t xml:space="preserve"> dan 2</w:t>
      </w:r>
      <w:r w:rsidRPr="00BB1331">
        <w:rPr>
          <w:rFonts w:eastAsiaTheme="minorEastAsia"/>
          <w:lang w:val="id-ID" w:eastAsia="zh-CN"/>
        </w:rPr>
        <w:t>4</w:t>
      </w:r>
      <w:r w:rsidRPr="00BB1331">
        <w:rPr>
          <w:rFonts w:eastAsiaTheme="minorEastAsia"/>
          <w:lang w:val="en-US" w:eastAsia="zh-CN"/>
        </w:rPr>
        <w:t xml:space="preserve"> jam </w:t>
      </w:r>
      <w:proofErr w:type="spellStart"/>
      <w:r w:rsidRPr="00BB1331">
        <w:rPr>
          <w:rFonts w:eastAsiaTheme="minorEastAsia"/>
          <w:lang w:val="en-US" w:eastAsia="zh-CN"/>
        </w:rPr>
        <w:t>pascabedah</w:t>
      </w:r>
      <w:proofErr w:type="spellEnd"/>
      <w:r w:rsidRPr="00BB1331">
        <w:rPr>
          <w:rFonts w:eastAsiaTheme="minorEastAsia"/>
          <w:lang w:val="id-ID" w:eastAsia="zh-CN"/>
        </w:rPr>
        <w:t xml:space="preserve"> antara kedua kelompok</w:t>
      </w:r>
      <w:r>
        <w:rPr>
          <w:rFonts w:eastAsiaTheme="minorEastAsia"/>
          <w:lang w:val="id-ID" w:eastAsia="zh-CN"/>
        </w:rPr>
        <w:t xml:space="preserve">. Hasil tersebut menunjukkan bahwa </w:t>
      </w:r>
      <w:r>
        <w:rPr>
          <w:lang w:val="id-ID"/>
        </w:rPr>
        <w:t xml:space="preserve">pemberian </w:t>
      </w:r>
      <w:r w:rsidRPr="00BB1331">
        <w:t>blok peritonsil</w:t>
      </w:r>
      <w:r w:rsidRPr="00F426C1">
        <w:rPr>
          <w:lang w:val="id-ID"/>
        </w:rPr>
        <w:t>e</w:t>
      </w:r>
      <w:r w:rsidRPr="00BB1331">
        <w:t xml:space="preserve">r </w:t>
      </w:r>
      <w:r w:rsidRPr="00BB1331">
        <w:rPr>
          <w:lang w:val="id-ID"/>
        </w:rPr>
        <w:t>levo</w:t>
      </w:r>
      <w:r w:rsidRPr="00BB1331">
        <w:t>bupiva</w:t>
      </w:r>
      <w:r w:rsidRPr="00BB1331">
        <w:rPr>
          <w:lang w:val="id-ID"/>
        </w:rPr>
        <w:t>ca</w:t>
      </w:r>
      <w:r w:rsidRPr="00BB1331">
        <w:t>ine isobarik 0,125%</w:t>
      </w:r>
      <w:r>
        <w:rPr>
          <w:lang w:val="id-ID"/>
        </w:rPr>
        <w:t xml:space="preserve"> efektif menurunkan nyeri mulai 2 jam sampai 8 jam </w:t>
      </w:r>
      <w:r w:rsidRPr="00BB1331">
        <w:rPr>
          <w:lang w:val="id-ID"/>
        </w:rPr>
        <w:t>p</w:t>
      </w:r>
      <w:r>
        <w:rPr>
          <w:lang w:val="id-ID"/>
        </w:rPr>
        <w:t>ascabedah</w:t>
      </w:r>
      <w:r w:rsidRPr="00BB1331">
        <w:t xml:space="preserve"> tonsilektomi</w:t>
      </w:r>
      <w:r>
        <w:rPr>
          <w:lang w:val="id-ID"/>
        </w:rPr>
        <w:t>.</w:t>
      </w:r>
      <w:r>
        <w:rPr>
          <w:rFonts w:eastAsiaTheme="minorEastAsia"/>
          <w:lang w:val="id-ID" w:eastAsia="zh-CN"/>
        </w:rPr>
        <w:t xml:space="preserve"> Hasil ini sejalan dengan penelitian Turhan </w:t>
      </w:r>
      <w:r w:rsidRPr="006E7538">
        <w:rPr>
          <w:rFonts w:eastAsiaTheme="minorEastAsia"/>
          <w:i/>
          <w:iCs/>
          <w:lang w:val="id-ID" w:eastAsia="zh-CN"/>
        </w:rPr>
        <w:t>et al</w:t>
      </w:r>
      <w:r>
        <w:rPr>
          <w:rFonts w:eastAsiaTheme="minorEastAsia"/>
          <w:lang w:val="id-ID" w:eastAsia="zh-CN"/>
        </w:rPr>
        <w:t>. bahwa pemberian</w:t>
      </w:r>
      <w:r w:rsidRPr="00BB1331">
        <w:rPr>
          <w:rFonts w:eastAsiaTheme="minorEastAsia"/>
          <w:lang w:val="id-ID" w:eastAsia="zh-CN"/>
        </w:rPr>
        <w:t xml:space="preserve"> infiltrasi levobupivakain peritonsillar prainsisional (0,25% dan 0,5%) </w:t>
      </w:r>
      <w:r>
        <w:rPr>
          <w:rFonts w:eastAsiaTheme="minorEastAsia"/>
          <w:lang w:val="id-ID" w:eastAsia="zh-CN"/>
        </w:rPr>
        <w:t>pada pasien anak dapat menurunkan nyeri dalam 24 jam pascabedah.</w:t>
      </w:r>
      <w:r>
        <w:rPr>
          <w:rFonts w:eastAsiaTheme="minorEastAsia"/>
          <w:lang w:val="id-ID" w:eastAsia="zh-CN"/>
        </w:rPr>
        <w:fldChar w:fldCharType="begin" w:fldLock="1"/>
      </w:r>
      <w:r>
        <w:rPr>
          <w:rFonts w:eastAsiaTheme="minorEastAsia"/>
          <w:lang w:val="id-ID" w:eastAsia="zh-CN"/>
        </w:rPr>
        <w:instrText>ADDIN CSL_CITATION {"citationItems":[{"id":"ITEM-1","itemData":{"ISSN":"11283602","PMID":"25912590","abstract":"OBJECTIVE: Post-tonsillectomy pain is believed to be mediated by noxious stimulation of C-fiber afferents located in the peritonsillary space, and local anesthetic infiltration to this area may decrease pain by blocking the sensory pathways and thus preventing the nociceptive impulses. We aimed to compare the effects of different concentrations of preincisional peritonsillar levobupivacaine (0.25% and 0.5%) infiltration on postoperative pain and bleeding in a placebo-controlled design. PATIENTS AND METHODS: After obtaining Institutional Ethics Committee approval, 72 ASA III patients between 3 and 12 years of age, scheduled to undergo tonsillectomy were enrolled and randomly assigned to one of the three groups using the sealed envelope technique, as Group I (Control group), Group II, and Group III receiving preincisional bilateral peritonsillar infiltration with saline, 0.25% levobupivacaine and 0.5% levobupivacaine, respectively (3 mL to each tonsil). Pain, fever, dysphagia; nausea-vomiting and hemorrhage were evaluated at postoperative 0, 30, and 60 minutes and 2, 6, 12, and 24 hours. Oral paracetamol was administered at a dose of 15 mg/kg when FLACC score was &gt; 4. The number of paracetamol administrations within the first 24 hours were recorded. RESULTS: The patients in Groups I, II and III defined pain (FLACC &gt; 4) at a rate of 87%, 60.9%, and 54.2% within the postoperative first 24 hours, respectively.The total number of additional analgesic requirements was significantly low in Group II and III when compared with Group I. There was no difference between groups in terms of fever, dysphagia, nausea-vomiting, hemorrhage. CONCLUSIONS: Both concentrations (0.50% and 0.25%) of levobupivacaine were found to be equally safe and effective during preincisional peritonsillar infiltration in children. NCT number: 02322346.","author":[{"dropping-particle":"","family":"Turhan","given":"K. S.Cakar","non-dropping-particle":"","parse-names":false,"suffix":""},{"dropping-particle":"","family":"Salviz","given":"E. A.","non-dropping-particle":"","parse-names":false,"suffix":""},{"dropping-particle":"","family":"Beton","given":"S.","non-dropping-particle":"","parse-names":false,"suffix":""},{"dropping-particle":"","family":"Timuroglu","given":"S. T.","non-dropping-particle":"","parse-names":false,"suffix":""},{"dropping-particle":"","family":"Catav","given":"S.","non-dropping-particle":"","parse-names":false,"suffix":""},{"dropping-particle":"","family":"Ozatamer","given":"O.","non-dropping-particle":"","parse-names":false,"suffix":""}],"container-title":"European Review for Medical and Pharmacological Sciences","id":"ITEM-1","issue":"7","issued":{"date-parts":[["2015"]]},"page":"1276-1284","title":"Peritonsillar infiltration with levobupivacaine for posttonsillectomy pain relief: Does concentration have any effect? A double-blind randomized controlled clinical study","type":"article-journal","volume":"19"},"uris":["http://www.mendeley.com/documents/?uuid=6b8e36e1-c623-45e0-a9c8-5d3f412f9c46"]}],"mendeley":{"formattedCitation":"&lt;sup&gt;68&lt;/sup&gt;","plainTextFormattedCitation":"68","previouslyFormattedCitation":"&lt;sup&gt;68&lt;/sup&gt;"},"properties":{"noteIndex":0},"schema":"https://github.com/citation-style-language/schema/raw/master/csl-citation.json"}</w:instrText>
      </w:r>
      <w:r>
        <w:rPr>
          <w:rFonts w:eastAsiaTheme="minorEastAsia"/>
          <w:lang w:val="id-ID" w:eastAsia="zh-CN"/>
        </w:rPr>
        <w:fldChar w:fldCharType="separate"/>
      </w:r>
      <w:r w:rsidRPr="003360E7">
        <w:rPr>
          <w:rFonts w:eastAsiaTheme="minorEastAsia"/>
          <w:noProof/>
          <w:vertAlign w:val="superscript"/>
          <w:lang w:val="id-ID" w:eastAsia="zh-CN"/>
        </w:rPr>
        <w:t>68</w:t>
      </w:r>
      <w:r>
        <w:rPr>
          <w:rFonts w:eastAsiaTheme="minorEastAsia"/>
          <w:lang w:val="id-ID" w:eastAsia="zh-CN"/>
        </w:rPr>
        <w:fldChar w:fldCharType="end"/>
      </w:r>
      <w:r>
        <w:rPr>
          <w:rFonts w:eastAsiaTheme="minorEastAsia"/>
          <w:lang w:val="id-ID" w:eastAsia="zh-CN"/>
        </w:rPr>
        <w:t xml:space="preserve"> Hasil serupa dilaporkan oleh penelitian </w:t>
      </w:r>
      <w:r w:rsidR="0066055A">
        <w:rPr>
          <w:rFonts w:eastAsiaTheme="minorEastAsia"/>
          <w:lang w:val="id-ID" w:eastAsia="zh-CN"/>
        </w:rPr>
        <w:t>Kasapoglu</w:t>
      </w:r>
      <w:r>
        <w:rPr>
          <w:rFonts w:eastAsiaTheme="minorEastAsia"/>
          <w:lang w:val="id-ID" w:eastAsia="zh-CN"/>
        </w:rPr>
        <w:t xml:space="preserve"> </w:t>
      </w:r>
      <w:r w:rsidRPr="00B64798">
        <w:rPr>
          <w:rFonts w:eastAsiaTheme="minorEastAsia"/>
          <w:i/>
          <w:iCs/>
          <w:lang w:val="id-ID" w:eastAsia="zh-CN"/>
        </w:rPr>
        <w:t>et al</w:t>
      </w:r>
      <w:r>
        <w:rPr>
          <w:rFonts w:eastAsiaTheme="minorEastAsia"/>
          <w:lang w:val="id-ID" w:eastAsia="zh-CN"/>
        </w:rPr>
        <w:t xml:space="preserve">. yang </w:t>
      </w:r>
      <w:r>
        <w:rPr>
          <w:rFonts w:eastAsia="AdvP4DF60E"/>
          <w:lang w:val="id-ID"/>
        </w:rPr>
        <w:t>m</w:t>
      </w:r>
      <w:r w:rsidRPr="00BB1331">
        <w:rPr>
          <w:rFonts w:eastAsia="AdvP4DF60E"/>
          <w:lang w:val="id-ID"/>
        </w:rPr>
        <w:t>embandingkan efek infiltrasi levobupivakain dan bupivakain peritonsil prainsisional terhadap nyeri pasca tonsilektomi pada anak</w:t>
      </w:r>
      <w:r>
        <w:rPr>
          <w:rFonts w:eastAsia="AdvP4DF60E"/>
          <w:lang w:val="id-ID"/>
        </w:rPr>
        <w:t xml:space="preserve"> dibandingkan kontrol dengan hasil bahwa i</w:t>
      </w:r>
      <w:r w:rsidRPr="00BB1331">
        <w:rPr>
          <w:rFonts w:eastAsia="AdvP4DF60E"/>
          <w:lang w:val="id-ID"/>
        </w:rPr>
        <w:t xml:space="preserve">nfiltrasi peritonsil dengan levobupivakain 0,25% </w:t>
      </w:r>
      <w:r>
        <w:rPr>
          <w:rFonts w:eastAsia="AdvP4DF60E"/>
          <w:lang w:val="id-ID"/>
        </w:rPr>
        <w:t xml:space="preserve">mempunyai intensitas nyeri </w:t>
      </w:r>
      <w:r w:rsidRPr="00BB1331">
        <w:rPr>
          <w:rFonts w:eastAsia="AdvP4DF60E"/>
          <w:lang w:val="id-ID"/>
        </w:rPr>
        <w:t xml:space="preserve">pada menit ke-0 (segera) dan </w:t>
      </w:r>
      <w:r>
        <w:rPr>
          <w:rFonts w:eastAsia="AdvP4DF60E"/>
          <w:lang w:val="id-ID"/>
        </w:rPr>
        <w:t xml:space="preserve">menit </w:t>
      </w:r>
      <w:r w:rsidRPr="00BB1331">
        <w:rPr>
          <w:rFonts w:eastAsia="AdvP4DF60E"/>
          <w:lang w:val="id-ID"/>
        </w:rPr>
        <w:t>ke-30 setelah tiba di PACU</w:t>
      </w:r>
      <w:r>
        <w:rPr>
          <w:rFonts w:eastAsia="AdvP4DF60E"/>
          <w:lang w:val="id-ID"/>
        </w:rPr>
        <w:t xml:space="preserve"> dan 1 jam setelah di bangsal</w:t>
      </w:r>
      <w:r w:rsidRPr="00BB1331">
        <w:rPr>
          <w:rFonts w:eastAsia="AdvP4DF60E"/>
          <w:lang w:val="id-ID"/>
        </w:rPr>
        <w:t xml:space="preserve"> </w:t>
      </w:r>
      <w:r>
        <w:rPr>
          <w:rFonts w:eastAsia="AdvP4DF60E"/>
          <w:lang w:val="id-ID"/>
        </w:rPr>
        <w:t xml:space="preserve">yang </w:t>
      </w:r>
      <w:r w:rsidRPr="00BB1331">
        <w:rPr>
          <w:rFonts w:eastAsia="AdvP4DF60E"/>
          <w:lang w:val="id-ID"/>
        </w:rPr>
        <w:t>lebih rendah dibandingkan kelompok saline. Infiltrasi peritonsil prainsisional dengan levobupivacaine sebelum tonsilektomi, lebih efektif dibandingkan saline, dalam mengurangi nyeri awal pasca tonsilektomi</w:t>
      </w:r>
      <w:r>
        <w:rPr>
          <w:rFonts w:eastAsia="AdvP4DF60E"/>
          <w:lang w:val="id-ID"/>
        </w:rPr>
        <w:t>.</w:t>
      </w:r>
      <w:r>
        <w:rPr>
          <w:rFonts w:eastAsia="AdvP4DF60E"/>
          <w:lang w:val="id-ID"/>
        </w:rPr>
        <w:fldChar w:fldCharType="begin" w:fldLock="1"/>
      </w:r>
      <w:r>
        <w:rPr>
          <w:rFonts w:eastAsia="AdvP4DF60E"/>
          <w:lang w:val="id-ID"/>
        </w:rPr>
        <w:instrText>ADDIN CSL_CITATION {"citationItems":[{"id":"ITEM-1","itemData":{"DOI":"10.1016/j.ijporl.2010.11.015","ISSN":"01655876","PMID":"21168923","abstract":"Objectives: To compare the effects of preincisional peritonsillar infiltration of levobupivacaine and bupivacaine on post-tonsillectomy pain in children. Methods: Sixty children undergoing elective tonsillectomy or adenotonsillectomy were randomly allocated into three groups before tonsillectomy: peritonsillar infiltrations with 0.25% levobupivacaine with 1:200,000 epinephrine (group levobupivacaine, n= 20), 0.25% bupivacaine with 1:200,000 epinephrine (group bupivacaine, n= 20), and normal saline (group saline, n= 20) were applied. Pain was evaluated by using a modified Children's Hospital of Eastern Ontario Pain Scale (mCHEOPS). Choice of additional analgesic was acetaminophen for all patients. Results: mCHEOPS values at 0th (immediately) and 30th minute after arrival the PACU were lower in both the local anesthetics groups than the saline group (p&lt; 0.001, p&lt; 0.01 for the group levobupivacaine; p&lt; 0.001, p&lt; 0.05 for the group bupivacaine, respectively). In addition, mCHEOPS values at 1st hour in the ward was lower in the group bupivacaine when compared to the group saline (p&lt; 0.05). Analgesic requirements and the time to first analgesia required, were also significantly different between the local anesthetic and saline groups (p&lt; 0.05 for both local anesthetics groups). Time to first mobilization was shorter in both local anesthetic groups when compared to the saline group (p&lt; 0.05 for both local anesthetic groups). Conclusion: Preincisional peritonsillar infiltration with levobupivacaine or bupivacaine before tonsillectomy, are effective than saline, in reducing early post-tonsillectomy pain, where as bupivacaine had slightly longer effect. Compared to saline, with both anesthetic infiltrations, lesser medication for analgesia is required. The clinical trial registration number (Research Ethics Committee of Medical Faculty, Uludag University): 2008-4/36, 19 February 2008. © 2010 Elsevier Ireland Ltd.","author":[{"dropping-particle":"","family":"Kasapoglu","given":"Fikret","non-dropping-particle":"","parse-names":false,"suffix":""},{"dropping-particle":"","family":"Kaya","given":"Fatma Nur","non-dropping-particle":"","parse-names":false,"suffix":""},{"dropping-particle":"","family":"Tuzemen","given":"Gokhan","non-dropping-particle":"","parse-names":false,"suffix":""},{"dropping-particle":"","family":"Ozmen","given":"Omer Afsin","non-dropping-particle":"","parse-names":false,"suffix":""},{"dropping-particle":"","family":"Kaya","given":"Atila","non-dropping-particle":"","parse-names":false,"suffix":""},{"dropping-particle":"","family":"Onart","given":"Selcuk","non-dropping-particle":"","parse-names":false,"suffix":""}],"container-title":"International Journal of Pediatric Otorhinolaryngology","id":"ITEM-1","issue":"3","issued":{"date-parts":[["2011"]]},"page":"322-326","publisher":"Elsevier Ireland Ltd","title":"Comparison of peritonsillar levobupivacaine and bupivacaine infiltration for post-tonsillectomy pain relief in children: Placebo-controlled clinical study","type":"article-journal","volume":"75"},"uris":["http://www.mendeley.com/documents/?uuid=f0d12eb6-fcb0-4166-964b-b766f03e22ae"]}],"mendeley":{"formattedCitation":"&lt;sup&gt;13&lt;/sup&gt;","plainTextFormattedCitation":"13","previouslyFormattedCitation":"&lt;sup&gt;13&lt;/sup&gt;"},"properties":{"noteIndex":0},"schema":"https://github.com/citation-style-language/schema/raw/master/csl-citation.json"}</w:instrText>
      </w:r>
      <w:r>
        <w:rPr>
          <w:rFonts w:eastAsia="AdvP4DF60E"/>
          <w:lang w:val="id-ID"/>
        </w:rPr>
        <w:fldChar w:fldCharType="separate"/>
      </w:r>
      <w:r w:rsidRPr="003360E7">
        <w:rPr>
          <w:rFonts w:eastAsia="AdvP4DF60E"/>
          <w:noProof/>
          <w:vertAlign w:val="superscript"/>
          <w:lang w:val="id-ID"/>
        </w:rPr>
        <w:t>13</w:t>
      </w:r>
      <w:r>
        <w:rPr>
          <w:rFonts w:eastAsia="AdvP4DF60E"/>
          <w:lang w:val="id-ID"/>
        </w:rPr>
        <w:fldChar w:fldCharType="end"/>
      </w:r>
      <w:r w:rsidR="0066055A">
        <w:rPr>
          <w:rFonts w:eastAsia="AdvP4DF60E"/>
          <w:lang w:val="id-ID"/>
        </w:rPr>
        <w:t xml:space="preserve"> Hasil serupa pada Erdogan </w:t>
      </w:r>
      <w:r w:rsidR="0066055A" w:rsidRPr="0066055A">
        <w:rPr>
          <w:rFonts w:eastAsia="AdvP4DF60E"/>
          <w:i/>
          <w:iCs/>
          <w:lang w:val="id-ID"/>
        </w:rPr>
        <w:t>et al</w:t>
      </w:r>
      <w:r w:rsidR="0066055A">
        <w:rPr>
          <w:rFonts w:eastAsia="AdvP4DF60E"/>
          <w:lang w:val="id-ID"/>
        </w:rPr>
        <w:t xml:space="preserve">., bahwa </w:t>
      </w:r>
      <w:r w:rsidR="0066055A">
        <w:rPr>
          <w:rFonts w:eastAsia="SimSun"/>
          <w:lang w:val="id-ID"/>
        </w:rPr>
        <w:t xml:space="preserve">pemberian </w:t>
      </w:r>
      <w:r w:rsidR="0066055A" w:rsidRPr="00BB1331">
        <w:rPr>
          <w:rFonts w:eastAsia="SimSun"/>
          <w:lang w:val="id-ID"/>
        </w:rPr>
        <w:t xml:space="preserve">infiltrasi levobupivacaine </w:t>
      </w:r>
      <w:r w:rsidR="0066055A">
        <w:rPr>
          <w:rFonts w:eastAsia="SimSun"/>
          <w:lang w:val="id-ID"/>
        </w:rPr>
        <w:t xml:space="preserve">0,5% </w:t>
      </w:r>
      <w:r w:rsidR="0066055A" w:rsidRPr="00BB1331">
        <w:rPr>
          <w:rFonts w:eastAsia="SimSun"/>
          <w:lang w:val="id-ID"/>
        </w:rPr>
        <w:t xml:space="preserve">ke fossa peritonsil sebelum operasi </w:t>
      </w:r>
      <w:r w:rsidR="0066055A">
        <w:rPr>
          <w:rFonts w:eastAsia="SimSun"/>
          <w:lang w:val="id-ID"/>
        </w:rPr>
        <w:t xml:space="preserve">dapat meredakan nyeri </w:t>
      </w:r>
      <w:r w:rsidR="0066055A" w:rsidRPr="00BB1331">
        <w:rPr>
          <w:rFonts w:eastAsia="SimSun"/>
          <w:lang w:val="id-ID"/>
        </w:rPr>
        <w:t>pada 2, 4, 12, dan 24 jam pasca operasi</w:t>
      </w:r>
      <w:r w:rsidR="0066055A">
        <w:rPr>
          <w:rFonts w:eastAsia="SimSun"/>
          <w:lang w:val="id-ID"/>
        </w:rPr>
        <w:t>.</w:t>
      </w:r>
      <w:r w:rsidR="0066055A">
        <w:rPr>
          <w:rFonts w:eastAsia="SimSun"/>
          <w:lang w:val="id-ID"/>
        </w:rPr>
        <w:fldChar w:fldCharType="begin" w:fldLock="1"/>
      </w:r>
      <w:r w:rsidR="0066055A">
        <w:rPr>
          <w:rFonts w:eastAsia="SimSun"/>
          <w:lang w:val="id-ID"/>
        </w:rPr>
        <w:instrText>ADDIN CSL_CITATION {"citationItems":[{"id":"ITEM-1","itemData":{"ISSN":"1781782X","PMID":"25675664","abstract":"PROBLEM/OBJECTIVE: We compared the effects of preincisional peritonsillar infiltration of 5 ml levobupivacaine hydrochloride (50 mg/10 ml) on bleeding during surgery and pain after tonsillectomy in patients aged 16 years or older.\nMETHODOLOGY: The study was conducted in 44 adult patients who underwent tonsillectomy. These patients were randomized to either the study group (SG) who received levobupivacaine infiltration to the peritonsillary fossae prior to surgery, or a control group (CG) treated with 0.9% sodium chloride infiltration to the peritonsillary fossae prior to incision. The volume of intraoperative bleeding was recorded. Pain was evaluated using a visual analogue scale (VAS). The first pain score was assessed immediately after arriving in the postoperative care unit. VAS scores were subsequently re-assessed 2, 4, 8, 12, and 24 hours postoperatively. The first analgesic requirement wa</w:instrText>
      </w:r>
      <w:r w:rsidR="0066055A">
        <w:rPr>
          <w:rFonts w:eastAsia="SimSun" w:hint="eastAsia"/>
          <w:lang w:val="id-ID"/>
        </w:rPr>
        <w:instrText xml:space="preserve">s assessed 24 hours postoperatively.\nRESULTS: The pain relieving effect in the levobupivacaine group was statistically significant 2, 4, 12, and 24 hours postoperatively (p </w:instrText>
      </w:r>
      <w:r w:rsidR="0066055A">
        <w:rPr>
          <w:rFonts w:eastAsia="SimSun" w:hint="eastAsia"/>
          <w:lang w:val="id-ID"/>
        </w:rPr>
        <w:instrText>≤</w:instrText>
      </w:r>
      <w:r w:rsidR="0066055A">
        <w:rPr>
          <w:rFonts w:eastAsia="SimSun" w:hint="eastAsia"/>
          <w:lang w:val="id-ID"/>
        </w:rPr>
        <w:instrText xml:space="preserve"> 0.05), but there was no difference in VAS scores between groups at the first and 8-hour postoperative assessments. There were no differences between the two groups regarding analgesic requirements. The difference between the mean intraoperative blood loss in the SG and CG was statistically significant (p </w:instrText>
      </w:r>
      <w:r w:rsidR="0066055A">
        <w:rPr>
          <w:rFonts w:eastAsia="SimSun" w:hint="eastAsia"/>
          <w:lang w:val="id-ID"/>
        </w:rPr>
        <w:instrText>≤</w:instrText>
      </w:r>
      <w:r w:rsidR="0066055A">
        <w:rPr>
          <w:rFonts w:eastAsia="SimSun" w:hint="eastAsia"/>
          <w:lang w:val="id-ID"/>
        </w:rPr>
        <w:instrText xml:space="preserve"> 0.05). No serious complica</w:instrText>
      </w:r>
      <w:r w:rsidR="0066055A">
        <w:rPr>
          <w:rFonts w:eastAsia="SimSun"/>
          <w:lang w:val="id-ID"/>
        </w:rPr>
        <w:instrText>tions were observed in either group.\nCONCLUSION: Preincisional levobupivacaine infiltration seems to be a safe and easily applied medication for postoperative pain control, and decreased the volume of intraoperative blood loss in adult patients after tonsillectomy.","author":[{"dropping-particle":"","family":"Erdogan","given":"B. A.","non-dropping-particle":"","parse-names":false,"suffix":""},{"dropping-particle":"","family":"Aydin","given":"S.","non-dropping-particle":"","parse-names":false,"suffix":""},{"dropping-particle":"","family":"Paksoy","given":"M.","non-dropping-particle":"","parse-names":false,"suffix":""},{"dropping-particle":"","family":"Sanli","given":"A.","non-dropping-particle":"","parse-names":false,"suffix":""},{"dropping-particle":"","family":"Sevim","given":"S.","non-dropping-particle":"","parse-names":false,"suffix":""}],"container-title":"B-Ent","id":"ITEM-1","issue":"3","issued":{"date-parts":[["2014"]]},"page":"193-197","title":"Efficacy of preincisional levobupivacaine for adult tonsillectomy patients","type":"article-journal","volume":"10"},"uris":["http://www.mendeley.com/documents/?uuid=c8bd2668-449e-4d53-961d-d4d121f00973"]}],"mendeley":{"formattedCitation":"&lt;sup&gt;69&lt;/sup&gt;","plainTextFormattedCitation":"69","previouslyFormattedCitation":"&lt;sup&gt;69&lt;/sup&gt;"},"properties":{"noteIndex":0},"schema":"https://github.com/citation-style-language/schema/raw/master/csl-citation.json"}</w:instrText>
      </w:r>
      <w:r w:rsidR="0066055A">
        <w:rPr>
          <w:rFonts w:eastAsia="SimSun"/>
          <w:lang w:val="id-ID"/>
        </w:rPr>
        <w:fldChar w:fldCharType="separate"/>
      </w:r>
      <w:r w:rsidR="0066055A" w:rsidRPr="0066055A">
        <w:rPr>
          <w:rFonts w:eastAsia="SimSun"/>
          <w:noProof/>
          <w:vertAlign w:val="superscript"/>
          <w:lang w:val="id-ID"/>
        </w:rPr>
        <w:t>69</w:t>
      </w:r>
      <w:r w:rsidR="0066055A">
        <w:rPr>
          <w:rFonts w:eastAsia="SimSun"/>
          <w:lang w:val="id-ID"/>
        </w:rPr>
        <w:fldChar w:fldCharType="end"/>
      </w:r>
    </w:p>
    <w:p w14:paraId="340B85D7" w14:textId="77777777" w:rsidR="00923F4A" w:rsidRDefault="003360E7" w:rsidP="00923F4A">
      <w:pPr>
        <w:spacing w:line="360" w:lineRule="auto"/>
        <w:ind w:firstLine="709"/>
        <w:jc w:val="both"/>
        <w:rPr>
          <w:rFonts w:eastAsiaTheme="minorEastAsia"/>
          <w:lang w:val="id-ID" w:eastAsia="zh-CN"/>
        </w:rPr>
      </w:pPr>
      <w:r w:rsidRPr="00BB1331">
        <w:rPr>
          <w:rFonts w:eastAsia="AdvP4DF60E"/>
          <w:lang w:val="id-ID"/>
        </w:rPr>
        <w:t>Nyeri setelah tonsilektomi dimulai dengan kerusakan jaringan lokal, yang menyebabkan pelepasan zat inflamasi, dan disebabkan oleh rangsangan berbahaya pada serabut C aferen yang terletak di ruang peritonsil. Selain peradangan, iritasi saraf lokal dan kejang otot faring memicu nyeri. Rasa sakitnya tidak hilang sepenuhnya sampai otot ditutupi mukosa setelah operasi. Anestesi lokal dapat menghambat konduksi saraf bila diterapkan pada daerah peritonsil.</w:t>
      </w:r>
      <w:r w:rsidR="00923F4A">
        <w:rPr>
          <w:rFonts w:eastAsia="AdvP4DF60E"/>
          <w:lang w:val="id-ID"/>
        </w:rPr>
        <w:fldChar w:fldCharType="begin" w:fldLock="1"/>
      </w:r>
      <w:r w:rsidR="00923F4A">
        <w:rPr>
          <w:rFonts w:eastAsia="AdvP4DF60E"/>
          <w:lang w:val="id-ID"/>
        </w:rPr>
        <w:instrText>ADDIN CSL_CITATION {"citationItems":[{"id":"ITEM-1","itemData":{"DOI":"10.1016/j.ijporl.2010.11.015","ISSN":"01655876","PMID":"21168923","abstract":"Objectives: To compare the effects of preincisional peritonsillar infiltration of levobupivacaine and bupivacaine on post-tonsillectomy pain in children. Methods: Sixty children undergoing elective tonsillectomy or adenotonsillectomy were randomly allocated into three groups before tonsillectomy: peritonsillar infiltrations with 0.25% levobupivacaine with 1:200,000 epinephrine (group levobupivacaine, n= 20), 0.25% bupivacaine with 1:200,000 epinephrine (group bupivacaine, n= 20), and normal saline (group saline, n= 20) were applied. Pain was evaluated by using a modified Children's Hospital of Eastern Ontario Pain Scale (mCHEOPS). Choice of additional analgesic was acetaminophen for all patients. Results: mCHEOPS values at 0th (immediately) and 30th minute after arrival the PACU were lower in both the local anesthetics groups than the saline group (p&lt; 0.001, p&lt; 0.01 for the group levobupivacaine; p&lt; 0.001, p&lt; 0.05 for the group bupivacaine, respectively). In addition, mCHEOPS values at 1st hour in the ward was lower in the group bupivacaine when compared to the group saline (p&lt; 0.05). Analgesic requirements and the time to first analgesia required, were also significantly different between the local anesthetic and saline groups (p&lt; 0.05 for both local anesthetics groups). Time to first mobilization was shorter in both local anesthetic groups when compared to the saline group (p&lt; 0.05 for both local anesthetic groups). Conclusion: Preincisional peritonsillar infiltration with levobupivacaine or bupivacaine before tonsillectomy, are effective than saline, in reducing early post-tonsillectomy pain, where as bupivacaine had slightly longer effect. Compared to saline, with both anesthetic infiltrations, lesser medication for analgesia is required. The clinical trial registration number (Research Ethics Committee of Medical Faculty, Uludag University): 2008-4/36, 19 February 2008. © 2010 Elsevier Ireland Ltd.","author":[{"dropping-particle":"","family":"Kasapoglu","given":"Fikret","non-dropping-particle":"","parse-names":false,"suffix":""},{"dropping-particle":"","family":"Kaya","given":"Fatma Nur","non-dropping-particle":"","parse-names":false,"suffix":""},{"dropping-particle":"","family":"Tuzemen","given":"Gokhan","non-dropping-particle":"","parse-names":false,"suffix":""},{"dropping-particle":"","family":"Ozmen","given":"Omer Afsin","non-dropping-particle":"","parse-names":false,"suffix":""},{"dropping-particle":"","family":"Kaya","given":"Atila","non-dropping-particle":"","parse-names":false,"suffix":""},{"dropping-particle":"","family":"Onart","given":"Selcuk","non-dropping-particle":"","parse-names":false,"suffix":""}],"container-title":"International Journal of Pediatric Otorhinolaryngology","id":"ITEM-1","issue":"3","issued":{"date-parts":[["2011"]]},"page":"322-326","publisher":"Elsevier Ireland Ltd","title":"Comparison of peritonsillar levobupivacaine and bupivacaine infiltration for post-tonsillectomy pain relief in children: Placebo-controlled clinical study","type":"article-journal","volume":"75"},"uris":["http://www.mendeley.com/documents/?uuid=f0d12eb6-fcb0-4166-964b-b766f03e22ae"]}],"mendeley":{"formattedCitation":"&lt;sup&gt;13&lt;/sup&gt;","plainTextFormattedCitation":"13","previouslyFormattedCitation":"&lt;sup&gt;13&lt;/sup&gt;"},"properties":{"noteIndex":0},"schema":"https://github.com/citation-style-language/schema/raw/master/csl-citation.json"}</w:instrText>
      </w:r>
      <w:r w:rsidR="00923F4A">
        <w:rPr>
          <w:rFonts w:eastAsia="AdvP4DF60E"/>
          <w:lang w:val="id-ID"/>
        </w:rPr>
        <w:fldChar w:fldCharType="separate"/>
      </w:r>
      <w:r w:rsidR="00923F4A" w:rsidRPr="003360E7">
        <w:rPr>
          <w:rFonts w:eastAsia="AdvP4DF60E"/>
          <w:noProof/>
          <w:vertAlign w:val="superscript"/>
          <w:lang w:val="id-ID"/>
        </w:rPr>
        <w:t>13</w:t>
      </w:r>
      <w:r w:rsidR="00923F4A">
        <w:rPr>
          <w:rFonts w:eastAsia="AdvP4DF60E"/>
          <w:lang w:val="id-ID"/>
        </w:rPr>
        <w:fldChar w:fldCharType="end"/>
      </w:r>
      <w:r w:rsidRPr="00BB1331">
        <w:rPr>
          <w:rFonts w:eastAsia="AdvP4DF60E"/>
          <w:lang w:val="id-ID"/>
        </w:rPr>
        <w:t xml:space="preserve"> </w:t>
      </w:r>
      <w:r w:rsidR="00923F4A">
        <w:rPr>
          <w:rFonts w:eastAsiaTheme="minorEastAsia"/>
          <w:lang w:val="id-ID" w:eastAsia="zh-CN"/>
        </w:rPr>
        <w:t>I</w:t>
      </w:r>
      <w:r w:rsidR="00923F4A" w:rsidRPr="00BB1331">
        <w:rPr>
          <w:rFonts w:eastAsiaTheme="minorEastAsia"/>
          <w:lang w:val="id-ID" w:eastAsia="zh-CN"/>
        </w:rPr>
        <w:t>njeksi agen anestesi lokal dapat mengurangi nyeri dengan menghalangi jalur sensorik dan dengan demikian mencegah impuls nosiseptif.</w:t>
      </w:r>
      <w:r w:rsidR="00923F4A">
        <w:rPr>
          <w:rFonts w:eastAsiaTheme="minorEastAsia"/>
          <w:lang w:val="id-ID" w:eastAsia="zh-CN"/>
        </w:rPr>
        <w:fldChar w:fldCharType="begin" w:fldLock="1"/>
      </w:r>
      <w:r w:rsidR="00923F4A">
        <w:rPr>
          <w:rFonts w:eastAsiaTheme="minorEastAsia"/>
          <w:lang w:val="id-ID" w:eastAsia="zh-CN"/>
        </w:rPr>
        <w:instrText>ADDIN CSL_CITATION {"citationItems":[{"id":"ITEM-1","itemData":{"abstract":"OBJECTIVE To compare the effects of bupivacaine, lidocaine and saline injections in alleviating post tonsillectomy pain. METHOD We recruited 60 patients into the study. All subjects were randomly allocated into 3 groups. Group 1 received 0.9% sodium chloride (saline group), group 2 received 0.25% bupivacaine (bupivacaine group) and group 3 received 2% lidocaine (lidocaine group), infiltrated around each tonsil. Pain was evaluated with McGrath's face scale. RESULT The postoperative pain scores at 2 and 6 hours were similar among the groups (P&gt;0.05). The pain scores in the bupivacaine group were lower than those in the saline group at 12 h (P&lt;0.05). The pain scores in the bupivacaine and lidocaine groups were significantly lower than those in the saline group from 18 to 24 hours until day 7 (P&lt;0.05). There was no difference between the bupivacaine and lidocaine groups (P&gt; 0.05). CONCLUSION Local infiltration of bupivacaine is a relatively and safe effective method and is equivalent to use of lidocaine for post tonsillectomy pain.","author":[{"dropping-particle":"","family":"Süay Özmen","given":"MD","non-dropping-particle":"","parse-names":false,"suffix":""},{"dropping-particle":"","family":"Özmen","given":"Ömer Afşin","non-dropping-particle":"","parse-names":false,"suffix":""},{"dropping-particle":"","family":"Kasapoǧlu","given":"Fikret","non-dropping-particle":"","parse-names":false,"suffix":""}],"container-title":"Annals of Otology, Rhinology &amp; Laryngology","id":"ITEM-1","issue":"7","issued":{"date-parts":[["2011"]]},"page":"489-93","title":"Effects of bupivacaine versus bupivacaine infiltration on postoperative analgesia in pediatric tonsillectomy patients.","type":"article-journal","volume":"120"},"uris":["http://www.mendeley.com/documents/?uuid=4c2960d8-1c43-4cd8-84b7-d969c00ae996"]}],"mendeley":{"formattedCitation":"&lt;sup&gt;60&lt;/sup&gt;","plainTextFormattedCitation":"60","previouslyFormattedCitation":"&lt;sup&gt;60&lt;/sup&gt;"},"properties":{"noteIndex":0},"schema":"https://github.com/citation-style-language/schema/raw/master/csl-citation.json"}</w:instrText>
      </w:r>
      <w:r w:rsidR="00923F4A">
        <w:rPr>
          <w:rFonts w:eastAsiaTheme="minorEastAsia"/>
          <w:lang w:val="id-ID" w:eastAsia="zh-CN"/>
        </w:rPr>
        <w:fldChar w:fldCharType="separate"/>
      </w:r>
      <w:r w:rsidR="00923F4A" w:rsidRPr="003360E7">
        <w:rPr>
          <w:rFonts w:eastAsiaTheme="minorEastAsia"/>
          <w:noProof/>
          <w:vertAlign w:val="superscript"/>
          <w:lang w:val="id-ID" w:eastAsia="zh-CN"/>
        </w:rPr>
        <w:t>60</w:t>
      </w:r>
      <w:r w:rsidR="00923F4A">
        <w:rPr>
          <w:rFonts w:eastAsiaTheme="minorEastAsia"/>
          <w:lang w:val="id-ID" w:eastAsia="zh-CN"/>
        </w:rPr>
        <w:fldChar w:fldCharType="end"/>
      </w:r>
      <w:r w:rsidR="00923F4A">
        <w:rPr>
          <w:rFonts w:eastAsiaTheme="minorEastAsia"/>
          <w:lang w:val="id-ID" w:eastAsia="zh-CN"/>
        </w:rPr>
        <w:t xml:space="preserve"> </w:t>
      </w:r>
      <w:r w:rsidRPr="00BB1331">
        <w:rPr>
          <w:rFonts w:eastAsia="AdvP4DF60E"/>
          <w:lang w:val="id-ID"/>
        </w:rPr>
        <w:t xml:space="preserve">Infiltrasi anestesi lokal peritonsil, khususnya </w:t>
      </w:r>
      <w:r>
        <w:rPr>
          <w:rFonts w:eastAsia="AdvP4DF60E"/>
          <w:lang w:val="id-ID"/>
        </w:rPr>
        <w:t>l</w:t>
      </w:r>
      <w:r w:rsidRPr="00BB1331">
        <w:rPr>
          <w:rFonts w:eastAsia="AdvP4DF60E"/>
          <w:lang w:val="id-ID"/>
        </w:rPr>
        <w:t xml:space="preserve">evobupivacaine </w:t>
      </w:r>
      <w:r>
        <w:rPr>
          <w:rFonts w:eastAsia="AdvP4DF60E"/>
          <w:lang w:val="id-ID"/>
        </w:rPr>
        <w:t>merupakan</w:t>
      </w:r>
      <w:r w:rsidRPr="00BB1331">
        <w:rPr>
          <w:rFonts w:eastAsia="AdvP4DF60E"/>
          <w:lang w:val="id-ID"/>
        </w:rPr>
        <w:t xml:space="preserve"> bupivakain baru yang memiliki masa kerja panjang, anestesi lokal tipe tengah, dan dianggap kurang bersifat kardio dan neurotoksik</w:t>
      </w:r>
      <w:r>
        <w:rPr>
          <w:rFonts w:eastAsia="AdvP4DF60E"/>
          <w:lang w:val="id-ID"/>
        </w:rPr>
        <w:t xml:space="preserve"> mampu </w:t>
      </w:r>
      <w:r w:rsidRPr="00BB1331">
        <w:rPr>
          <w:rFonts w:eastAsia="AdvP4DF60E"/>
          <w:lang w:val="id-ID"/>
        </w:rPr>
        <w:t>mengurangi intensitas nyeri pasca operasi.</w:t>
      </w:r>
      <w:r>
        <w:rPr>
          <w:rFonts w:eastAsia="AdvP4DF60E"/>
          <w:lang w:val="id-ID"/>
        </w:rPr>
        <w:fldChar w:fldCharType="begin" w:fldLock="1"/>
      </w:r>
      <w:r>
        <w:rPr>
          <w:rFonts w:eastAsia="AdvP4DF60E"/>
          <w:lang w:val="id-ID"/>
        </w:rPr>
        <w:instrText>ADDIN CSL_CITATION {"citationItems":[{"id":"ITEM-1","itemData":{"DOI":"10.1016/j.ijporl.2010.11.015","ISSN":"01655876","PMID":"21168923","abstract":"Objectives: To compare the effects of preincisional peritonsillar infiltration of levobupivacaine and bupivacaine on post-tonsillectomy pain in children. Methods: Sixty children undergoing elective tonsillectomy or adenotonsillectomy were randomly allocated into three groups before tonsillectomy: peritonsillar infiltrations with 0.25% levobupivacaine with 1:200,000 epinephrine (group levobupivacaine, n= 20), 0.25% bupivacaine with 1:200,000 epinephrine (group bupivacaine, n= 20), and normal saline (group saline, n= 20) were applied. Pain was evaluated by using a modified Children's Hospital of Eastern Ontario Pain Scale (mCHEOPS). Choice of additional analgesic was acetaminophen for all patients. Results: mCHEOPS values at 0th (immediately) and 30th minute after arrival the PACU were lower in both the local anesthetics groups than the saline group (p&lt; 0.001, p&lt; 0.01 for the group levobupivacaine; p&lt; 0.001, p&lt; 0.05 for the group bupivacaine, respectively). In addition, mCHEOPS values at 1st hour in the ward was lower in the group bupivacaine when compared to the group saline (p&lt; 0.05). Analgesic requirements and the time to first analgesia required, were also significantly different between the local anesthetic and saline groups (p&lt; 0.05 for both local anesthetics groups). Time to first mobilization was shorter in both local anesthetic groups when compared to the saline group (p&lt; 0.05 for both local anesthetic groups). Conclusion: Preincisional peritonsillar infiltration with levobupivacaine or bupivacaine before tonsillectomy, are effective than saline, in reducing early post-tonsillectomy pain, where as bupivacaine had slightly longer effect. Compared to saline, with both anesthetic infiltrations, lesser medication for analgesia is required. The clinical trial registration number (Research Ethics Committee of Medical Faculty, Uludag University): 2008-4/36, 19 February 2008. © 2010 Elsevier Ireland Ltd.","author":[{"dropping-particle":"","family":"Kasapoglu","given":"Fikret","non-dropping-particle":"","parse-names":false,"suffix":""},{"dropping-particle":"","family":"Kaya","given":"Fatma Nur","non-dropping-particle":"","parse-names":false,"suffix":""},{"dropping-particle":"","family":"Tuzemen","given":"Gokhan","non-dropping-particle":"","parse-names":false,"suffix":""},{"dropping-particle":"","family":"Ozmen","given":"Omer Afsin","non-dropping-particle":"","parse-names":false,"suffix":""},{"dropping-particle":"","family":"Kaya","given":"Atila","non-dropping-particle":"","parse-names":false,"suffix":""},{"dropping-particle":"","family":"Onart","given":"Selcuk","non-dropping-particle":"","parse-names":false,"suffix":""}],"container-title":"International Journal of Pediatric Otorhinolaryngology","id":"ITEM-1","issue":"3","issued":{"date-parts":[["2011"]]},"page":"322-326","publisher":"Elsevier Ireland Ltd","title":"Comparison of peritonsillar levobupivacaine and bupivacaine infiltration for post-tonsillectomy pain relief in children: Placebo-controlled clinical study","type":"article-journal","volume":"75"},"uris":["http://www.mendeley.com/documents/?uuid=f0d12eb6-fcb0-4166-964b-b766f03e22ae"]}],"mendeley":{"formattedCitation":"&lt;sup&gt;13&lt;/sup&gt;","plainTextFormattedCitation":"13","previouslyFormattedCitation":"&lt;sup&gt;13&lt;/sup&gt;"},"properties":{"noteIndex":0},"schema":"https://github.com/citation-style-language/schema/raw/master/csl-citation.json"}</w:instrText>
      </w:r>
      <w:r>
        <w:rPr>
          <w:rFonts w:eastAsia="AdvP4DF60E"/>
          <w:lang w:val="id-ID"/>
        </w:rPr>
        <w:fldChar w:fldCharType="separate"/>
      </w:r>
      <w:r w:rsidRPr="003360E7">
        <w:rPr>
          <w:rFonts w:eastAsia="AdvP4DF60E"/>
          <w:noProof/>
          <w:vertAlign w:val="superscript"/>
          <w:lang w:val="id-ID"/>
        </w:rPr>
        <w:t>13</w:t>
      </w:r>
      <w:r>
        <w:rPr>
          <w:rFonts w:eastAsia="AdvP4DF60E"/>
          <w:lang w:val="id-ID"/>
        </w:rPr>
        <w:fldChar w:fldCharType="end"/>
      </w:r>
    </w:p>
    <w:p w14:paraId="579A9DEF" w14:textId="77777777" w:rsidR="002313EB" w:rsidRDefault="00C505BD" w:rsidP="002313EB">
      <w:pPr>
        <w:spacing w:line="360" w:lineRule="auto"/>
        <w:ind w:firstLine="709"/>
        <w:jc w:val="both"/>
        <w:rPr>
          <w:rFonts w:eastAsiaTheme="minorEastAsia"/>
          <w:lang w:val="id-ID" w:eastAsia="zh-CN"/>
        </w:rPr>
      </w:pPr>
      <w:r w:rsidRPr="00BB1331">
        <w:rPr>
          <w:rFonts w:eastAsia="DengXian"/>
          <w:lang w:eastAsia="zh-CN"/>
        </w:rPr>
        <w:lastRenderedPageBreak/>
        <w:t>H</w:t>
      </w:r>
      <w:r w:rsidRPr="00BB1331">
        <w:rPr>
          <w:rFonts w:eastAsia="DengXian"/>
          <w:lang w:val="id-ID" w:eastAsia="zh-CN"/>
        </w:rPr>
        <w:t xml:space="preserve">asil penelitian ini menunjukkan bahwa </w:t>
      </w:r>
      <w:r w:rsidRPr="00F426C1">
        <w:rPr>
          <w:lang w:val="id-ID"/>
        </w:rPr>
        <w:t>tidak ada</w:t>
      </w:r>
      <w:r w:rsidRPr="00BB1331">
        <w:rPr>
          <w:lang w:val="id-ID"/>
        </w:rPr>
        <w:t xml:space="preserve"> </w:t>
      </w:r>
      <w:r w:rsidRPr="00F426C1">
        <w:rPr>
          <w:lang w:val="id-ID"/>
        </w:rPr>
        <w:t xml:space="preserve">korelasi antara ukuran tonsil dengan derajat nyeri </w:t>
      </w:r>
      <w:r w:rsidRPr="00BB1331">
        <w:rPr>
          <w:lang w:val="id-ID"/>
        </w:rPr>
        <w:t>p</w:t>
      </w:r>
      <w:r w:rsidRPr="00F426C1">
        <w:rPr>
          <w:lang w:val="id-ID"/>
        </w:rPr>
        <w:t>ascabedah</w:t>
      </w:r>
      <w:r w:rsidRPr="00BB1331">
        <w:rPr>
          <w:lang w:val="id-ID"/>
        </w:rPr>
        <w:t xml:space="preserve"> tonsilektomi baik pada kelompok pasien yang diberi </w:t>
      </w:r>
      <w:r w:rsidRPr="00BB1331">
        <w:t>blok peritonsil</w:t>
      </w:r>
      <w:r w:rsidRPr="00F426C1">
        <w:rPr>
          <w:lang w:val="id-ID"/>
        </w:rPr>
        <w:t>e</w:t>
      </w:r>
      <w:r w:rsidRPr="00BB1331">
        <w:t xml:space="preserve">r </w:t>
      </w:r>
      <w:r w:rsidRPr="00BB1331">
        <w:rPr>
          <w:lang w:val="id-ID"/>
        </w:rPr>
        <w:t>levo</w:t>
      </w:r>
      <w:r w:rsidRPr="00BB1331">
        <w:t>bupiva</w:t>
      </w:r>
      <w:r w:rsidRPr="00BB1331">
        <w:rPr>
          <w:lang w:val="id-ID"/>
        </w:rPr>
        <w:t>ca</w:t>
      </w:r>
      <w:r w:rsidRPr="00BB1331">
        <w:t>ine isobarik 0,125%</w:t>
      </w:r>
      <w:r w:rsidRPr="00BB1331">
        <w:rPr>
          <w:lang w:val="id-ID"/>
        </w:rPr>
        <w:t xml:space="preserve"> maupun kontrol.</w:t>
      </w:r>
      <w:r w:rsidR="002313EB">
        <w:rPr>
          <w:lang w:val="id-ID"/>
        </w:rPr>
        <w:t xml:space="preserve"> Tidak adanya korelasi antara ukuran tonsil dengan nyeri pascabedah tonsilektomi dapat dijelaskan berdasarkan hasil penelitian sebelumnya bahwa ada yang menyatakan bahwa ukuran tonsil yang lebih besar mempunyai intensitas nyeri pasca bedah tonsilektomi yang lebih besar juga namun ada hasil sebaliknya bahwa pada ukuran tonsil yang lebih kecil mempunyai intensitas nyeri pasca bedah tonsilektomi yang lebih besar.</w:t>
      </w:r>
      <w:r w:rsidR="002313EB">
        <w:rPr>
          <w:rFonts w:eastAsiaTheme="minorEastAsia"/>
          <w:lang w:val="id-ID" w:eastAsia="zh-CN"/>
        </w:rPr>
        <w:t xml:space="preserve"> </w:t>
      </w:r>
    </w:p>
    <w:p w14:paraId="5FC3D9E8" w14:textId="109CFA7B" w:rsidR="002313EB" w:rsidRDefault="00923F4A" w:rsidP="002313EB">
      <w:pPr>
        <w:spacing w:line="360" w:lineRule="auto"/>
        <w:ind w:firstLine="709"/>
        <w:jc w:val="both"/>
        <w:rPr>
          <w:rFonts w:eastAsia="DengXian"/>
          <w:lang w:val="id-ID" w:eastAsia="zh-CN"/>
        </w:rPr>
      </w:pPr>
      <w:r>
        <w:rPr>
          <w:rFonts w:eastAsia="SimSun"/>
          <w:lang w:val="id-ID"/>
        </w:rPr>
        <w:t>P</w:t>
      </w:r>
      <w:r w:rsidR="00C505BD" w:rsidRPr="00BB1331">
        <w:rPr>
          <w:rFonts w:eastAsia="SimSun"/>
          <w:lang w:val="id-ID"/>
        </w:rPr>
        <w:t xml:space="preserve">ada </w:t>
      </w:r>
      <w:r>
        <w:rPr>
          <w:rFonts w:eastAsia="SimSun"/>
          <w:lang w:val="id-ID"/>
        </w:rPr>
        <w:t xml:space="preserve">penelitian Celebi </w:t>
      </w:r>
      <w:r w:rsidRPr="00923F4A">
        <w:rPr>
          <w:rFonts w:eastAsia="SimSun"/>
          <w:i/>
          <w:iCs/>
          <w:lang w:val="id-ID"/>
        </w:rPr>
        <w:t>et al</w:t>
      </w:r>
      <w:r>
        <w:rPr>
          <w:rFonts w:eastAsia="SimSun"/>
          <w:lang w:val="id-ID"/>
        </w:rPr>
        <w:t xml:space="preserve">., </w:t>
      </w:r>
      <w:r w:rsidR="00C505BD" w:rsidRPr="00BB1331">
        <w:rPr>
          <w:rFonts w:eastAsia="SimSun"/>
          <w:lang w:val="id-ID"/>
        </w:rPr>
        <w:t xml:space="preserve">ukuran </w:t>
      </w:r>
      <w:r>
        <w:rPr>
          <w:rFonts w:eastAsia="SimSun"/>
          <w:lang w:val="id-ID"/>
        </w:rPr>
        <w:t>tonsil</w:t>
      </w:r>
      <w:r w:rsidR="00C505BD" w:rsidRPr="00BB1331">
        <w:rPr>
          <w:rFonts w:eastAsia="SimSun"/>
          <w:lang w:val="id-ID"/>
        </w:rPr>
        <w:t xml:space="preserve"> </w:t>
      </w:r>
      <w:r>
        <w:rPr>
          <w:rFonts w:eastAsia="SimSun"/>
          <w:lang w:val="id-ID"/>
        </w:rPr>
        <w:t>grade</w:t>
      </w:r>
      <w:r w:rsidR="00C505BD" w:rsidRPr="00BB1331">
        <w:rPr>
          <w:rFonts w:eastAsia="SimSun"/>
          <w:lang w:val="id-ID"/>
        </w:rPr>
        <w:t xml:space="preserve"> 2 </w:t>
      </w:r>
      <w:r>
        <w:rPr>
          <w:rFonts w:eastAsia="SimSun"/>
          <w:lang w:val="id-ID"/>
        </w:rPr>
        <w:t xml:space="preserve">mempunyai </w:t>
      </w:r>
      <w:r w:rsidR="00C505BD" w:rsidRPr="00BB1331">
        <w:rPr>
          <w:rFonts w:eastAsia="SimSun"/>
          <w:lang w:val="id-ID"/>
        </w:rPr>
        <w:t xml:space="preserve">skor nyeri yang diperkirakan pada hari ke 7 pasca operasi ditemukan secara signifikan lebih tinggi dibandingkan dengan kelompok dengan ukuran amandel </w:t>
      </w:r>
      <w:r>
        <w:rPr>
          <w:rFonts w:eastAsia="SimSun"/>
          <w:lang w:val="id-ID"/>
        </w:rPr>
        <w:t>grade</w:t>
      </w:r>
      <w:r w:rsidR="00C505BD" w:rsidRPr="00BB1331">
        <w:rPr>
          <w:rFonts w:eastAsia="SimSun"/>
          <w:lang w:val="id-ID"/>
        </w:rPr>
        <w:t xml:space="preserve"> 3. </w:t>
      </w:r>
      <w:r>
        <w:rPr>
          <w:rFonts w:eastAsia="SimSun"/>
          <w:lang w:val="id-ID"/>
        </w:rPr>
        <w:t>P</w:t>
      </w:r>
      <w:r w:rsidR="00C505BD" w:rsidRPr="00BB1331">
        <w:rPr>
          <w:rFonts w:eastAsia="SimSun"/>
          <w:lang w:val="id-ID"/>
        </w:rPr>
        <w:t xml:space="preserve">ada kasus dengan ukuran tonsil grade 3, intensitas nyeri yang dirasakan lebih ringan pada semua titik pengukuran, hanya pada hari ke 7 pasca operasi terlihat perbedaan yang signifikan secara statistik pada skor nyeri yang mengindikasikan penyembuhan luka. </w:t>
      </w:r>
      <w:r w:rsidR="00C505BD" w:rsidRPr="00BB1331">
        <w:rPr>
          <w:rFonts w:eastAsia="DengXian"/>
          <w:lang w:eastAsia="zh-CN"/>
        </w:rPr>
        <w:t xml:space="preserve">Korelasi terbalik antara ukuran </w:t>
      </w:r>
      <w:r>
        <w:rPr>
          <w:rFonts w:eastAsia="DengXian"/>
          <w:lang w:val="id-ID" w:eastAsia="zh-CN"/>
        </w:rPr>
        <w:t>tonsil</w:t>
      </w:r>
      <w:r w:rsidR="00C505BD" w:rsidRPr="00BB1331">
        <w:rPr>
          <w:rFonts w:eastAsia="DengXian"/>
          <w:lang w:eastAsia="zh-CN"/>
        </w:rPr>
        <w:t xml:space="preserve"> yang lebih kecil dan </w:t>
      </w:r>
      <w:r>
        <w:rPr>
          <w:rFonts w:eastAsia="DengXian"/>
          <w:lang w:val="id-ID" w:eastAsia="zh-CN"/>
        </w:rPr>
        <w:t>tingkat</w:t>
      </w:r>
      <w:r w:rsidR="00C505BD" w:rsidRPr="00BB1331">
        <w:rPr>
          <w:rFonts w:eastAsia="DengXian"/>
          <w:lang w:eastAsia="zh-CN"/>
        </w:rPr>
        <w:t xml:space="preserve"> </w:t>
      </w:r>
      <w:r>
        <w:rPr>
          <w:rFonts w:eastAsia="DengXian"/>
          <w:lang w:val="id-ID" w:eastAsia="zh-CN"/>
        </w:rPr>
        <w:t>nyeri</w:t>
      </w:r>
      <w:r w:rsidR="00C505BD" w:rsidRPr="00BB1331">
        <w:rPr>
          <w:rFonts w:eastAsia="DengXian"/>
          <w:lang w:eastAsia="zh-CN"/>
        </w:rPr>
        <w:t xml:space="preserve"> yang lebih </w:t>
      </w:r>
      <w:r>
        <w:rPr>
          <w:rFonts w:eastAsia="DengXian"/>
          <w:lang w:val="id-ID" w:eastAsia="zh-CN"/>
        </w:rPr>
        <w:t>besar</w:t>
      </w:r>
      <w:r w:rsidR="00C505BD" w:rsidRPr="00BB1331">
        <w:rPr>
          <w:rFonts w:eastAsia="DengXian"/>
          <w:lang w:eastAsia="zh-CN"/>
        </w:rPr>
        <w:t xml:space="preserve"> dapat dijelaskan oleh peningkatan kerusakan otot dan saraf yang terjadi selama diseksi terutama tonsilitis adhesif dan atrofi. </w:t>
      </w:r>
      <w:r>
        <w:rPr>
          <w:rFonts w:eastAsia="DengXian"/>
          <w:lang w:val="id-ID" w:eastAsia="zh-CN"/>
        </w:rPr>
        <w:t>P</w:t>
      </w:r>
      <w:r w:rsidR="00C505BD" w:rsidRPr="00BB1331">
        <w:rPr>
          <w:rFonts w:eastAsia="DengXian"/>
          <w:lang w:eastAsia="zh-CN"/>
        </w:rPr>
        <w:t>enelitian melaporkan bahwa kerusakan pada kapsul amandel dan otot faring meningkatkan nyeri pasca operasi dan juga menunda proses penyembuhan.</w:t>
      </w:r>
      <w:r>
        <w:rPr>
          <w:rFonts w:eastAsia="DengXian"/>
          <w:lang w:eastAsia="zh-CN"/>
        </w:rPr>
        <w:fldChar w:fldCharType="begin" w:fldLock="1"/>
      </w:r>
      <w:r w:rsidR="0066055A">
        <w:rPr>
          <w:rFonts w:eastAsia="DengXian"/>
          <w:lang w:eastAsia="zh-CN"/>
        </w:rPr>
        <w:instrText>ADDIN CSL_CITATION {"citationItems":[{"id":"ITEM-1","itemData":{"DOI":"10.2399/jmu.2013001005","ISSN":"21463840","abstract":"Objective: This study is performed to compare thermal welding tonsillectomy (TWT) technique versus cold knife tonsillectomy (CKT) technique under consideration of postoperative pain, intraoperative bleeding, operation time, and tonsil size. Methods: One hundred and three patients underwent tonsillectomy aged between 5 and 39 years were included into the study. Tonsil sizes were classified with Brodsky's tonsil scale system ranging from 0-4. Duration of the operation and the amount of bleeding were recorded. Postoperative pain was evaluated via visual analogue scale and face pain scale on the 1st, 3rd, 7th and 14th postoperative days. Results: Mean operative time was lower in TWT group than CKT group (p&lt;0.01). Mean pain score on 1st, 3rd, 7th postoperative days was significantly higher in CKT than in TWT group (p&lt;0.01). Mean pain score on the 7th postoperative day in CKT group of patients with tonsil size 1 and 2 was significantly higher than the patients with tonsil size of 3 (p&lt;0.01). Mean pain score on the 3rd, 7 th and 14 th postoperative days in TWT group of patients with tonsil size 1 and 2 was significantly higher than the patients with tonsil size of 3 (p&lt;0.01). The average amount of bleeding in CKT group was significantly higher than in TWT group (p&lt;0.01). There were no significant differences on the average amount of bleeding obtained in both group according to the size of tonsils(p&gt;0.05). Conclusion: In the present study, it was concluded that the tonsil size does not affect the amount of intraoperative bleeding however increase in the tonsil size decreases the postoperative pain.","author":[{"dropping-particle":"","family":"Çelebi","given":"Şaban","non-dropping-particle":"","parse-names":false,"suffix":""}],"container-title":"Journal of Medical Updates","id":"ITEM-1","issue":"1","issued":{"date-parts":[["2013"]]},"page":"13-18","title":"Multiparametric comparison of thermal welding versus cold knife tonsillectomy with tonsil size","type":"article-journal","volume":"3"},"uris":["http://www.mendeley.com/documents/?uuid=78529951-d275-417f-9969-7fa358b74534"]}],"mendeley":{"formattedCitation":"&lt;sup&gt;70&lt;/sup&gt;","plainTextFormattedCitation":"70","previouslyFormattedCitation":"&lt;sup&gt;70&lt;/sup&gt;"},"properties":{"noteIndex":0},"schema":"https://github.com/citation-style-language/schema/raw/master/csl-citation.json"}</w:instrText>
      </w:r>
      <w:r>
        <w:rPr>
          <w:rFonts w:eastAsia="DengXian"/>
          <w:lang w:eastAsia="zh-CN"/>
        </w:rPr>
        <w:fldChar w:fldCharType="separate"/>
      </w:r>
      <w:r w:rsidR="0066055A" w:rsidRPr="0066055A">
        <w:rPr>
          <w:rFonts w:eastAsia="DengXian"/>
          <w:noProof/>
          <w:vertAlign w:val="superscript"/>
          <w:lang w:eastAsia="zh-CN"/>
        </w:rPr>
        <w:t>70</w:t>
      </w:r>
      <w:r>
        <w:rPr>
          <w:rFonts w:eastAsia="DengXian"/>
          <w:lang w:eastAsia="zh-CN"/>
        </w:rPr>
        <w:fldChar w:fldCharType="end"/>
      </w:r>
      <w:r w:rsidR="002313EB">
        <w:rPr>
          <w:rFonts w:eastAsiaTheme="minorEastAsia"/>
          <w:lang w:val="id-ID" w:eastAsia="zh-CN"/>
        </w:rPr>
        <w:t xml:space="preserve"> </w:t>
      </w:r>
      <w:r w:rsidR="002313EB">
        <w:rPr>
          <w:rFonts w:eastAsia="DengXian"/>
          <w:lang w:val="id-ID" w:eastAsia="zh-CN"/>
        </w:rPr>
        <w:t>Namun penelitian lain melaporkan hasil sebaliknya bahwa j</w:t>
      </w:r>
      <w:r w:rsidR="00C505BD" w:rsidRPr="00BB1331">
        <w:rPr>
          <w:rFonts w:eastAsia="DengXian"/>
          <w:lang w:val="id-ID" w:eastAsia="zh-CN"/>
        </w:rPr>
        <w:t>aringan amandel bersifat limfoid, dan oleh karena itu berperan penting dalam respons terhadap infeksi. Selama infeksi akut, terjadi reaksi inflamasi yang intens, dengan vasodilatasi, kebocoran kapiler, dan ekstravasasi mediator inflamasi, yang menyebabkan pembengkakan akut pada tonsil dan pengendapan jaringan fibrosa. Setelah infeksi akut, reaksi fibrotik yang dihasilkan dapat diserap kembali sepenuhnya, atau dapat terbentuk menjadi jaringan parut, sehingga meskipun ukuran amandel kembali mengecil, amandel tidak dapat kembali ke ukuran aslinya. Setelah serangan akut yang berulang, amandel dapat tetap membesar, meskipun tidak terinfeksi</w:t>
      </w:r>
      <w:r w:rsidR="002313EB">
        <w:rPr>
          <w:rFonts w:eastAsia="DengXian"/>
          <w:lang w:val="id-ID" w:eastAsia="zh-CN"/>
        </w:rPr>
        <w:t xml:space="preserve"> </w:t>
      </w:r>
      <w:r w:rsidR="00C505BD" w:rsidRPr="00BB1331">
        <w:rPr>
          <w:rFonts w:eastAsia="DengXian"/>
          <w:lang w:val="id-ID" w:eastAsia="zh-CN"/>
        </w:rPr>
        <w:t xml:space="preserve">yang menyebabkan amandel pasien dengan tonsilitis akut berulang menjadi lebih besar dibandingkan pasien tanpa tonsilitis akut berulang. </w:t>
      </w:r>
      <w:r w:rsidR="002313EB">
        <w:rPr>
          <w:rFonts w:eastAsia="DengXian"/>
          <w:lang w:val="id-ID" w:eastAsia="zh-CN"/>
        </w:rPr>
        <w:t>P</w:t>
      </w:r>
      <w:r w:rsidR="00C505BD" w:rsidRPr="00BB1331">
        <w:rPr>
          <w:rFonts w:eastAsia="DengXian"/>
          <w:lang w:val="id-ID" w:eastAsia="zh-CN"/>
        </w:rPr>
        <w:t>asien dengan tonsil besar lebih sering mengalami tonsilitis dan mengeluh nyeri pasca operasi yang lebih parah dibandingkan pasien dengan tonsil kecil.</w:t>
      </w:r>
      <w:r w:rsidR="002313EB">
        <w:rPr>
          <w:rFonts w:eastAsia="DengXian"/>
          <w:lang w:val="id-ID" w:eastAsia="zh-CN"/>
        </w:rPr>
        <w:fldChar w:fldCharType="begin" w:fldLock="1"/>
      </w:r>
      <w:r w:rsidR="0066055A">
        <w:rPr>
          <w:rFonts w:eastAsia="DengXian"/>
          <w:lang w:val="id-ID" w:eastAsia="zh-CN"/>
        </w:rPr>
        <w:instrText>ADDIN CSL_CITATION {"citationItems":[{"id":"ITEM-1","itemData":{"DOI":"10.1016/j.anl.2017.07.018","ISSN":"18791476","PMID":"28890114","abstract":"Objective: The aim of this study was to determine the natural course of pain after tonsillectomy. Methods: This study included 119 patients that underwent tonsillectomy between November 2013 and November 2015. After undergoing tonsillectomy, patients scored their pain using the visual analogue scale three times daily (morning, midday, and evening) for 2 weeks. A linear mixed model was used for statistical analyses. Results: Increasing postoperative days was negatively associated with pain following tonsillectomy surgery (estimated value [EV] of visual analogue score [VAS]/day = −0.42, 95% confidence interval [CI] = −0.43 to −0.41, P &lt; 0.001); the post-tonsillectomy pain curve illustrated this negative correlation. Postoperative pain was less in children and adolescents (</w:instrText>
      </w:r>
      <w:r w:rsidR="0066055A">
        <w:rPr>
          <w:rFonts w:eastAsia="DengXian" w:hint="eastAsia"/>
          <w:lang w:val="id-ID" w:eastAsia="zh-CN"/>
        </w:rPr>
        <w:instrText>≤</w:instrText>
      </w:r>
      <w:r w:rsidR="0066055A">
        <w:rPr>
          <w:rFonts w:eastAsia="DengXian"/>
          <w:lang w:val="id-ID" w:eastAsia="zh-CN"/>
        </w:rPr>
        <w:instrText>18 years old) than in adults (&gt;18 years old) (EV = −0.81, 95% CI = −1.56 to −0.08, P = 0.031). Mean tonsillectomy-associated pain on postoperative day 1 was 6.4 VAS. It decreased slightly to 5.3 VAS until postoperative day 7, after which it reduced sharply to 3.7 VAS within 3 days; on postoperative day 14 it had decreased to 1.6 VAS. Pain assessments were higher in the morning (EV = 0.59, 95% CI = 0.50 to 0.69, P &lt; 0.001) compared with assessments conducted in the evening. Conclusion: The natural course of postoperative tonsillectomy pain follows a gradual decline for 1 week after surgery, but decreases more rapidly after this period.","author":[{"dropping-particle":"","family":"Kim","given":"Min Su","non-dropping-particle":"","parse-names":false,"suffix":""},{"dropping-particle":"","family":"Choi","given":"Hyo Geun","non-dropping-particle":"","parse-names":false,"suffix":""},{"dropping-particle":"","family":"Park","given":"Eun Kyu","non-dropping-particle":"","parse-names":false,"suffix":""},{"dropping-particle":"","family":"Kim","given":"So Young","non-dropping-particle":"","parse-names":false,"suffix":""},{"dropping-particle":"","family":"Kim","given":"Jin Hwan","non-dropping-particle":"","parse-names":false,"suffix":""},{"dropping-particle":"","family":"Park","given":"Bumjung","non-dropping-particle":"","parse-names":false,"suffix":""}],"container-title":"Auris Nasus Larynx","id":"ITEM-1","issue":"3","issued":{"date-parts":[["2018"]]},"page":"508-513","publisher":"Elsevier Ireland Ltd","title":"Natural course of tonsillectomy pain: A prospective patient cohort study","type":"article-journal","volume":"45"},"uris":["http://www.mendeley.com/documents/?uuid=16398bd2-8f94-4fa7-94c7-da4a062e8e3d"]}],"mendeley":{"formattedCitation":"&lt;sup&gt;71&lt;/sup&gt;","plainTextFormattedCitation":"71","previouslyFormattedCitation":"&lt;sup&gt;71&lt;/sup&gt;"},"properties":{"noteIndex":0},"schema":"https://github.com/citation-style-language/schema/raw/master/csl-citation.json"}</w:instrText>
      </w:r>
      <w:r w:rsidR="002313EB">
        <w:rPr>
          <w:rFonts w:eastAsia="DengXian"/>
          <w:lang w:val="id-ID" w:eastAsia="zh-CN"/>
        </w:rPr>
        <w:fldChar w:fldCharType="separate"/>
      </w:r>
      <w:r w:rsidR="0066055A" w:rsidRPr="0066055A">
        <w:rPr>
          <w:rFonts w:eastAsia="DengXian"/>
          <w:noProof/>
          <w:vertAlign w:val="superscript"/>
          <w:lang w:val="id-ID" w:eastAsia="zh-CN"/>
        </w:rPr>
        <w:t>71</w:t>
      </w:r>
      <w:r w:rsidR="002313EB">
        <w:rPr>
          <w:rFonts w:eastAsia="DengXian"/>
          <w:lang w:val="id-ID" w:eastAsia="zh-CN"/>
        </w:rPr>
        <w:fldChar w:fldCharType="end"/>
      </w:r>
    </w:p>
    <w:p w14:paraId="6BF00BD0" w14:textId="20E94119" w:rsidR="0035446B" w:rsidRPr="0035446B" w:rsidRDefault="002313EB" w:rsidP="0035446B">
      <w:pPr>
        <w:spacing w:line="360" w:lineRule="auto"/>
        <w:ind w:firstLine="709"/>
        <w:jc w:val="both"/>
        <w:rPr>
          <w:lang w:val="id-ID"/>
        </w:rPr>
      </w:pPr>
      <w:r>
        <w:rPr>
          <w:rFonts w:eastAsia="DengXian"/>
          <w:lang w:val="id-ID" w:eastAsia="zh-CN"/>
        </w:rPr>
        <w:t xml:space="preserve">Penelitian ini juga dilakukan pengukuran </w:t>
      </w:r>
      <w:r w:rsidRPr="00BB1331">
        <w:t>waktu intake oral yakni sejak pindah dari ruang PACU hingga intake oral pertama pasca bedah</w:t>
      </w:r>
      <w:r w:rsidRPr="00BB1331">
        <w:rPr>
          <w:lang w:val="id-ID"/>
        </w:rPr>
        <w:t xml:space="preserve"> dengan hasil bahwa</w:t>
      </w:r>
      <w:r w:rsidRPr="00BB1331">
        <w:t xml:space="preserve"> </w:t>
      </w:r>
      <w:r w:rsidR="00F434BA">
        <w:rPr>
          <w:lang w:val="id-ID"/>
        </w:rPr>
        <w:t xml:space="preserve">pemberian </w:t>
      </w:r>
      <w:r w:rsidR="00F434BA" w:rsidRPr="00BB1331">
        <w:t>blok peritonsil</w:t>
      </w:r>
      <w:r w:rsidR="00F434BA" w:rsidRPr="00F426C1">
        <w:rPr>
          <w:lang w:val="id-ID"/>
        </w:rPr>
        <w:t>e</w:t>
      </w:r>
      <w:r w:rsidR="00F434BA" w:rsidRPr="00BB1331">
        <w:t xml:space="preserve">r </w:t>
      </w:r>
      <w:r w:rsidR="00F434BA" w:rsidRPr="00BB1331">
        <w:rPr>
          <w:lang w:val="id-ID"/>
        </w:rPr>
        <w:t>levo</w:t>
      </w:r>
      <w:r w:rsidR="00F434BA" w:rsidRPr="00BB1331">
        <w:t>bupiva</w:t>
      </w:r>
      <w:r w:rsidR="00F434BA" w:rsidRPr="00BB1331">
        <w:rPr>
          <w:lang w:val="id-ID"/>
        </w:rPr>
        <w:t>ca</w:t>
      </w:r>
      <w:r w:rsidR="00F434BA" w:rsidRPr="00BB1331">
        <w:t>ine isobarik 0,125%</w:t>
      </w:r>
      <w:r w:rsidR="00F434BA">
        <w:rPr>
          <w:lang w:val="id-ID"/>
        </w:rPr>
        <w:t xml:space="preserve"> mempunyai</w:t>
      </w:r>
      <w:r w:rsidRPr="00BB1331">
        <w:rPr>
          <w:lang w:val="id-ID"/>
        </w:rPr>
        <w:t xml:space="preserve"> </w:t>
      </w:r>
      <w:r w:rsidRPr="00BB1331">
        <w:t xml:space="preserve">waktu intake oral </w:t>
      </w:r>
      <w:r w:rsidR="00F434BA">
        <w:rPr>
          <w:lang w:val="id-ID"/>
        </w:rPr>
        <w:t xml:space="preserve">yang secara signifikan lebih pendek </w:t>
      </w:r>
      <w:r w:rsidR="0066055A">
        <w:rPr>
          <w:lang w:val="id-ID"/>
        </w:rPr>
        <w:t xml:space="preserve">sekitar 4 jam pascabedah </w:t>
      </w:r>
      <w:r w:rsidR="00F434BA">
        <w:rPr>
          <w:lang w:val="id-ID"/>
        </w:rPr>
        <w:t>dibandingkan kontrol</w:t>
      </w:r>
      <w:r w:rsidR="0066055A">
        <w:rPr>
          <w:lang w:val="id-ID"/>
        </w:rPr>
        <w:t xml:space="preserve"> sekitar 6 jam pacabedah</w:t>
      </w:r>
      <w:r w:rsidR="00F434BA">
        <w:rPr>
          <w:lang w:val="id-ID"/>
        </w:rPr>
        <w:t>.</w:t>
      </w:r>
      <w:r w:rsidR="0066055A">
        <w:rPr>
          <w:lang w:val="id-ID"/>
        </w:rPr>
        <w:t xml:space="preserve"> Pada penelitian Cicekci </w:t>
      </w:r>
      <w:r w:rsidR="0066055A" w:rsidRPr="0066055A">
        <w:rPr>
          <w:i/>
          <w:iCs/>
          <w:lang w:val="id-ID"/>
        </w:rPr>
        <w:t>et al</w:t>
      </w:r>
      <w:r w:rsidR="0066055A">
        <w:rPr>
          <w:lang w:val="id-ID"/>
        </w:rPr>
        <w:t xml:space="preserve">. memberikan waktu pemberian oral yang lebih cepat pada penelitian ini, </w:t>
      </w:r>
      <w:r w:rsidR="0066055A">
        <w:rPr>
          <w:rFonts w:eastAsia="SimSun"/>
          <w:lang w:val="id-ID"/>
        </w:rPr>
        <w:t xml:space="preserve">pemberian </w:t>
      </w:r>
      <w:r w:rsidR="0066055A" w:rsidRPr="00BB1331">
        <w:rPr>
          <w:rFonts w:eastAsia="SimSun"/>
          <w:lang w:val="id-ID"/>
        </w:rPr>
        <w:t xml:space="preserve">infiltrasi levobupivacaine </w:t>
      </w:r>
      <w:r w:rsidR="0066055A">
        <w:rPr>
          <w:rFonts w:eastAsia="SimSun"/>
          <w:lang w:val="id-ID"/>
        </w:rPr>
        <w:t xml:space="preserve">0,5% </w:t>
      </w:r>
      <w:r w:rsidR="0066055A" w:rsidRPr="00BB1331">
        <w:rPr>
          <w:rFonts w:eastAsia="SimSun"/>
          <w:lang w:val="id-ID"/>
        </w:rPr>
        <w:t>ke fossa peritonsil sebelum operasi, asupan oral dimulai pada akhir jam pertama pasca operasi dan terus berlanjut hingga 24 jam pasca operasi.</w:t>
      </w:r>
      <w:r w:rsidR="0066055A">
        <w:rPr>
          <w:rFonts w:eastAsia="DengXian"/>
          <w:lang w:val="id-ID" w:eastAsia="zh-CN"/>
        </w:rPr>
        <w:fldChar w:fldCharType="begin" w:fldLock="1"/>
      </w:r>
      <w:r w:rsidR="0066055A">
        <w:rPr>
          <w:rFonts w:eastAsia="DengXian"/>
          <w:lang w:val="id-ID" w:eastAsia="zh-CN"/>
        </w:rPr>
        <w:instrText>ADDIN CSL_CITATION {"citationItems":[{"id":"ITEM-1","itemData":{"DOI":"10.1155/2017/8431823","ISSN":"12036765","PMID":"28912639","abstract":"Objectives. We aimed to assess the effects of levobupivacaine and of levobupivacaine + adrenaline administered during pediatric tonsillectomy on the postoperative period. Methods. A total of 90 patients between the ages of five and twelve were divided randomly into two groups before tonsillectomy: Levobupivacaine only (0.5%) 0.4 mg·kg-1 or levobupivacaine (0.5%) 0.4 mg·kg-1 + adrenaline (1: 200.000) administered by means of peritonsillar infiltration. Primary outcomes were postoperative pain scores recorded at various intervals until 24 hours postoperatively. Secondary outcomes included postoperative nausea and vomiting (PONV), time to first oral intake, time to the first administration of analgesics and total consumption of analgesics, and the amount of bleeding for all children. Results. In both groups, patients had the same postoperative pain scores and PONV rates, and equal amounts of analgesics were consumed up to 24 hours postoperatively. The two groups also had the same time until first oral intake, recovery time and time to the first analgesic request, and amount of bleeding. Conclusions. Perioperative levobupivacaine infiltration on its own is a valid alternative to the combination of levobupivacaine + adrenaline for perioperative and postoperative effectiveness in pediatric tonsillectomy. This trial is registered with Australian New Zealand Clinical Trial Registry ACTRN: ACTRN12617001167358.","author":[{"dropping-particle":"","family":"Cicekci","given":"Faruk","non-dropping-particle":"","parse-names":false,"suffix":""},{"dropping-particle":"","family":"Sizer","given":"Cigdem","non-dropping-particle":"","parse-names":false,"suffix":""},{"dropping-particle":"","family":"Atici","given":"Sait Selcuk","non-dropping-particle":"","parse-names":false,"suffix":""},{"dropping-particle":"","family":"Arican","given":"Sule","non-dropping-particle":"","parse-names":false,"suffix":""},{"dropping-particle":"","family":"Karaibrahimoglu","given":"Adnan","non-dropping-particle":"","parse-names":false,"suffix":""},{"dropping-particle":"","family":"Kara","given":"Inci","non-dropping-particle":"","parse-names":false,"suffix":""}],"container-title":"Pain Research and Management","id":"ITEM-1","issue":"d","issued":{"date-parts":[["2017"]]},"title":"Comparison of the Perioperative and Postoperative Effects of Levobupivacaine and of Levobupivacaine + Adrenaline in Pediatric Tonsillectomy: A Double-Blind Randomized Study","type":"article-journal","volume":"2017"},"uris":["http://www.mendeley.com/documents/?uuid=6d72a6e7-59c9-47bd-aa75-520951e0741a"]}],"mendeley":{"formattedCitation":"&lt;sup&gt;72&lt;/sup&gt;","plainTextFormattedCitation":"72","previouslyFormattedCitation":"&lt;sup&gt;72&lt;/sup&gt;"},"properties":{"noteIndex":0},"schema":"https://github.com/citation-style-language/schema/raw/master/csl-citation.json"}</w:instrText>
      </w:r>
      <w:r w:rsidR="0066055A">
        <w:rPr>
          <w:rFonts w:eastAsia="DengXian"/>
          <w:lang w:val="id-ID" w:eastAsia="zh-CN"/>
        </w:rPr>
        <w:fldChar w:fldCharType="separate"/>
      </w:r>
      <w:r w:rsidR="0066055A" w:rsidRPr="001C6031">
        <w:rPr>
          <w:rFonts w:eastAsia="DengXian"/>
          <w:noProof/>
          <w:vertAlign w:val="superscript"/>
          <w:lang w:val="id-ID" w:eastAsia="zh-CN"/>
        </w:rPr>
        <w:t>72</w:t>
      </w:r>
      <w:r w:rsidR="0066055A">
        <w:rPr>
          <w:rFonts w:eastAsia="DengXian"/>
          <w:lang w:val="id-ID" w:eastAsia="zh-CN"/>
        </w:rPr>
        <w:fldChar w:fldCharType="end"/>
      </w:r>
      <w:r w:rsidR="0066055A" w:rsidRPr="00BB1331">
        <w:rPr>
          <w:rFonts w:eastAsia="SimSun"/>
          <w:lang w:val="id-ID"/>
        </w:rPr>
        <w:t xml:space="preserve"> </w:t>
      </w:r>
      <w:r w:rsidR="00B72399">
        <w:rPr>
          <w:rFonts w:eastAsia="SimSun"/>
          <w:lang w:val="id-ID"/>
        </w:rPr>
        <w:t xml:space="preserve">Hasil ini </w:t>
      </w:r>
      <w:r w:rsidR="00B72399">
        <w:rPr>
          <w:rFonts w:eastAsia="SimSun"/>
          <w:lang w:val="id-ID"/>
        </w:rPr>
        <w:lastRenderedPageBreak/>
        <w:t xml:space="preserve">karena penelitian tersebut menggunakan </w:t>
      </w:r>
      <w:r w:rsidR="00B72399" w:rsidRPr="00BB1331">
        <w:rPr>
          <w:lang w:val="id-ID"/>
        </w:rPr>
        <w:t>levo</w:t>
      </w:r>
      <w:r w:rsidR="00B72399" w:rsidRPr="00BB1331">
        <w:t>bupiva</w:t>
      </w:r>
      <w:r w:rsidR="00B72399" w:rsidRPr="00BB1331">
        <w:rPr>
          <w:lang w:val="id-ID"/>
        </w:rPr>
        <w:t>ca</w:t>
      </w:r>
      <w:r w:rsidR="00B72399" w:rsidRPr="00BB1331">
        <w:t>ine</w:t>
      </w:r>
      <w:r w:rsidR="00B72399">
        <w:rPr>
          <w:lang w:val="id-ID"/>
        </w:rPr>
        <w:t xml:space="preserve"> dengan konsentrasi yang lebih tinggi dibandingkan penelitian ini sehingga dimungkinkan memberikan efikasi yang lebih tinggi terkait penurunan nyeri yang dampaknya terhadap lebih cepatnya pemberian intake oral.</w:t>
      </w:r>
    </w:p>
    <w:p w14:paraId="2705051F" w14:textId="3C48AA6B" w:rsidR="00923F4A" w:rsidRPr="00B72399" w:rsidRDefault="00F434BA" w:rsidP="00B72399">
      <w:pPr>
        <w:spacing w:line="360" w:lineRule="auto"/>
        <w:ind w:firstLine="709"/>
        <w:jc w:val="both"/>
        <w:rPr>
          <w:rFonts w:eastAsiaTheme="minorEastAsia"/>
          <w:lang w:val="id-ID" w:eastAsia="zh-CN"/>
        </w:rPr>
      </w:pPr>
      <w:r>
        <w:rPr>
          <w:rFonts w:eastAsia="DengXian"/>
          <w:lang w:val="id-ID" w:eastAsia="zh-CN"/>
        </w:rPr>
        <w:t>P</w:t>
      </w:r>
      <w:r w:rsidR="00C505BD" w:rsidRPr="00BB1331">
        <w:rPr>
          <w:rFonts w:eastAsia="DengXian"/>
          <w:lang w:val="id-ID" w:eastAsia="zh-CN"/>
        </w:rPr>
        <w:t xml:space="preserve">rosedur pembedahan </w:t>
      </w:r>
      <w:r w:rsidR="0035446B">
        <w:rPr>
          <w:rFonts w:eastAsia="DengXian"/>
          <w:lang w:val="id-ID" w:eastAsia="zh-CN"/>
        </w:rPr>
        <w:t xml:space="preserve">tonsilektomi </w:t>
      </w:r>
      <w:r w:rsidR="00C505BD" w:rsidRPr="00BB1331">
        <w:rPr>
          <w:rFonts w:eastAsia="DengXian"/>
          <w:lang w:val="id-ID" w:eastAsia="zh-CN"/>
        </w:rPr>
        <w:t>menyebabkan trauma pada orofaring, yang diikuti dengan nyeri pasca operasi. Nyeri yang tidak dapat dihindari setelah tonsilektomi dapat mengurangi asupan oral</w:t>
      </w:r>
      <w:r>
        <w:rPr>
          <w:rFonts w:eastAsia="DengXian"/>
          <w:lang w:val="id-ID" w:eastAsia="zh-CN"/>
        </w:rPr>
        <w:t>.</w:t>
      </w:r>
      <w:r>
        <w:rPr>
          <w:rFonts w:eastAsia="DengXian"/>
          <w:lang w:val="id-ID" w:eastAsia="zh-CN"/>
        </w:rPr>
        <w:fldChar w:fldCharType="begin" w:fldLock="1"/>
      </w:r>
      <w:r w:rsidR="0066055A">
        <w:rPr>
          <w:rFonts w:eastAsia="DengXian"/>
          <w:lang w:val="id-ID" w:eastAsia="zh-CN"/>
        </w:rPr>
        <w:instrText>ADDIN CSL_CITATION {"citationItems":[{"id":"ITEM-1","itemData":{"DOI":"10.1016/j.anl.2017.07.018","ISSN":"18791476","PMID":"28890114","abstract":"Objective: The aim of this study was to determine the natural course of pain after tonsillectomy. Methods: This study included 119 patients that underwent tonsillectomy between November 2013 and November 2015. After undergoing tonsillectomy, patients scored their pain using the visual analogue scale three times daily (morning, midday, and evening) for 2 weeks. A linear mixed model was used for statistical analyses. Results: Increasing postoperative days was negatively associated with pain following tonsillectomy surgery (estimated value [EV] of visual analogue score [VAS]/day = −0.42, 95% confidence interval [CI] = −0.43 to −0.41, P &lt; 0.001); the post-tonsillectomy pain curve illustrated this negative correlation. Postoperative pain was less in children and adolescents (</w:instrText>
      </w:r>
      <w:r w:rsidR="0066055A">
        <w:rPr>
          <w:rFonts w:eastAsia="DengXian" w:hint="eastAsia"/>
          <w:lang w:val="id-ID" w:eastAsia="zh-CN"/>
        </w:rPr>
        <w:instrText>≤</w:instrText>
      </w:r>
      <w:r w:rsidR="0066055A">
        <w:rPr>
          <w:rFonts w:eastAsia="DengXian"/>
          <w:lang w:val="id-ID" w:eastAsia="zh-CN"/>
        </w:rPr>
        <w:instrText>18 years old) than in adults (&gt;18 years old) (EV = −0.81, 95% CI = −1.56 to −0.08, P = 0.031). Mean tonsillectomy-associated pain on postoperative day 1 was 6.4 VAS. It decreased slightly to 5.3 VAS until postoperative day 7, after which it reduced sharply to 3.7 VAS within 3 days; on postoperative day 14 it had decreased to 1.6 VAS. Pain assessments were higher in the morning (EV = 0.59, 95% CI = 0.50 to 0.69, P &lt; 0.001) compared with assessments conducted in the evening. Conclusion: The natural course of postoperative tonsillectomy pain follows a gradual decline for 1 week after surgery, but decreases more rapidly after this period.","author":[{"dropping-particle":"","family":"Kim","given":"Min Su","non-dropping-particle":"","parse-names":false,"suffix":""},{"dropping-particle":"","family":"Choi","given":"Hyo Geun","non-dropping-particle":"","parse-names":false,"suffix":""},{"dropping-particle":"","family":"Park","given":"Eun Kyu","non-dropping-particle":"","parse-names":false,"suffix":""},{"dropping-particle":"","family":"Kim","given":"So Young","non-dropping-particle":"","parse-names":false,"suffix":""},{"dropping-particle":"","family":"Kim","given":"Jin Hwan","non-dropping-particle":"","parse-names":false,"suffix":""},{"dropping-particle":"","family":"Park","given":"Bumjung","non-dropping-particle":"","parse-names":false,"suffix":""}],"container-title":"Auris Nasus Larynx","id":"ITEM-1","issue":"3","issued":{"date-parts":[["2018"]]},"page":"508-513","publisher":"Elsevier Ireland Ltd","title":"Natural course of tonsillectomy pain: A prospective patient cohort study","type":"article-journal","volume":"45"},"uris":["http://www.mendeley.com/documents/?uuid=16398bd2-8f94-4fa7-94c7-da4a062e8e3d"]}],"mendeley":{"formattedCitation":"&lt;sup&gt;71&lt;/sup&gt;","plainTextFormattedCitation":"71","previouslyFormattedCitation":"&lt;sup&gt;71&lt;/sup&gt;"},"properties":{"noteIndex":0},"schema":"https://github.com/citation-style-language/schema/raw/master/csl-citation.json"}</w:instrText>
      </w:r>
      <w:r>
        <w:rPr>
          <w:rFonts w:eastAsia="DengXian"/>
          <w:lang w:val="id-ID" w:eastAsia="zh-CN"/>
        </w:rPr>
        <w:fldChar w:fldCharType="separate"/>
      </w:r>
      <w:r w:rsidR="0066055A" w:rsidRPr="0066055A">
        <w:rPr>
          <w:rFonts w:eastAsia="DengXian"/>
          <w:noProof/>
          <w:vertAlign w:val="superscript"/>
          <w:lang w:val="id-ID" w:eastAsia="zh-CN"/>
        </w:rPr>
        <w:t>71</w:t>
      </w:r>
      <w:r>
        <w:rPr>
          <w:rFonts w:eastAsia="DengXian"/>
          <w:lang w:val="id-ID" w:eastAsia="zh-CN"/>
        </w:rPr>
        <w:fldChar w:fldCharType="end"/>
      </w:r>
      <w:r w:rsidR="0035446B">
        <w:rPr>
          <w:rFonts w:eastAsia="DengXian"/>
          <w:lang w:val="id-ID" w:eastAsia="zh-CN"/>
        </w:rPr>
        <w:t xml:space="preserve"> </w:t>
      </w:r>
      <w:r w:rsidR="00C505BD" w:rsidRPr="00BB1331">
        <w:rPr>
          <w:rFonts w:eastAsia="SimSun"/>
          <w:lang w:val="id-ID"/>
        </w:rPr>
        <w:t xml:space="preserve">Nyeri pascatonsilektomi </w:t>
      </w:r>
      <w:r>
        <w:rPr>
          <w:rFonts w:eastAsia="SimSun"/>
          <w:lang w:val="id-ID"/>
        </w:rPr>
        <w:t>juga menyebabkan</w:t>
      </w:r>
      <w:r w:rsidR="00C505BD" w:rsidRPr="00BB1331">
        <w:rPr>
          <w:rFonts w:eastAsia="SimSun"/>
          <w:lang w:val="id-ID"/>
        </w:rPr>
        <w:t xml:space="preserve"> keterlambatan asupan oral</w:t>
      </w:r>
      <w:r>
        <w:rPr>
          <w:rFonts w:eastAsia="SimSun"/>
          <w:lang w:val="id-ID"/>
        </w:rPr>
        <w:t xml:space="preserve"> yang dapat m</w:t>
      </w:r>
      <w:r w:rsidR="00C505BD" w:rsidRPr="00BB1331">
        <w:rPr>
          <w:rFonts w:eastAsia="SimSun"/>
          <w:lang w:val="id-ID"/>
        </w:rPr>
        <w:t>enurun</w:t>
      </w:r>
      <w:r>
        <w:rPr>
          <w:rFonts w:eastAsia="SimSun"/>
          <w:lang w:val="id-ID"/>
        </w:rPr>
        <w:t>k</w:t>
      </w:r>
      <w:r w:rsidR="00C505BD" w:rsidRPr="00BB1331">
        <w:rPr>
          <w:rFonts w:eastAsia="SimSun"/>
          <w:lang w:val="id-ID"/>
        </w:rPr>
        <w:t>an berat badan, gangguan tidur, konstipasi, lama rawat inap di rumah sakit, dan gangguan perilaku</w:t>
      </w:r>
      <w:r>
        <w:rPr>
          <w:rFonts w:eastAsia="SimSun"/>
          <w:lang w:val="id-ID"/>
        </w:rPr>
        <w:t>.</w:t>
      </w:r>
      <w:r>
        <w:rPr>
          <w:rFonts w:eastAsia="SimSun"/>
          <w:lang w:val="id-ID"/>
        </w:rPr>
        <w:fldChar w:fldCharType="begin" w:fldLock="1"/>
      </w:r>
      <w:r>
        <w:rPr>
          <w:rFonts w:eastAsia="SimSun"/>
          <w:lang w:val="id-ID"/>
        </w:rPr>
        <w:instrText>ADDIN CSL_CITATION {"citationItems":[{"id":"ITEM-1","itemData":{"ISSN":"11283602","PMID":"25912590","abstract":"OBJECTIVE: Post-tonsillectomy pain is believed to be mediated by noxious stimulation of C-fiber afferents located in the peritonsillary space, and local anesthetic infiltration to this area may decrease pain by blocking the sensory pathways and thus preventing the nociceptive impulses. We aimed to compare the effects of different concentrations of preincisional peritonsillar levobupivacaine (0.25% and 0.5%) infiltration on postoperative pain and bleeding in a placebo-controlled design. PATIENTS AND METHODS: After obtaining Institutional Ethics Committee approval, 72 ASA III patients between 3 and 12 years of age, scheduled to undergo tonsillectomy were enrolled and randomly assigned to one of the three groups using the sealed envelope technique, as Group I (Control group), Group II, and Group III receiving preincisional bilateral peritonsillar infiltration with saline, 0.25% levobupivacaine and 0.5% levobupivacaine, respectively (3 mL to each tonsil). Pain, fever, dysphagia; nausea-vomiting and hemorrhage were evaluated at postoperative 0, 30, and 60 minutes and 2, 6, 12, and 24 hours. Oral paracetamol was administered at a dose of 15 mg/kg when FLACC score was &gt; 4. The number of paracetamol administrations within the first 24 hours were recorded. RESULTS: The patients in Groups I, II and III defined pain (FLACC &gt; 4) at a rate of 87%, 60.9%, and 54.2% within the postoperative first 24 hours, respectively.The total number of additional analgesic requirements was significantly low in Group II and III when compared with Group I. There was no difference between groups in terms of fever, dysphagia, nausea-vomiting, hemorrhage. CONCLUSIONS: Both concentrations (0.50% and 0.25%) of levobupivacaine were found to be equally safe and effective during preincisional peritonsillar infiltration in children. NCT number: 02322346.","author":[{"dropping-particle":"","family":"Turhan","given":"K. S.Cakar","non-dropping-particle":"","parse-names":false,"suffix":""},{"dropping-particle":"","family":"Salviz","given":"E. A.","non-dropping-particle":"","parse-names":false,"suffix":""},{"dropping-particle":"","family":"Beton","given":"S.","non-dropping-particle":"","parse-names":false,"suffix":""},{"dropping-particle":"","family":"Timuroglu","given":"S. T.","non-dropping-particle":"","parse-names":false,"suffix":""},{"dropping-particle":"","family":"Catav","given":"S.","non-dropping-particle":"","parse-names":false,"suffix":""},{"dropping-particle":"","family":"Ozatamer","given":"O.","non-dropping-particle":"","parse-names":false,"suffix":""}],"container-title":"European Review for Medical and Pharmacological Sciences","id":"ITEM-1","issue":"7","issued":{"date-parts":[["2015"]]},"page":"1276-1284","title":"Peritonsillar infiltration with levobupivacaine for posttonsillectomy pain relief: Does concentration have any effect? A double-blind randomized controlled clinical study","type":"article-journal","volume":"19"},"uris":["http://www.mendeley.com/documents/?uuid=6b8e36e1-c623-45e0-a9c8-5d3f412f9c46"]}],"mendeley":{"formattedCitation":"&lt;sup&gt;68&lt;/sup&gt;","plainTextFormattedCitation":"68","previouslyFormattedCitation":"&lt;sup&gt;68&lt;/sup&gt;"},"properties":{"noteIndex":0},"schema":"https://github.com/citation-style-language/schema/raw/master/csl-citation.json"}</w:instrText>
      </w:r>
      <w:r>
        <w:rPr>
          <w:rFonts w:eastAsia="SimSun"/>
          <w:lang w:val="id-ID"/>
        </w:rPr>
        <w:fldChar w:fldCharType="separate"/>
      </w:r>
      <w:r w:rsidRPr="00F434BA">
        <w:rPr>
          <w:rFonts w:eastAsia="SimSun"/>
          <w:noProof/>
          <w:vertAlign w:val="superscript"/>
          <w:lang w:val="id-ID"/>
        </w:rPr>
        <w:t>68</w:t>
      </w:r>
      <w:r>
        <w:rPr>
          <w:rFonts w:eastAsia="SimSun"/>
          <w:lang w:val="id-ID"/>
        </w:rPr>
        <w:fldChar w:fldCharType="end"/>
      </w:r>
      <w:r w:rsidR="00B72399">
        <w:rPr>
          <w:rFonts w:eastAsiaTheme="minorEastAsia"/>
          <w:lang w:val="id-ID" w:eastAsia="zh-CN"/>
        </w:rPr>
        <w:t xml:space="preserve"> </w:t>
      </w:r>
      <w:r w:rsidR="00923F4A" w:rsidRPr="00BB1331">
        <w:rPr>
          <w:rFonts w:eastAsia="DengXian"/>
          <w:lang w:val="id-ID" w:eastAsia="zh-CN"/>
        </w:rPr>
        <w:t xml:space="preserve">Levobupivacaine adalah S-enantiomer dari bupivacaine, dan diyakini memiliki beberapa manfaat, termasuk analgesia pasca operasi yang lebih lama dengan blokade motorik yang lebih rendah serta toksisitas jantung dan neurologis yang lebih rendah, dibandingkan dengan bupivacaine. </w:t>
      </w:r>
      <w:r w:rsidR="00B72399">
        <w:rPr>
          <w:rFonts w:eastAsia="DengXian"/>
          <w:lang w:val="id-ID" w:eastAsia="zh-CN"/>
        </w:rPr>
        <w:t>L</w:t>
      </w:r>
      <w:r w:rsidR="00923F4A" w:rsidRPr="00BB1331">
        <w:rPr>
          <w:rFonts w:eastAsia="DengXian"/>
          <w:lang w:val="id-ID" w:eastAsia="zh-CN"/>
        </w:rPr>
        <w:t>evobupivacaine memiliki dampak dan durasi anestesi yang serupa dengan efek samping yang lebih sedikit</w:t>
      </w:r>
      <w:r w:rsidR="00B72399">
        <w:rPr>
          <w:rFonts w:eastAsia="DengXian"/>
          <w:lang w:val="id-ID" w:eastAsia="zh-CN"/>
        </w:rPr>
        <w:t xml:space="preserve"> </w:t>
      </w:r>
      <w:r w:rsidR="00B72399" w:rsidRPr="00BB1331">
        <w:rPr>
          <w:rFonts w:eastAsia="DengXian"/>
          <w:lang w:val="id-ID" w:eastAsia="zh-CN"/>
        </w:rPr>
        <w:t>dibandingkan dengan bupivacaine</w:t>
      </w:r>
      <w:r w:rsidR="00923F4A" w:rsidRPr="00BB1331">
        <w:rPr>
          <w:rFonts w:eastAsia="DengXian"/>
          <w:lang w:val="id-ID" w:eastAsia="zh-CN"/>
        </w:rPr>
        <w:t>.</w:t>
      </w:r>
      <w:r>
        <w:rPr>
          <w:rFonts w:eastAsia="DengXian"/>
          <w:lang w:val="id-ID" w:eastAsia="zh-CN"/>
        </w:rPr>
        <w:fldChar w:fldCharType="begin" w:fldLock="1"/>
      </w:r>
      <w:r w:rsidR="00784481">
        <w:rPr>
          <w:rFonts w:eastAsia="DengXian"/>
          <w:lang w:val="id-ID" w:eastAsia="zh-CN"/>
        </w:rPr>
        <w:instrText>ADDIN CSL_CITATION {"citationItems":[{"id":"ITEM-1","itemData":{"DOI":"10.1016/j.ijporl.2014.06.010","ISSN":"18728464","PMID":"24984928","abstract":"Objectives: To investigate the effects of the pre-emptive local infiltration of dexamethasone vs. levobupivacaine on postoperative pain and morbidity in pediatric adenotonsillectomy patients. Methods: A total of 60 patients (32 males and 28 females), aged 3-14 years, were included in this double-blind prospective randomized controlled clinical study from September of 2011 until May of 2012. Patients admitted for adenotonsillectomies after informed consent was obtained from the parents, and randomized into three groups receiving either dexamethasone sodium phosphate (Group 1, mean age 5.9. ±. 1.6), levobupivacaine with epinephrine (Group 2, mean age 6.1. ±. 2.6), or saline (Group 3, mean age 6.0. ±. 3.4). Pain scores at the 1st, 4th, 8th, 12th, 16th, and 20th hours, and first, second, third and seventh days post-operatively were recorded by the parents using McGrath's face scale. The operation type, operation time and anesthesia time, the time of the first request for postoperative analgesia, and the total number of analgesic interventions were recorded. Results: Pain scores were revealed in this order: Group 1 (steroid). &lt;. Group 2 (levobupivacaine). &lt;. Group 3 (saline) at all times (p= 0.000). The anesthesia times for Group 1 and Group 2 were different (steroid vs. levobupivacaine), and the time to first analgesic was longer in Groups 1 (steroid) and 2 (levobupivacaine) than in Group 3 (saline) (p&lt;. 0.000). The total number of analgesic interventions was lower in Group 1 (steroid) than in Group 2 (levobupivacaine) and Group 3 (saline) (steroid vs. saline, p= 0.000, and steroid vs. levobupivacaine, p&lt;. 0.05). Conclusion: Peritonsillar dexamethasone infiltration was more effective than both levobupivacaine and saline in reducing post-tonsillectomy pain. It was proven to be a safe and effective method. © 2014 Elsevier Ireland Ltd.","author":[{"dropping-particle":"","family":"Aysenur","given":"Dostbil","non-dropping-particle":"","parse-names":false,"suffix":""},{"dropping-particle":"","family":"Mine","given":"Celik","non-dropping-particle":"","parse-names":false,"suffix":""},{"dropping-particle":"","family":"Ozgur","given":"Yoruk","non-dropping-particle":"","parse-names":false,"suffix":""},{"dropping-particle":"","family":"Ahmet","given":"Alici Haci","non-dropping-particle":"","parse-names":false,"suffix":""},{"dropping-particle":"","family":"Fuat","given":"Erdem Ali","non-dropping-particle":"","parse-names":false,"suffix":""},{"dropping-particle":"","family":"Ilker","given":"Ince","non-dropping-particle":"","parse-names":false,"suffix":""},{"dropping-particle":"","family":"Ali","given":"Ahiskalioglu","non-dropping-particle":"","parse-names":false,"suffix":""}],"container-title":"International Journal of Pediatric Otorhinolaryngology","id":"ITEM-1","issue":"9","issued":{"date-parts":[["2014"]]},"page":"1467-1471","title":"Pre-emptive peritonsillar dexamethasone vs. levobupivacaine infiltration for relief of post-adenotonsillectomy pain in children: A controlled clinical study","type":"article-journal","volume":"78"},"uris":["http://www.mendeley.com/documents/?uuid=1ef4a2dc-42a2-4a0c-8109-066250ec068e"]}],"mendeley":{"formattedCitation":"&lt;sup&gt;59&lt;/sup&gt;","plainTextFormattedCitation":"59","previouslyFormattedCitation":"&lt;sup&gt;59&lt;/sup&gt;"},"properties":{"noteIndex":0},"schema":"https://github.com/citation-style-language/schema/raw/master/csl-citation.json"}</w:instrText>
      </w:r>
      <w:r>
        <w:rPr>
          <w:rFonts w:eastAsia="DengXian"/>
          <w:lang w:val="id-ID" w:eastAsia="zh-CN"/>
        </w:rPr>
        <w:fldChar w:fldCharType="separate"/>
      </w:r>
      <w:r w:rsidRPr="00F434BA">
        <w:rPr>
          <w:rFonts w:eastAsia="DengXian"/>
          <w:noProof/>
          <w:vertAlign w:val="superscript"/>
          <w:lang w:val="id-ID" w:eastAsia="zh-CN"/>
        </w:rPr>
        <w:t>59</w:t>
      </w:r>
      <w:r>
        <w:rPr>
          <w:rFonts w:eastAsia="DengXian"/>
          <w:lang w:val="id-ID" w:eastAsia="zh-CN"/>
        </w:rPr>
        <w:fldChar w:fldCharType="end"/>
      </w:r>
    </w:p>
    <w:p w14:paraId="7869A721" w14:textId="77777777" w:rsidR="003360E7" w:rsidRPr="003360E7" w:rsidRDefault="003360E7" w:rsidP="003360E7">
      <w:pPr>
        <w:rPr>
          <w:rFonts w:eastAsiaTheme="minorEastAsia"/>
          <w:lang w:val="id-ID" w:eastAsia="zh-CN"/>
        </w:rPr>
      </w:pPr>
    </w:p>
    <w:p w14:paraId="6894E0B5" w14:textId="3F14ACF8" w:rsidR="009D3D42" w:rsidRPr="0087505F" w:rsidRDefault="000A4CBF" w:rsidP="009D3D42">
      <w:pPr>
        <w:pStyle w:val="Heading3"/>
        <w:numPr>
          <w:ilvl w:val="2"/>
          <w:numId w:val="32"/>
        </w:numPr>
        <w:spacing w:before="0" w:after="0" w:line="360" w:lineRule="auto"/>
        <w:jc w:val="both"/>
        <w:rPr>
          <w:rFonts w:cs="Times New Roman"/>
          <w:lang w:eastAsia="zh-CN"/>
        </w:rPr>
      </w:pPr>
      <w:bookmarkStart w:id="143" w:name="_Toc158290307"/>
      <w:r>
        <w:rPr>
          <w:rFonts w:cs="Times New Roman"/>
          <w:lang w:val="id-ID"/>
        </w:rPr>
        <w:t xml:space="preserve">Efek Pemberian </w:t>
      </w:r>
      <w:r w:rsidRPr="00BB1331">
        <w:rPr>
          <w:rFonts w:cs="Times New Roman"/>
        </w:rPr>
        <w:t>Blok Peritonsil</w:t>
      </w:r>
      <w:r w:rsidRPr="00F426C1">
        <w:rPr>
          <w:rFonts w:cs="Times New Roman"/>
          <w:lang w:val="id-ID"/>
        </w:rPr>
        <w:t>e</w:t>
      </w:r>
      <w:r w:rsidRPr="00BB1331">
        <w:rPr>
          <w:rFonts w:cs="Times New Roman"/>
        </w:rPr>
        <w:t xml:space="preserve">r </w:t>
      </w:r>
      <w:r w:rsidRPr="00BB1331">
        <w:rPr>
          <w:rFonts w:cs="Times New Roman"/>
          <w:lang w:val="id-ID"/>
        </w:rPr>
        <w:t>Levo</w:t>
      </w:r>
      <w:r w:rsidRPr="00BB1331">
        <w:rPr>
          <w:rFonts w:cs="Times New Roman"/>
        </w:rPr>
        <w:t>bupiva</w:t>
      </w:r>
      <w:r w:rsidRPr="00BB1331">
        <w:rPr>
          <w:rFonts w:cs="Times New Roman"/>
          <w:lang w:val="id-ID"/>
        </w:rPr>
        <w:t>ca</w:t>
      </w:r>
      <w:r w:rsidRPr="00BB1331">
        <w:rPr>
          <w:rFonts w:cs="Times New Roman"/>
        </w:rPr>
        <w:t xml:space="preserve">ine Isobarik 0,125% </w:t>
      </w:r>
      <w:r>
        <w:rPr>
          <w:rFonts w:cs="Times New Roman"/>
          <w:lang w:val="id-ID"/>
        </w:rPr>
        <w:t xml:space="preserve">Terhadap Penggunaan </w:t>
      </w:r>
      <w:r w:rsidRPr="00B428B4">
        <w:rPr>
          <w:rFonts w:cs="Times New Roman"/>
          <w:i/>
          <w:iCs/>
          <w:lang w:val="id-ID"/>
        </w:rPr>
        <w:t>Rescue Opioid</w:t>
      </w:r>
      <w:r w:rsidRPr="00F426C1">
        <w:rPr>
          <w:rFonts w:cs="Times New Roman"/>
          <w:lang w:val="id-ID"/>
        </w:rPr>
        <w:t xml:space="preserve"> </w:t>
      </w:r>
      <w:r w:rsidRPr="00BB1331">
        <w:rPr>
          <w:rFonts w:cs="Times New Roman"/>
          <w:lang w:val="id-ID"/>
        </w:rPr>
        <w:t>P</w:t>
      </w:r>
      <w:r>
        <w:rPr>
          <w:rFonts w:cs="Times New Roman"/>
          <w:lang w:val="id-ID"/>
        </w:rPr>
        <w:t>ascabedah</w:t>
      </w:r>
      <w:r w:rsidRPr="00BB1331">
        <w:rPr>
          <w:rFonts w:cs="Times New Roman"/>
        </w:rPr>
        <w:t xml:space="preserve"> Tonsilektomi</w:t>
      </w:r>
      <w:bookmarkEnd w:id="143"/>
    </w:p>
    <w:p w14:paraId="371ABEB7" w14:textId="77777777" w:rsidR="0087505F" w:rsidRDefault="0087505F" w:rsidP="0087505F">
      <w:pPr>
        <w:spacing w:line="360" w:lineRule="auto"/>
        <w:ind w:firstLine="709"/>
        <w:jc w:val="both"/>
        <w:rPr>
          <w:lang w:val="id-ID" w:eastAsia="zh-CN"/>
        </w:rPr>
      </w:pPr>
      <w:r w:rsidRPr="00F426C1">
        <w:rPr>
          <w:lang w:val="id-ID" w:eastAsia="zh-CN"/>
        </w:rPr>
        <w:t xml:space="preserve">Pada penelitian </w:t>
      </w:r>
      <w:r w:rsidRPr="00BB1331">
        <w:rPr>
          <w:lang w:val="id-ID" w:eastAsia="zh-CN"/>
        </w:rPr>
        <w:t>ini, baik</w:t>
      </w:r>
      <w:r w:rsidRPr="00F426C1">
        <w:rPr>
          <w:lang w:val="id-ID" w:eastAsia="zh-CN"/>
        </w:rPr>
        <w:t xml:space="preserve"> kelompok intervensi maupun kontrol tidak ditemukan </w:t>
      </w:r>
      <w:r w:rsidRPr="00BB1331">
        <w:rPr>
          <w:lang w:val="id-ID" w:eastAsia="zh-CN"/>
        </w:rPr>
        <w:t>subyek penelitian</w:t>
      </w:r>
      <w:r w:rsidRPr="00F426C1">
        <w:rPr>
          <w:lang w:val="id-ID" w:eastAsia="zh-CN"/>
        </w:rPr>
        <w:t xml:space="preserve"> yang membutuhkan </w:t>
      </w:r>
      <w:r w:rsidRPr="00F426C1">
        <w:rPr>
          <w:i/>
          <w:iCs/>
          <w:lang w:val="id-ID" w:eastAsia="zh-CN"/>
        </w:rPr>
        <w:t>rescue opioid</w:t>
      </w:r>
      <w:r w:rsidRPr="00F426C1">
        <w:rPr>
          <w:lang w:val="id-ID" w:eastAsia="zh-CN"/>
        </w:rPr>
        <w:t>.</w:t>
      </w:r>
      <w:r>
        <w:rPr>
          <w:lang w:val="id-ID" w:eastAsia="zh-CN"/>
        </w:rPr>
        <w:t xml:space="preserve"> </w:t>
      </w:r>
      <w:r>
        <w:rPr>
          <w:rFonts w:eastAsia="SimSun"/>
          <w:lang w:val="id-ID"/>
        </w:rPr>
        <w:t xml:space="preserve">Hasil ini sejalan dengan penelitian Erdogan </w:t>
      </w:r>
      <w:r w:rsidRPr="0087505F">
        <w:rPr>
          <w:rFonts w:eastAsia="SimSun"/>
          <w:i/>
          <w:iCs/>
          <w:lang w:val="id-ID"/>
        </w:rPr>
        <w:t>et al</w:t>
      </w:r>
      <w:r>
        <w:rPr>
          <w:rFonts w:eastAsia="SimSun"/>
          <w:lang w:val="id-ID"/>
        </w:rPr>
        <w:t xml:space="preserve">. bahwa pemberian </w:t>
      </w:r>
      <w:r w:rsidRPr="00BB1331">
        <w:rPr>
          <w:rFonts w:eastAsia="SimSun"/>
          <w:lang w:val="id-ID"/>
        </w:rPr>
        <w:t xml:space="preserve">infiltrasi levobupivacaine </w:t>
      </w:r>
      <w:r>
        <w:rPr>
          <w:rFonts w:eastAsia="SimSun"/>
          <w:lang w:val="id-ID"/>
        </w:rPr>
        <w:t xml:space="preserve">0,5% </w:t>
      </w:r>
      <w:r w:rsidRPr="00BB1331">
        <w:rPr>
          <w:rFonts w:eastAsia="SimSun"/>
          <w:lang w:val="id-ID"/>
        </w:rPr>
        <w:t xml:space="preserve">ke fossa peritonsil sebelum operasi </w:t>
      </w:r>
      <w:r>
        <w:rPr>
          <w:rFonts w:eastAsia="SimSun"/>
          <w:lang w:val="id-ID"/>
        </w:rPr>
        <w:t>memberikan hasil bahwa t</w:t>
      </w:r>
      <w:r w:rsidRPr="00BB1331">
        <w:rPr>
          <w:rFonts w:eastAsia="SimSun"/>
          <w:lang w:val="id-ID"/>
        </w:rPr>
        <w:t>idak ada perbedaan antara kedua kelompok mengenai kebutuhan analgesik.</w:t>
      </w:r>
      <w:r>
        <w:rPr>
          <w:rFonts w:eastAsia="SimSun"/>
          <w:lang w:val="id-ID"/>
        </w:rPr>
        <w:fldChar w:fldCharType="begin" w:fldLock="1"/>
      </w:r>
      <w:r>
        <w:rPr>
          <w:rFonts w:eastAsia="SimSun"/>
          <w:lang w:val="id-ID"/>
        </w:rPr>
        <w:instrText>ADDIN CSL_CITATION {"citationItems":[{"id":"ITEM-1","itemData":{"ISSN":"1781782X","PMID":"25675664","abstract":"PROBLEM/OBJECTIVE: We compared the effects of preincisional peritonsillar infiltration of 5 ml levobupivacaine hydrochloride (50 mg/10 ml) on bleeding during surgery and pain after tonsillectomy in patients aged 16 years or older.\nMETHODOLOGY: The study was conducted in 44 adult patients who underwent tonsillectomy. These patients were randomized to either the study group (SG) who received levobupivacaine infiltration to the peritonsillary fossae prior to surgery, or a control group (CG) treated with 0.9% sodium chloride infiltration to the peritonsillary fossae prior to incision. The volume of intraoperative bleeding was recorded. Pain was evaluated using a visual analogue scale (VAS). The first pain score was assessed immediately after arriving in the postoperative care unit. VAS scores were subsequently re-assessed 2, 4, 8, 12, and 24 hours postoperatively. The first analgesic requirement wa</w:instrText>
      </w:r>
      <w:r>
        <w:rPr>
          <w:rFonts w:eastAsia="SimSun" w:hint="eastAsia"/>
          <w:lang w:val="id-ID"/>
        </w:rPr>
        <w:instrText xml:space="preserve">s assessed 24 hours postoperatively.\nRESULTS: The pain relieving effect in the levobupivacaine group was statistically significant 2, 4, 12, and 24 hours postoperatively (p </w:instrText>
      </w:r>
      <w:r>
        <w:rPr>
          <w:rFonts w:eastAsia="SimSun" w:hint="eastAsia"/>
          <w:lang w:val="id-ID"/>
        </w:rPr>
        <w:instrText>≤</w:instrText>
      </w:r>
      <w:r>
        <w:rPr>
          <w:rFonts w:eastAsia="SimSun" w:hint="eastAsia"/>
          <w:lang w:val="id-ID"/>
        </w:rPr>
        <w:instrText xml:space="preserve"> 0.05), but there was no difference in VAS scores between groups at the first and 8-hour postoperative assessments. There were no differences between the two groups regarding analgesic requirements. The difference between the mean intraoperative blood loss in the SG and CG was statistically significant (p </w:instrText>
      </w:r>
      <w:r>
        <w:rPr>
          <w:rFonts w:eastAsia="SimSun" w:hint="eastAsia"/>
          <w:lang w:val="id-ID"/>
        </w:rPr>
        <w:instrText>≤</w:instrText>
      </w:r>
      <w:r>
        <w:rPr>
          <w:rFonts w:eastAsia="SimSun" w:hint="eastAsia"/>
          <w:lang w:val="id-ID"/>
        </w:rPr>
        <w:instrText xml:space="preserve"> 0.05). No serious complica</w:instrText>
      </w:r>
      <w:r>
        <w:rPr>
          <w:rFonts w:eastAsia="SimSun"/>
          <w:lang w:val="id-ID"/>
        </w:rPr>
        <w:instrText>tions were observed in either group.\nCONCLUSION: Preincisional levobupivacaine infiltration seems to be a safe and easily applied medication for postoperative pain control, and decreased the volume of intraoperative blood loss in adult patients after tonsillectomy.","author":[{"dropping-particle":"","family":"Erdogan","given":"B. A.","non-dropping-particle":"","parse-names":false,"suffix":""},{"dropping-particle":"","family":"Aydin","given":"S.","non-dropping-particle":"","parse-names":false,"suffix":""},{"dropping-particle":"","family":"Paksoy","given":"M.","non-dropping-particle":"","parse-names":false,"suffix":""},{"dropping-particle":"","family":"Sanli","given":"A.","non-dropping-particle":"","parse-names":false,"suffix":""},{"dropping-particle":"","family":"Sevim","given":"S.","non-dropping-particle":"","parse-names":false,"suffix":""}],"container-title":"B-Ent","id":"ITEM-1","issue":"3","issued":{"date-parts":[["2014"]]},"page":"193-197","title":"Efficacy of preincisional levobupivacaine for adult tonsillectomy patients","type":"article-journal","volume":"10"},"uris":["http://www.mendeley.com/documents/?uuid=c8bd2668-449e-4d53-961d-d4d121f00973"]}],"mendeley":{"formattedCitation":"&lt;sup&gt;69&lt;/sup&gt;","plainTextFormattedCitation":"69","previouslyFormattedCitation":"&lt;sup&gt;69&lt;/sup&gt;"},"properties":{"noteIndex":0},"schema":"https://github.com/citation-style-language/schema/raw/master/csl-citation.json"}</w:instrText>
      </w:r>
      <w:r>
        <w:rPr>
          <w:rFonts w:eastAsia="SimSun"/>
          <w:lang w:val="id-ID"/>
        </w:rPr>
        <w:fldChar w:fldCharType="separate"/>
      </w:r>
      <w:r w:rsidRPr="0066055A">
        <w:rPr>
          <w:rFonts w:eastAsia="SimSun"/>
          <w:noProof/>
          <w:vertAlign w:val="superscript"/>
          <w:lang w:val="id-ID"/>
        </w:rPr>
        <w:t>69</w:t>
      </w:r>
      <w:r>
        <w:rPr>
          <w:rFonts w:eastAsia="SimSun"/>
          <w:lang w:val="id-ID"/>
        </w:rPr>
        <w:fldChar w:fldCharType="end"/>
      </w:r>
      <w:r>
        <w:rPr>
          <w:lang w:val="id-ID" w:eastAsia="zh-CN"/>
        </w:rPr>
        <w:t xml:space="preserve"> Pada penelitian Turhan </w:t>
      </w:r>
      <w:r w:rsidRPr="0087505F">
        <w:rPr>
          <w:i/>
          <w:iCs/>
          <w:lang w:val="id-ID" w:eastAsia="zh-CN"/>
        </w:rPr>
        <w:t>et al</w:t>
      </w:r>
      <w:r>
        <w:rPr>
          <w:lang w:val="id-ID" w:eastAsia="zh-CN"/>
        </w:rPr>
        <w:t>.</w:t>
      </w:r>
      <w:r>
        <w:rPr>
          <w:rFonts w:eastAsia="AdvP4DF60E"/>
          <w:lang w:val="id-ID"/>
        </w:rPr>
        <w:t xml:space="preserve"> </w:t>
      </w:r>
      <w:r w:rsidR="00C505BD" w:rsidRPr="00BB1331">
        <w:rPr>
          <w:rFonts w:eastAsia="SimSun"/>
          <w:lang w:val="id-ID"/>
        </w:rPr>
        <w:t>infiltrasi levobupivakain ke dasar tonsil pada kedua konsentrasi (0,5% dan 0,25%) memberikan analgesia yang efektif dan menurunkan kebutuhan analgesik pasca operasi. Jumlah konsumsi analgesik sangat rendah pada kedua konsentrasi levobupivacaine (0,5% dan 0,25%)</w:t>
      </w:r>
      <w:r w:rsidR="00C505BD">
        <w:rPr>
          <w:rFonts w:eastAsia="SimSun"/>
          <w:lang w:val="id-ID"/>
        </w:rPr>
        <w:t xml:space="preserve"> pada 24 jam pascabedah.</w:t>
      </w:r>
      <w:r w:rsidR="00C505BD">
        <w:rPr>
          <w:rFonts w:eastAsia="SimSun"/>
          <w:lang w:val="id-ID"/>
        </w:rPr>
        <w:fldChar w:fldCharType="begin" w:fldLock="1"/>
      </w:r>
      <w:r w:rsidR="00923F4A">
        <w:rPr>
          <w:rFonts w:eastAsia="SimSun"/>
          <w:lang w:val="id-ID"/>
        </w:rPr>
        <w:instrText>ADDIN CSL_CITATION {"citationItems":[{"id":"ITEM-1","itemData":{"ISSN":"11283602","PMID":"25912590","abstract":"OBJECTIVE: Post-tonsillectomy pain is believed to be mediated by noxious stimulation of C-fiber afferents located in the peritonsillary space, and local anesthetic infiltration to this area may decrease pain by blocking the sensory pathways and thus preventing the nociceptive impulses. We aimed to compare the effects of different concentrations of preincisional peritonsillar levobupivacaine (0.25% and 0.5%) infiltration on postoperative pain and bleeding in a placebo-controlled design. PATIENTS AND METHODS: After obtaining Institutional Ethics Committee approval, 72 ASA III patients between 3 and 12 years of age, scheduled to undergo tonsillectomy were enrolled and randomly assigned to one of the three groups using the sealed envelope technique, as Group I (Control group), Group II, and Group III receiving preincisional bilateral peritonsillar infiltration with saline, 0.25% levobupivacaine and 0.5% levobupivacaine, respectively (3 mL to each tonsil). Pain, fever, dysphagia; nausea-vomiting and hemorrhage were evaluated at postoperative 0, 30, and 60 minutes and 2, 6, 12, and 24 hours. Oral paracetamol was administered at a dose of 15 mg/kg when FLACC score was &gt; 4. The number of paracetamol administrations within the first 24 hours were recorded. RESULTS: The patients in Groups I, II and III defined pain (FLACC &gt; 4) at a rate of 87%, 60.9%, and 54.2% within the postoperative first 24 hours, respectively.The total number of additional analgesic requirements was significantly low in Group II and III when compared with Group I. There was no difference between groups in terms of fever, dysphagia, nausea-vomiting, hemorrhage. CONCLUSIONS: Both concentrations (0.50% and 0.25%) of levobupivacaine were found to be equally safe and effective during preincisional peritonsillar infiltration in children. NCT number: 02322346.","author":[{"dropping-particle":"","family":"Turhan","given":"K. S.Cakar","non-dropping-particle":"","parse-names":false,"suffix":""},{"dropping-particle":"","family":"Salviz","given":"E. A.","non-dropping-particle":"","parse-names":false,"suffix":""},{"dropping-particle":"","family":"Beton","given":"S.","non-dropping-particle":"","parse-names":false,"suffix":""},{"dropping-particle":"","family":"Timuroglu","given":"S. T.","non-dropping-particle":"","parse-names":false,"suffix":""},{"dropping-particle":"","family":"Catav","given":"S.","non-dropping-particle":"","parse-names":false,"suffix":""},{"dropping-particle":"","family":"Ozatamer","given":"O.","non-dropping-particle":"","parse-names":false,"suffix":""}],"container-title":"European Review for Medical and Pharmacological Sciences","id":"ITEM-1","issue":"7","issued":{"date-parts":[["2015"]]},"page":"1276-1284","title":"Peritonsillar infiltration with levobupivacaine for posttonsillectomy pain relief: Does concentration have any effect? A double-blind randomized controlled clinical study","type":"article-journal","volume":"19"},"uris":["http://www.mendeley.com/documents/?uuid=6b8e36e1-c623-45e0-a9c8-5d3f412f9c46"]}],"mendeley":{"formattedCitation":"&lt;sup&gt;68&lt;/sup&gt;","plainTextFormattedCitation":"68","previouslyFormattedCitation":"&lt;sup&gt;68&lt;/sup&gt;"},"properties":{"noteIndex":0},"schema":"https://github.com/citation-style-language/schema/raw/master/csl-citation.json"}</w:instrText>
      </w:r>
      <w:r w:rsidR="00C505BD">
        <w:rPr>
          <w:rFonts w:eastAsia="SimSun"/>
          <w:lang w:val="id-ID"/>
        </w:rPr>
        <w:fldChar w:fldCharType="separate"/>
      </w:r>
      <w:r w:rsidR="00C505BD" w:rsidRPr="00C505BD">
        <w:rPr>
          <w:rFonts w:eastAsia="SimSun"/>
          <w:noProof/>
          <w:vertAlign w:val="superscript"/>
          <w:lang w:val="id-ID"/>
        </w:rPr>
        <w:t>68</w:t>
      </w:r>
      <w:r w:rsidR="00C505BD">
        <w:rPr>
          <w:rFonts w:eastAsia="SimSun"/>
          <w:lang w:val="id-ID"/>
        </w:rPr>
        <w:fldChar w:fldCharType="end"/>
      </w:r>
    </w:p>
    <w:p w14:paraId="138B75A0" w14:textId="1CABFA96" w:rsidR="003360E7" w:rsidRPr="0035446B" w:rsidRDefault="0087505F" w:rsidP="0035446B">
      <w:pPr>
        <w:spacing w:line="360" w:lineRule="auto"/>
        <w:ind w:firstLine="709"/>
        <w:jc w:val="both"/>
        <w:rPr>
          <w:lang w:val="id-ID" w:eastAsia="zh-CN"/>
        </w:rPr>
      </w:pPr>
      <w:r>
        <w:rPr>
          <w:rFonts w:eastAsia="DengXian"/>
          <w:lang w:val="id-ID" w:eastAsia="zh-CN"/>
        </w:rPr>
        <w:t xml:space="preserve">Pascabedah </w:t>
      </w:r>
      <w:r w:rsidR="0066055A" w:rsidRPr="00BB1331">
        <w:rPr>
          <w:rFonts w:eastAsia="DengXian"/>
          <w:lang w:val="id-ID" w:eastAsia="zh-CN"/>
        </w:rPr>
        <w:t xml:space="preserve">tonsilektomi </w:t>
      </w:r>
      <w:r>
        <w:rPr>
          <w:rFonts w:eastAsia="DengXian"/>
          <w:lang w:val="id-ID" w:eastAsia="zh-CN"/>
        </w:rPr>
        <w:t xml:space="preserve">sering menimbulkan nyeri yang parah </w:t>
      </w:r>
      <w:r w:rsidR="0066055A" w:rsidRPr="00BB1331">
        <w:rPr>
          <w:rFonts w:eastAsia="DengXian"/>
          <w:lang w:val="id-ID" w:eastAsia="zh-CN"/>
        </w:rPr>
        <w:t xml:space="preserve">dan memerlukan penggunaan analgesik opioid. Meskipun opioid </w:t>
      </w:r>
      <w:r>
        <w:rPr>
          <w:rFonts w:eastAsia="DengXian"/>
          <w:lang w:val="id-ID" w:eastAsia="zh-CN"/>
        </w:rPr>
        <w:t>merupakan</w:t>
      </w:r>
      <w:r w:rsidR="0066055A" w:rsidRPr="00BB1331">
        <w:rPr>
          <w:rFonts w:eastAsia="DengXian"/>
          <w:lang w:val="id-ID" w:eastAsia="zh-CN"/>
        </w:rPr>
        <w:t xml:space="preserve"> obat untuk mengatasi rasa sakit, opioid memiliki efek samping yang serius seperti depresi pernapasan, sedasi, serta mual dan muntah.</w:t>
      </w:r>
      <w:r w:rsidR="0066055A">
        <w:rPr>
          <w:rFonts w:eastAsia="DengXian"/>
          <w:lang w:val="id-ID" w:eastAsia="zh-CN"/>
        </w:rPr>
        <w:fldChar w:fldCharType="begin" w:fldLock="1"/>
      </w:r>
      <w:r w:rsidR="0066055A">
        <w:rPr>
          <w:rFonts w:eastAsia="DengXian"/>
          <w:lang w:val="id-ID" w:eastAsia="zh-CN"/>
        </w:rPr>
        <w:instrText>ADDIN CSL_CITATION {"citationItems":[{"id":"ITEM-1","itemData":{"DOI":"10.1155/2017/8431823","ISSN":"12036765","PMID":"28912639","abstract":"Objectives. We aimed to assess the effects of levobupivacaine and of levobupivacaine + adrenaline administered during pediatric tonsillectomy on the postoperative period. Methods. A total of 90 patients between the ages of five and twelve were divided randomly into two groups before tonsillectomy: Levobupivacaine only (0.5%) 0.4 mg·kg-1 or levobupivacaine (0.5%) 0.4 mg·kg-1 + adrenaline (1: 200.000) administered by means of peritonsillar infiltration. Primary outcomes were postoperative pain scores recorded at various intervals until 24 hours postoperatively. Secondary outcomes included postoperative nausea and vomiting (PONV), time to first oral intake, time to the first administration of analgesics and total consumption of analgesics, and the amount of bleeding for all children. Results. In both groups, patients had the same postoperative pain scores and PONV rates, and equal amounts of analgesics were consumed up to 24 hours postoperatively. The two groups also had the same time until first oral intake, recovery time and time to the first analgesic request, and amount of bleeding. Conclusions. Perioperative levobupivacaine infiltration on its own is a valid alternative to the combination of levobupivacaine + adrenaline for perioperative and postoperative effectiveness in pediatric tonsillectomy. This trial is registered with Australian New Zealand Clinical Trial Registry ACTRN: ACTRN12617001167358.","author":[{"dropping-particle":"","family":"Cicekci","given":"Faruk","non-dropping-particle":"","parse-names":false,"suffix":""},{"dropping-particle":"","family":"Sizer","given":"Cigdem","non-dropping-particle":"","parse-names":false,"suffix":""},{"dropping-particle":"","family":"Atici","given":"Sait Selcuk","non-dropping-particle":"","parse-names":false,"suffix":""},{"dropping-particle":"","family":"Arican","given":"Sule","non-dropping-particle":"","parse-names":false,"suffix":""},{"dropping-particle":"","family":"Karaibrahimoglu","given":"Adnan","non-dropping-particle":"","parse-names":false,"suffix":""},{"dropping-particle":"","family":"Kara","given":"Inci","non-dropping-particle":"","parse-names":false,"suffix":""}],"container-title":"Pain Research and Management","id":"ITEM-1","issue":"d","issued":{"date-parts":[["2017"]]},"title":"Comparison of the Perioperative and Postoperative Effects of Levobupivacaine and of Levobupivacaine + Adrenaline in Pediatric Tonsillectomy: A Double-Blind Randomized Study","type":"article-journal","volume":"2017"},"uris":["http://www.mendeley.com/documents/?uuid=6d72a6e7-59c9-47bd-aa75-520951e0741a"]}],"mendeley":{"formattedCitation":"&lt;sup&gt;72&lt;/sup&gt;","plainTextFormattedCitation":"72","previouslyFormattedCitation":"&lt;sup&gt;72&lt;/sup&gt;"},"properties":{"noteIndex":0},"schema":"https://github.com/citation-style-language/schema/raw/master/csl-citation.json"}</w:instrText>
      </w:r>
      <w:r w:rsidR="0066055A">
        <w:rPr>
          <w:rFonts w:eastAsia="DengXian"/>
          <w:lang w:val="id-ID" w:eastAsia="zh-CN"/>
        </w:rPr>
        <w:fldChar w:fldCharType="separate"/>
      </w:r>
      <w:r w:rsidR="0066055A" w:rsidRPr="001C6031">
        <w:rPr>
          <w:rFonts w:eastAsia="DengXian"/>
          <w:noProof/>
          <w:vertAlign w:val="superscript"/>
          <w:lang w:val="id-ID" w:eastAsia="zh-CN"/>
        </w:rPr>
        <w:t>72</w:t>
      </w:r>
      <w:r w:rsidR="0066055A">
        <w:rPr>
          <w:rFonts w:eastAsia="DengXian"/>
          <w:lang w:val="id-ID" w:eastAsia="zh-CN"/>
        </w:rPr>
        <w:fldChar w:fldCharType="end"/>
      </w:r>
      <w:r w:rsidR="0035446B">
        <w:rPr>
          <w:lang w:val="id-ID" w:eastAsia="zh-CN"/>
        </w:rPr>
        <w:t xml:space="preserve"> </w:t>
      </w:r>
      <w:r w:rsidR="0035446B">
        <w:rPr>
          <w:rFonts w:eastAsia="AdvP4DF60E"/>
          <w:lang w:val="id-ID"/>
        </w:rPr>
        <w:t xml:space="preserve">Penggunaan </w:t>
      </w:r>
      <w:r w:rsidR="003360E7" w:rsidRPr="00BB1331">
        <w:rPr>
          <w:rFonts w:eastAsia="AdvP4DF60E"/>
          <w:lang w:val="id-ID"/>
        </w:rPr>
        <w:t xml:space="preserve">analgesia preemptif </w:t>
      </w:r>
      <w:r w:rsidR="0035446B">
        <w:rPr>
          <w:rFonts w:eastAsia="AdvP4DF60E"/>
          <w:lang w:val="id-ID"/>
        </w:rPr>
        <w:t>bertujuan</w:t>
      </w:r>
      <w:r w:rsidR="003360E7" w:rsidRPr="00BB1331">
        <w:rPr>
          <w:rFonts w:eastAsia="AdvP4DF60E"/>
          <w:lang w:val="id-ID"/>
        </w:rPr>
        <w:t xml:space="preserve"> untuk mengurangi dosis analgesik yang akan digunakan pada periode pasca operasi.</w:t>
      </w:r>
      <w:r w:rsidR="003360E7">
        <w:rPr>
          <w:rFonts w:eastAsia="AdvP4DF60E"/>
          <w:lang w:val="id-ID"/>
        </w:rPr>
        <w:fldChar w:fldCharType="begin" w:fldLock="1"/>
      </w:r>
      <w:r w:rsidR="003360E7">
        <w:rPr>
          <w:rFonts w:eastAsia="AdvP4DF60E"/>
          <w:lang w:val="id-ID"/>
        </w:rPr>
        <w:instrText>ADDIN CSL_CITATION {"citationItems":[{"id":"ITEM-1","itemData":{"DOI":"10.1016/j.ijporl.2010.11.015","ISSN":"01655876","PMID":"21168923","abstract":"Objectives: To compare the effects of preincisional peritonsillar infiltration of levobupivacaine and bupivacaine on post-tonsillectomy pain in children. Methods: Sixty children undergoing elective tonsillectomy or adenotonsillectomy were randomly allocated into three groups before tonsillectomy: peritonsillar infiltrations with 0.25% levobupivacaine with 1:200,000 epinephrine (group levobupivacaine, n= 20), 0.25% bupivacaine with 1:200,000 epinephrine (group bupivacaine, n= 20), and normal saline (group saline, n= 20) were applied. Pain was evaluated by using a modified Children's Hospital of Eastern Ontario Pain Scale (mCHEOPS). Choice of additional analgesic was acetaminophen for all patients. Results: mCHEOPS values at 0th (immediately) and 30th minute after arrival the PACU were lower in both the local anesthetics groups than the saline group (p&lt; 0.001, p&lt; 0.01 for the group levobupivacaine; p&lt; 0.001, p&lt; 0.05 for the group bupivacaine, respectively). In addition, mCHEOPS values at 1st hour in the ward was lower in the group bupivacaine when compared to the group saline (p&lt; 0.05). Analgesic requirements and the time to first analgesia required, were also significantly different between the local anesthetic and saline groups (p&lt; 0.05 for both local anesthetics groups). Time to first mobilization was shorter in both local anesthetic groups when compared to the saline group (p&lt; 0.05 for both local anesthetic groups). Conclusion: Preincisional peritonsillar infiltration with levobupivacaine or bupivacaine before tonsillectomy, are effective than saline, in reducing early post-tonsillectomy pain, where as bupivacaine had slightly longer effect. Compared to saline, with both anesthetic infiltrations, lesser medication for analgesia is required. The clinical trial registration number (Research Ethics Committee of Medical Faculty, Uludag University): 2008-4/36, 19 February 2008. © 2010 Elsevier Ireland Ltd.","author":[{"dropping-particle":"","family":"Kasapoglu","given":"Fikret","non-dropping-particle":"","parse-names":false,"suffix":""},{"dropping-particle":"","family":"Kaya","given":"Fatma Nur","non-dropping-particle":"","parse-names":false,"suffix":""},{"dropping-particle":"","family":"Tuzemen","given":"Gokhan","non-dropping-particle":"","parse-names":false,"suffix":""},{"dropping-particle":"","family":"Ozmen","given":"Omer Afsin","non-dropping-particle":"","parse-names":false,"suffix":""},{"dropping-particle":"","family":"Kaya","given":"Atila","non-dropping-particle":"","parse-names":false,"suffix":""},{"dropping-particle":"","family":"Onart","given":"Selcuk","non-dropping-particle":"","parse-names":false,"suffix":""}],"container-title":"International Journal of Pediatric Otorhinolaryngology","id":"ITEM-1","issue":"3","issued":{"date-parts":[["2011"]]},"page":"322-326","publisher":"Elsevier Ireland Ltd","title":"Comparison of peritonsillar levobupivacaine and bupivacaine infiltration for post-tonsillectomy pain relief in children: Placebo-controlled clinical study","type":"article-journal","volume":"75"},"uris":["http://www.mendeley.com/documents/?uuid=f0d12eb6-fcb0-4166-964b-b766f03e22ae"]}],"mendeley":{"formattedCitation":"&lt;sup&gt;13&lt;/sup&gt;","plainTextFormattedCitation":"13","previouslyFormattedCitation":"&lt;sup&gt;13&lt;/sup&gt;"},"properties":{"noteIndex":0},"schema":"https://github.com/citation-style-language/schema/raw/master/csl-citation.json"}</w:instrText>
      </w:r>
      <w:r w:rsidR="003360E7">
        <w:rPr>
          <w:rFonts w:eastAsia="AdvP4DF60E"/>
          <w:lang w:val="id-ID"/>
        </w:rPr>
        <w:fldChar w:fldCharType="separate"/>
      </w:r>
      <w:r w:rsidR="003360E7" w:rsidRPr="003360E7">
        <w:rPr>
          <w:rFonts w:eastAsia="AdvP4DF60E"/>
          <w:noProof/>
          <w:vertAlign w:val="superscript"/>
          <w:lang w:val="id-ID"/>
        </w:rPr>
        <w:t>13</w:t>
      </w:r>
      <w:r w:rsidR="003360E7">
        <w:rPr>
          <w:rFonts w:eastAsia="AdvP4DF60E"/>
          <w:lang w:val="id-ID"/>
        </w:rPr>
        <w:fldChar w:fldCharType="end"/>
      </w:r>
      <w:r w:rsidR="0035446B">
        <w:rPr>
          <w:rFonts w:eastAsia="AdvP4DF60E"/>
          <w:lang w:val="id-ID"/>
        </w:rPr>
        <w:t xml:space="preserve"> Pada penelitian ini, </w:t>
      </w:r>
      <w:r w:rsidR="0035446B" w:rsidRPr="00BB1331">
        <w:rPr>
          <w:rFonts w:eastAsia="AdvP4DF60E"/>
          <w:lang w:val="id-ID"/>
        </w:rPr>
        <w:t>analgesia preemptif</w:t>
      </w:r>
      <w:r w:rsidR="0035446B">
        <w:rPr>
          <w:rFonts w:eastAsia="AdvP4DF60E"/>
          <w:lang w:val="id-ID"/>
        </w:rPr>
        <w:t xml:space="preserve"> dengan </w:t>
      </w:r>
      <w:r w:rsidR="0035446B" w:rsidRPr="00BB1331">
        <w:t>blok peritonsil</w:t>
      </w:r>
      <w:r w:rsidR="0035446B" w:rsidRPr="00F426C1">
        <w:rPr>
          <w:lang w:val="id-ID"/>
        </w:rPr>
        <w:t>e</w:t>
      </w:r>
      <w:r w:rsidR="0035446B" w:rsidRPr="00BB1331">
        <w:t xml:space="preserve">r </w:t>
      </w:r>
      <w:r w:rsidR="0035446B" w:rsidRPr="00BB1331">
        <w:rPr>
          <w:lang w:val="id-ID"/>
        </w:rPr>
        <w:t>levo</w:t>
      </w:r>
      <w:r w:rsidR="0035446B" w:rsidRPr="00BB1331">
        <w:t>bupiva</w:t>
      </w:r>
      <w:r w:rsidR="0035446B" w:rsidRPr="00BB1331">
        <w:rPr>
          <w:lang w:val="id-ID"/>
        </w:rPr>
        <w:t>ca</w:t>
      </w:r>
      <w:r w:rsidR="0035446B" w:rsidRPr="00BB1331">
        <w:t>ine isobarik 0,125%</w:t>
      </w:r>
      <w:r w:rsidR="0035446B">
        <w:rPr>
          <w:lang w:val="id-ID"/>
        </w:rPr>
        <w:t xml:space="preserve"> tidak membutuhkan </w:t>
      </w:r>
      <w:r w:rsidR="0035446B" w:rsidRPr="00F426C1">
        <w:rPr>
          <w:i/>
          <w:iCs/>
          <w:lang w:val="id-ID" w:eastAsia="zh-CN"/>
        </w:rPr>
        <w:t>rescue opioid</w:t>
      </w:r>
      <w:r w:rsidR="0035446B">
        <w:rPr>
          <w:lang w:val="id-ID" w:eastAsia="zh-CN"/>
        </w:rPr>
        <w:t xml:space="preserve"> pada 24 jam pascabedah tonsilektomi yang serupa dengan kontrol.</w:t>
      </w:r>
    </w:p>
    <w:p w14:paraId="01AE5F80" w14:textId="77777777" w:rsidR="003360E7" w:rsidRPr="009D3D42" w:rsidRDefault="003360E7" w:rsidP="009D3D42">
      <w:pPr>
        <w:rPr>
          <w:rFonts w:eastAsiaTheme="minorEastAsia"/>
          <w:lang w:eastAsia="zh-CN"/>
        </w:rPr>
      </w:pPr>
    </w:p>
    <w:p w14:paraId="59166D06" w14:textId="6CDDB1E0" w:rsidR="009D3D42" w:rsidRPr="0035446B" w:rsidRDefault="000A4CBF" w:rsidP="009D3D42">
      <w:pPr>
        <w:pStyle w:val="Heading3"/>
        <w:numPr>
          <w:ilvl w:val="2"/>
          <w:numId w:val="32"/>
        </w:numPr>
        <w:spacing w:before="0" w:after="0" w:line="360" w:lineRule="auto"/>
        <w:jc w:val="both"/>
        <w:rPr>
          <w:lang w:eastAsia="zh-CN"/>
        </w:rPr>
      </w:pPr>
      <w:bookmarkStart w:id="144" w:name="_Toc158290308"/>
      <w:r w:rsidRPr="00B428B4">
        <w:rPr>
          <w:lang w:val="id-ID" w:eastAsia="zh-CN"/>
        </w:rPr>
        <w:lastRenderedPageBreak/>
        <w:t xml:space="preserve">Efek Pemberian </w:t>
      </w:r>
      <w:r w:rsidRPr="00BB1331">
        <w:rPr>
          <w:lang w:eastAsia="zh-CN"/>
        </w:rPr>
        <w:t>Blok Peritonsil</w:t>
      </w:r>
      <w:r w:rsidRPr="00B428B4">
        <w:rPr>
          <w:lang w:val="en-US" w:eastAsia="zh-CN"/>
        </w:rPr>
        <w:t>e</w:t>
      </w:r>
      <w:r w:rsidRPr="00BB1331">
        <w:rPr>
          <w:lang w:eastAsia="zh-CN"/>
        </w:rPr>
        <w:t xml:space="preserve">r </w:t>
      </w:r>
      <w:r w:rsidRPr="00B428B4">
        <w:rPr>
          <w:lang w:val="id-ID" w:eastAsia="zh-CN"/>
        </w:rPr>
        <w:t>Levo</w:t>
      </w:r>
      <w:r w:rsidRPr="00BB1331">
        <w:rPr>
          <w:lang w:eastAsia="zh-CN"/>
        </w:rPr>
        <w:t>bupiva</w:t>
      </w:r>
      <w:r w:rsidRPr="00B428B4">
        <w:rPr>
          <w:lang w:val="id-ID" w:eastAsia="zh-CN"/>
        </w:rPr>
        <w:t>ca</w:t>
      </w:r>
      <w:r w:rsidRPr="00BB1331">
        <w:rPr>
          <w:lang w:eastAsia="zh-CN"/>
        </w:rPr>
        <w:t xml:space="preserve">ine Isobarik 0,125% </w:t>
      </w:r>
      <w:r w:rsidRPr="00B428B4">
        <w:rPr>
          <w:lang w:val="id-ID" w:eastAsia="zh-CN"/>
        </w:rPr>
        <w:t>Terhadap</w:t>
      </w:r>
      <w:r>
        <w:rPr>
          <w:lang w:val="id-ID" w:eastAsia="zh-CN"/>
        </w:rPr>
        <w:t xml:space="preserve"> Efek Samping </w:t>
      </w:r>
      <w:r w:rsidRPr="00B428B4">
        <w:rPr>
          <w:lang w:val="id-ID" w:eastAsia="zh-CN"/>
        </w:rPr>
        <w:t>Pascabedah</w:t>
      </w:r>
      <w:r w:rsidRPr="00BB1331">
        <w:rPr>
          <w:lang w:eastAsia="zh-CN"/>
        </w:rPr>
        <w:t xml:space="preserve"> Tonsilektomi</w:t>
      </w:r>
      <w:bookmarkEnd w:id="144"/>
    </w:p>
    <w:p w14:paraId="2BE11B1D" w14:textId="135FF9D8" w:rsidR="00D570F4" w:rsidRPr="00A537B6" w:rsidRDefault="0035446B" w:rsidP="00A537B6">
      <w:pPr>
        <w:spacing w:line="360" w:lineRule="auto"/>
        <w:ind w:firstLine="709"/>
        <w:jc w:val="both"/>
        <w:rPr>
          <w:rFonts w:asciiTheme="minorHAnsi" w:eastAsia="SimSun" w:hAnsiTheme="minorHAnsi"/>
          <w:lang w:val="id-ID"/>
        </w:rPr>
      </w:pPr>
      <w:r w:rsidRPr="00BB1331">
        <w:rPr>
          <w:lang w:val="id-ID" w:eastAsia="zh-CN"/>
        </w:rPr>
        <w:t>B</w:t>
      </w:r>
      <w:proofErr w:type="spellStart"/>
      <w:r w:rsidRPr="00BB1331">
        <w:rPr>
          <w:lang w:val="en-US" w:eastAsia="zh-CN"/>
        </w:rPr>
        <w:t>erkait</w:t>
      </w:r>
      <w:proofErr w:type="spellEnd"/>
      <w:r w:rsidRPr="00BB1331">
        <w:rPr>
          <w:lang w:val="id-ID" w:eastAsia="zh-CN"/>
        </w:rPr>
        <w:t>an</w:t>
      </w:r>
      <w:r w:rsidRPr="00BB1331">
        <w:rPr>
          <w:lang w:val="en-US" w:eastAsia="zh-CN"/>
        </w:rPr>
        <w:t xml:space="preserve"> dengan </w:t>
      </w:r>
      <w:proofErr w:type="spellStart"/>
      <w:r w:rsidRPr="00BB1331">
        <w:rPr>
          <w:lang w:val="en-US" w:eastAsia="zh-CN"/>
        </w:rPr>
        <w:t>efek</w:t>
      </w:r>
      <w:proofErr w:type="spellEnd"/>
      <w:r w:rsidRPr="00BB1331">
        <w:rPr>
          <w:lang w:val="en-US" w:eastAsia="zh-CN"/>
        </w:rPr>
        <w:t xml:space="preserve"> </w:t>
      </w:r>
      <w:proofErr w:type="spellStart"/>
      <w:r w:rsidRPr="00BB1331">
        <w:rPr>
          <w:lang w:val="en-US" w:eastAsia="zh-CN"/>
        </w:rPr>
        <w:t>samping</w:t>
      </w:r>
      <w:proofErr w:type="spellEnd"/>
      <w:r w:rsidRPr="00BB1331">
        <w:rPr>
          <w:lang w:val="en-US" w:eastAsia="zh-CN"/>
        </w:rPr>
        <w:t xml:space="preserve">, </w:t>
      </w:r>
      <w:r>
        <w:rPr>
          <w:lang w:val="id-ID" w:eastAsia="zh-CN"/>
        </w:rPr>
        <w:t>pasien yang diberi maupun tanpa</w:t>
      </w:r>
      <w:r w:rsidRPr="00B428B4">
        <w:rPr>
          <w:lang w:val="id-ID" w:eastAsia="zh-CN"/>
        </w:rPr>
        <w:t xml:space="preserve"> </w:t>
      </w:r>
      <w:r w:rsidRPr="00BB1331">
        <w:rPr>
          <w:lang w:eastAsia="zh-CN"/>
        </w:rPr>
        <w:t>blok peritonsil</w:t>
      </w:r>
      <w:r w:rsidRPr="00B428B4">
        <w:rPr>
          <w:lang w:val="en-US" w:eastAsia="zh-CN"/>
        </w:rPr>
        <w:t>e</w:t>
      </w:r>
      <w:r w:rsidRPr="00BB1331">
        <w:rPr>
          <w:lang w:eastAsia="zh-CN"/>
        </w:rPr>
        <w:t xml:space="preserve">r </w:t>
      </w:r>
      <w:r w:rsidRPr="00B428B4">
        <w:rPr>
          <w:lang w:val="id-ID" w:eastAsia="zh-CN"/>
        </w:rPr>
        <w:t>levo</w:t>
      </w:r>
      <w:r w:rsidRPr="00BB1331">
        <w:rPr>
          <w:lang w:eastAsia="zh-CN"/>
        </w:rPr>
        <w:t>bupiva</w:t>
      </w:r>
      <w:r w:rsidRPr="00B428B4">
        <w:rPr>
          <w:lang w:val="id-ID" w:eastAsia="zh-CN"/>
        </w:rPr>
        <w:t>ca</w:t>
      </w:r>
      <w:r w:rsidRPr="00BB1331">
        <w:rPr>
          <w:lang w:eastAsia="zh-CN"/>
        </w:rPr>
        <w:t>ine isobarik 0,125%</w:t>
      </w:r>
      <w:r>
        <w:rPr>
          <w:lang w:val="id-ID" w:eastAsia="zh-CN"/>
        </w:rPr>
        <w:t xml:space="preserve"> </w:t>
      </w:r>
      <w:r w:rsidRPr="0035446B">
        <w:rPr>
          <w:rFonts w:eastAsia="AdvP4DF60E"/>
          <w:lang w:val="id-ID" w:eastAsia="zh-CN"/>
        </w:rPr>
        <w:t>tidak</w:t>
      </w:r>
      <w:r w:rsidRPr="00BB1331">
        <w:rPr>
          <w:lang w:val="en-US" w:eastAsia="zh-CN"/>
        </w:rPr>
        <w:t xml:space="preserve"> </w:t>
      </w:r>
      <w:r w:rsidRPr="00BB1331">
        <w:rPr>
          <w:lang w:val="id-ID" w:eastAsia="zh-CN"/>
        </w:rPr>
        <w:t>di</w:t>
      </w:r>
      <w:proofErr w:type="spellStart"/>
      <w:r w:rsidRPr="00BB1331">
        <w:rPr>
          <w:lang w:val="en-US" w:eastAsia="zh-CN"/>
        </w:rPr>
        <w:t>temukan</w:t>
      </w:r>
      <w:proofErr w:type="spellEnd"/>
      <w:r w:rsidRPr="00BB1331">
        <w:rPr>
          <w:lang w:val="en-US" w:eastAsia="zh-CN"/>
        </w:rPr>
        <w:t xml:space="preserve"> </w:t>
      </w:r>
      <w:proofErr w:type="spellStart"/>
      <w:r w:rsidRPr="00BB1331">
        <w:rPr>
          <w:lang w:val="en-US" w:eastAsia="zh-CN"/>
        </w:rPr>
        <w:t>kejadian</w:t>
      </w:r>
      <w:proofErr w:type="spellEnd"/>
      <w:r w:rsidRPr="00BB1331">
        <w:rPr>
          <w:lang w:val="en-US" w:eastAsia="zh-CN"/>
        </w:rPr>
        <w:t xml:space="preserve"> PONV </w:t>
      </w:r>
      <w:proofErr w:type="spellStart"/>
      <w:r w:rsidRPr="00BB1331">
        <w:rPr>
          <w:lang w:val="en-US" w:eastAsia="zh-CN"/>
        </w:rPr>
        <w:t>maupun</w:t>
      </w:r>
      <w:proofErr w:type="spellEnd"/>
      <w:r w:rsidRPr="00BB1331">
        <w:rPr>
          <w:lang w:val="en-US" w:eastAsia="zh-CN"/>
        </w:rPr>
        <w:t xml:space="preserve"> </w:t>
      </w:r>
      <w:proofErr w:type="spellStart"/>
      <w:r w:rsidRPr="00BB1331">
        <w:rPr>
          <w:lang w:val="en-US" w:eastAsia="zh-CN"/>
        </w:rPr>
        <w:t>nyeri</w:t>
      </w:r>
      <w:proofErr w:type="spellEnd"/>
      <w:r w:rsidRPr="00BB1331">
        <w:rPr>
          <w:lang w:val="en-US" w:eastAsia="zh-CN"/>
        </w:rPr>
        <w:t xml:space="preserve"> </w:t>
      </w:r>
      <w:proofErr w:type="spellStart"/>
      <w:r w:rsidRPr="00BB1331">
        <w:rPr>
          <w:lang w:val="en-US" w:eastAsia="zh-CN"/>
        </w:rPr>
        <w:t>kepala</w:t>
      </w:r>
      <w:proofErr w:type="spellEnd"/>
      <w:r w:rsidRPr="00BB1331">
        <w:rPr>
          <w:lang w:val="en-US" w:eastAsia="zh-CN"/>
        </w:rPr>
        <w:t xml:space="preserve"> </w:t>
      </w:r>
      <w:proofErr w:type="spellStart"/>
      <w:r w:rsidRPr="00BB1331">
        <w:rPr>
          <w:lang w:val="en-US" w:eastAsia="zh-CN"/>
        </w:rPr>
        <w:t>pascabedah</w:t>
      </w:r>
      <w:proofErr w:type="spellEnd"/>
      <w:r w:rsidRPr="00BB1331">
        <w:rPr>
          <w:lang w:val="en-US" w:eastAsia="zh-CN"/>
        </w:rPr>
        <w:t>.</w:t>
      </w:r>
      <w:r w:rsidR="00D570F4">
        <w:rPr>
          <w:lang w:val="id-ID" w:eastAsia="zh-CN"/>
        </w:rPr>
        <w:t xml:space="preserve"> </w:t>
      </w:r>
      <w:r w:rsidR="000F7D8D">
        <w:rPr>
          <w:lang w:val="id-ID" w:eastAsia="zh-CN"/>
        </w:rPr>
        <w:t xml:space="preserve">Hasil ini sejalan dengan penelitian Turhan </w:t>
      </w:r>
      <w:r w:rsidR="000F7D8D" w:rsidRPr="0087505F">
        <w:rPr>
          <w:i/>
          <w:iCs/>
          <w:lang w:val="id-ID" w:eastAsia="zh-CN"/>
        </w:rPr>
        <w:t>et al</w:t>
      </w:r>
      <w:r w:rsidR="000F7D8D">
        <w:rPr>
          <w:lang w:val="id-ID" w:eastAsia="zh-CN"/>
        </w:rPr>
        <w:t>.</w:t>
      </w:r>
      <w:r w:rsidR="000F7D8D">
        <w:rPr>
          <w:rFonts w:eastAsia="AdvP4DF60E"/>
          <w:lang w:val="id-ID"/>
        </w:rPr>
        <w:t xml:space="preserve"> bahwa </w:t>
      </w:r>
      <w:r w:rsidR="000F7D8D" w:rsidRPr="00BB1331">
        <w:rPr>
          <w:rFonts w:eastAsia="SimSun"/>
          <w:lang w:val="id-ID"/>
        </w:rPr>
        <w:t xml:space="preserve">infiltrasi levobupivakain ke dasar tonsil pada konsentrasi 0,5% dan 0,25% memberikan analgesia yang efektif </w:t>
      </w:r>
      <w:r w:rsidR="000F7D8D">
        <w:rPr>
          <w:rFonts w:eastAsia="SimSun"/>
          <w:lang w:val="id-ID"/>
        </w:rPr>
        <w:t xml:space="preserve">tanpa </w:t>
      </w:r>
      <w:r w:rsidR="000F7D8D" w:rsidRPr="00BB1331">
        <w:rPr>
          <w:rFonts w:eastAsia="SimSun"/>
          <w:lang w:val="id-ID"/>
        </w:rPr>
        <w:t>menimbulkan efek samping</w:t>
      </w:r>
      <w:r w:rsidR="000F7D8D">
        <w:rPr>
          <w:rFonts w:eastAsia="SimSun"/>
          <w:lang w:val="id-ID"/>
        </w:rPr>
        <w:t xml:space="preserve"> PONV.</w:t>
      </w:r>
      <w:r w:rsidR="000F7D8D">
        <w:rPr>
          <w:rFonts w:eastAsia="SimSun"/>
          <w:lang w:val="id-ID"/>
        </w:rPr>
        <w:fldChar w:fldCharType="begin" w:fldLock="1"/>
      </w:r>
      <w:r w:rsidR="000F7D8D">
        <w:rPr>
          <w:rFonts w:eastAsia="SimSun"/>
          <w:lang w:val="id-ID"/>
        </w:rPr>
        <w:instrText>ADDIN CSL_CITATION {"citationItems":[{"id":"ITEM-1","itemData":{"ISSN":"11283602","PMID":"25912590","abstract":"OBJECTIVE: Post-tonsillectomy pain is believed to be mediated by noxious stimulation of C-fiber afferents located in the peritonsillary space, and local anesthetic infiltration to this area may decrease pain by blocking the sensory pathways and thus preventing the nociceptive impulses. We aimed to compare the effects of different concentrations of preincisional peritonsillar levobupivacaine (0.25% and 0.5%) infiltration on postoperative pain and bleeding in a placebo-controlled design. PATIENTS AND METHODS: After obtaining Institutional Ethics Committee approval, 72 ASA III patients between 3 and 12 years of age, scheduled to undergo tonsillectomy were enrolled and randomly assigned to one of the three groups using the sealed envelope technique, as Group I (Control group), Group II, and Group III receiving preincisional bilateral peritonsillar infiltration with saline, 0.25% levobupivacaine and 0.5% levobupivacaine, respectively (3 mL to each tonsil). Pain, fever, dysphagia; nausea-vomiting and hemorrhage were evaluated at postoperative 0, 30, and 60 minutes and 2, 6, 12, and 24 hours. Oral paracetamol was administered at a dose of 15 mg/kg when FLACC score was &gt; 4. The number of paracetamol administrations within the first 24 hours were recorded. RESULTS: The patients in Groups I, II and III defined pain (FLACC &gt; 4) at a rate of 87%, 60.9%, and 54.2% within the postoperative first 24 hours, respectively.The total number of additional analgesic requirements was significantly low in Group II and III when compared with Group I. There was no difference between groups in terms of fever, dysphagia, nausea-vomiting, hemorrhage. CONCLUSIONS: Both concentrations (0.50% and 0.25%) of levobupivacaine were found to be equally safe and effective during preincisional peritonsillar infiltration in children. NCT number: 02322346.","author":[{"dropping-particle":"","family":"Turhan","given":"K. S.Cakar","non-dropping-particle":"","parse-names":false,"suffix":""},{"dropping-particle":"","family":"Salviz","given":"E. A.","non-dropping-particle":"","parse-names":false,"suffix":""},{"dropping-particle":"","family":"Beton","given":"S.","non-dropping-particle":"","parse-names":false,"suffix":""},{"dropping-particle":"","family":"Timuroglu","given":"S. T.","non-dropping-particle":"","parse-names":false,"suffix":""},{"dropping-particle":"","family":"Catav","given":"S.","non-dropping-particle":"","parse-names":false,"suffix":""},{"dropping-particle":"","family":"Ozatamer","given":"O.","non-dropping-particle":"","parse-names":false,"suffix":""}],"container-title":"European Review for Medical and Pharmacological Sciences","id":"ITEM-1","issue":"7","issued":{"date-parts":[["2015"]]},"page":"1276-1284","title":"Peritonsillar infiltration with levobupivacaine for posttonsillectomy pain relief: Does concentration have any effect? A double-blind randomized controlled clinical study","type":"article-journal","volume":"19"},"uris":["http://www.mendeley.com/documents/?uuid=6b8e36e1-c623-45e0-a9c8-5d3f412f9c46"]}],"mendeley":{"formattedCitation":"&lt;sup&gt;68&lt;/sup&gt;","plainTextFormattedCitation":"68","previouslyFormattedCitation":"&lt;sup&gt;68&lt;/sup&gt;"},"properties":{"noteIndex":0},"schema":"https://github.com/citation-style-language/schema/raw/master/csl-citation.json"}</w:instrText>
      </w:r>
      <w:r w:rsidR="000F7D8D">
        <w:rPr>
          <w:rFonts w:eastAsia="SimSun"/>
          <w:lang w:val="id-ID"/>
        </w:rPr>
        <w:fldChar w:fldCharType="separate"/>
      </w:r>
      <w:r w:rsidR="000F7D8D" w:rsidRPr="00C505BD">
        <w:rPr>
          <w:rFonts w:eastAsia="SimSun"/>
          <w:noProof/>
          <w:vertAlign w:val="superscript"/>
          <w:lang w:val="id-ID"/>
        </w:rPr>
        <w:t>68</w:t>
      </w:r>
      <w:r w:rsidR="000F7D8D">
        <w:rPr>
          <w:rFonts w:eastAsia="SimSun"/>
          <w:lang w:val="id-ID"/>
        </w:rPr>
        <w:fldChar w:fldCharType="end"/>
      </w:r>
      <w:r w:rsidR="000F7D8D">
        <w:rPr>
          <w:rFonts w:eastAsia="SimSun"/>
          <w:lang w:val="id-ID"/>
        </w:rPr>
        <w:t xml:space="preserve"> </w:t>
      </w:r>
      <w:r w:rsidR="00D570F4">
        <w:rPr>
          <w:rFonts w:eastAsia="SimSun"/>
          <w:lang w:val="id-ID"/>
        </w:rPr>
        <w:t>Sementara itu, pada penelitian</w:t>
      </w:r>
      <w:r w:rsidR="00A537B6">
        <w:rPr>
          <w:rFonts w:eastAsia="SimSun"/>
          <w:lang w:val="id-ID"/>
        </w:rPr>
        <w:t xml:space="preserve"> lain dengan dosis </w:t>
      </w:r>
      <w:r w:rsidR="00A537B6" w:rsidRPr="00BB1331">
        <w:rPr>
          <w:rFonts w:eastAsia="SimSun"/>
          <w:lang w:val="id-ID"/>
        </w:rPr>
        <w:t>levobupivacaine</w:t>
      </w:r>
      <w:r w:rsidR="00A537B6">
        <w:rPr>
          <w:rFonts w:eastAsia="SimSun"/>
          <w:lang w:val="id-ID"/>
        </w:rPr>
        <w:t xml:space="preserve"> yang lebih tinggi dari penelitian ini melaporkan adanya efek samping terhadap PONV.</w:t>
      </w:r>
      <w:r w:rsidR="00D570F4">
        <w:rPr>
          <w:rFonts w:eastAsia="SimSun"/>
          <w:lang w:val="id-ID"/>
        </w:rPr>
        <w:t xml:space="preserve"> </w:t>
      </w:r>
      <w:r w:rsidR="00A537B6">
        <w:rPr>
          <w:rFonts w:eastAsia="SimSun"/>
          <w:lang w:val="id-ID"/>
        </w:rPr>
        <w:t xml:space="preserve">Pada penelitian </w:t>
      </w:r>
      <w:r w:rsidR="00D570F4">
        <w:rPr>
          <w:rFonts w:eastAsia="SimSun"/>
          <w:lang w:val="id-ID"/>
        </w:rPr>
        <w:t>Cicekci</w:t>
      </w:r>
      <w:r w:rsidR="00D570F4" w:rsidRPr="0066055A">
        <w:rPr>
          <w:rFonts w:eastAsia="SimSun"/>
          <w:i/>
          <w:iCs/>
          <w:lang w:val="id-ID"/>
        </w:rPr>
        <w:t xml:space="preserve"> et al</w:t>
      </w:r>
      <w:r w:rsidR="00D570F4">
        <w:rPr>
          <w:rFonts w:eastAsia="SimSun"/>
          <w:lang w:val="id-ID"/>
        </w:rPr>
        <w:t xml:space="preserve">., </w:t>
      </w:r>
      <w:r w:rsidR="000F7D8D">
        <w:rPr>
          <w:rFonts w:eastAsia="SimSun"/>
          <w:lang w:val="id-ID"/>
        </w:rPr>
        <w:t xml:space="preserve">penggunaan </w:t>
      </w:r>
      <w:r w:rsidR="000F7D8D" w:rsidRPr="00BB1331">
        <w:rPr>
          <w:rFonts w:eastAsia="SimSun"/>
          <w:lang w:val="id-ID"/>
        </w:rPr>
        <w:t xml:space="preserve">infiltrasi levobupivacaine </w:t>
      </w:r>
      <w:r w:rsidR="000F7D8D">
        <w:rPr>
          <w:rFonts w:eastAsia="SimSun"/>
          <w:lang w:val="id-ID"/>
        </w:rPr>
        <w:t xml:space="preserve">0,5% </w:t>
      </w:r>
      <w:r w:rsidR="000F7D8D" w:rsidRPr="00BB1331">
        <w:rPr>
          <w:rFonts w:eastAsia="SimSun"/>
          <w:lang w:val="id-ID"/>
        </w:rPr>
        <w:t>ke fossa peritonsil</w:t>
      </w:r>
      <w:r w:rsidR="000F7D8D">
        <w:rPr>
          <w:rFonts w:eastAsia="SimSun"/>
          <w:lang w:val="id-ID"/>
        </w:rPr>
        <w:t xml:space="preserve"> menimbulkan </w:t>
      </w:r>
      <w:r w:rsidR="00D570F4">
        <w:rPr>
          <w:rFonts w:eastAsia="SimSun"/>
          <w:lang w:val="id-ID"/>
        </w:rPr>
        <w:t>i</w:t>
      </w:r>
      <w:r w:rsidR="00D570F4" w:rsidRPr="00BB1331">
        <w:rPr>
          <w:rFonts w:eastAsia="SimSun"/>
          <w:lang w:val="id-ID"/>
        </w:rPr>
        <w:t xml:space="preserve">nsiden PONV </w:t>
      </w:r>
      <w:r w:rsidR="000F7D8D">
        <w:rPr>
          <w:rFonts w:eastAsia="SimSun"/>
          <w:lang w:val="id-ID"/>
        </w:rPr>
        <w:t>meskipun lebih rendah dibandingkan kontrol</w:t>
      </w:r>
      <w:r w:rsidR="00A537B6">
        <w:rPr>
          <w:rFonts w:eastAsia="SimSun"/>
          <w:lang w:val="id-ID"/>
        </w:rPr>
        <w:t>,</w:t>
      </w:r>
      <w:r w:rsidR="006769D9">
        <w:rPr>
          <w:rFonts w:eastAsia="SimSun"/>
          <w:lang w:val="id-ID"/>
        </w:rPr>
        <w:t xml:space="preserve"> dari 40%</w:t>
      </w:r>
      <w:r w:rsidR="00A537B6">
        <w:rPr>
          <w:rFonts w:eastAsia="SimSun"/>
          <w:lang w:val="id-ID"/>
        </w:rPr>
        <w:t xml:space="preserve"> kejadian PONV</w:t>
      </w:r>
      <w:r w:rsidR="006769D9">
        <w:rPr>
          <w:rFonts w:eastAsia="SimSun"/>
          <w:lang w:val="id-ID"/>
        </w:rPr>
        <w:t xml:space="preserve"> pada kontrol menjadi 16%</w:t>
      </w:r>
      <w:r w:rsidR="00A537B6">
        <w:rPr>
          <w:rFonts w:eastAsia="SimSun"/>
          <w:lang w:val="id-ID"/>
        </w:rPr>
        <w:t xml:space="preserve"> kejadian PONV</w:t>
      </w:r>
      <w:r w:rsidR="006769D9">
        <w:rPr>
          <w:rFonts w:eastAsia="SimSun"/>
          <w:lang w:val="id-ID"/>
        </w:rPr>
        <w:t xml:space="preserve"> pada pasien yang mendapatkan </w:t>
      </w:r>
      <w:r w:rsidR="006769D9" w:rsidRPr="00BB1331">
        <w:rPr>
          <w:rFonts w:eastAsia="SimSun"/>
          <w:lang w:val="id-ID"/>
        </w:rPr>
        <w:t xml:space="preserve">infiltrasi levobupivacaine </w:t>
      </w:r>
      <w:r w:rsidR="006769D9">
        <w:rPr>
          <w:rFonts w:eastAsia="SimSun"/>
          <w:lang w:val="id-ID"/>
        </w:rPr>
        <w:t xml:space="preserve">0,5% </w:t>
      </w:r>
      <w:r w:rsidR="006769D9" w:rsidRPr="00BB1331">
        <w:rPr>
          <w:rFonts w:eastAsia="SimSun"/>
          <w:lang w:val="id-ID"/>
        </w:rPr>
        <w:t>ke fossa peritonsil</w:t>
      </w:r>
      <w:r w:rsidR="00D570F4">
        <w:rPr>
          <w:rFonts w:eastAsia="SimSun"/>
          <w:lang w:val="id-ID"/>
        </w:rPr>
        <w:t>.</w:t>
      </w:r>
      <w:r w:rsidR="00D570F4">
        <w:rPr>
          <w:rFonts w:eastAsia="DengXian"/>
          <w:lang w:val="id-ID" w:eastAsia="zh-CN"/>
        </w:rPr>
        <w:fldChar w:fldCharType="begin" w:fldLock="1"/>
      </w:r>
      <w:r w:rsidR="00D570F4">
        <w:rPr>
          <w:rFonts w:eastAsia="DengXian"/>
          <w:lang w:val="id-ID" w:eastAsia="zh-CN"/>
        </w:rPr>
        <w:instrText>ADDIN CSL_CITATION {"citationItems":[{"id":"ITEM-1","itemData":{"DOI":"10.1155/2017/8431823","ISSN":"12036765","PMID":"28912639","abstract":"Objectives. We aimed to assess the effects of levobupivacaine and of levobupivacaine + adrenaline administered during pediatric tonsillectomy on the postoperative period. Methods. A total of 90 patients between the ages of five and twelve were divided randomly into two groups before tonsillectomy: Levobupivacaine only (0.5%) 0.4 mg·kg-1 or levobupivacaine (0.5%) 0.4 mg·kg-1 + adrenaline (1: 200.000) administered by means of peritonsillar infiltration. Primary outcomes were postoperative pain scores recorded at various intervals until 24 hours postoperatively. Secondary outcomes included postoperative nausea and vomiting (PONV), time to first oral intake, time to the first administration of analgesics and total consumption of analgesics, and the amount of bleeding for all children. Results. In both groups, patients had the same postoperative pain scores and PONV rates, and equal amounts of analgesics were consumed up to 24 hours postoperatively. The two groups also had the same time until first oral intake, recovery time and time to the first analgesic request, and amount of bleeding. Conclusions. Perioperative levobupivacaine infiltration on its own is a valid alternative to the combination of levobupivacaine + adrenaline for perioperative and postoperative effectiveness in pediatric tonsillectomy. This trial is registered with Australian New Zealand Clinical Trial Registry ACTRN: ACTRN12617001167358.","author":[{"dropping-particle":"","family":"Cicekci","given":"Faruk","non-dropping-particle":"","parse-names":false,"suffix":""},{"dropping-particle":"","family":"Sizer","given":"Cigdem","non-dropping-particle":"","parse-names":false,"suffix":""},{"dropping-particle":"","family":"Atici","given":"Sait Selcuk","non-dropping-particle":"","parse-names":false,"suffix":""},{"dropping-particle":"","family":"Arican","given":"Sule","non-dropping-particle":"","parse-names":false,"suffix":""},{"dropping-particle":"","family":"Karaibrahimoglu","given":"Adnan","non-dropping-particle":"","parse-names":false,"suffix":""},{"dropping-particle":"","family":"Kara","given":"Inci","non-dropping-particle":"","parse-names":false,"suffix":""}],"container-title":"Pain Research and Management","id":"ITEM-1","issue":"d","issued":{"date-parts":[["2017"]]},"title":"Comparison of the Perioperative and Postoperative Effects of Levobupivacaine and of Levobupivacaine + Adrenaline in Pediatric Tonsillectomy: A Double-Blind Randomized Study","type":"article-journal","volume":"2017"},"uris":["http://www.mendeley.com/documents/?uuid=6d72a6e7-59c9-47bd-aa75-520951e0741a"]}],"mendeley":{"formattedCitation":"&lt;sup&gt;72&lt;/sup&gt;","plainTextFormattedCitation":"72","previouslyFormattedCitation":"&lt;sup&gt;72&lt;/sup&gt;"},"properties":{"noteIndex":0},"schema":"https://github.com/citation-style-language/schema/raw/master/csl-citation.json"}</w:instrText>
      </w:r>
      <w:r w:rsidR="00D570F4">
        <w:rPr>
          <w:rFonts w:eastAsia="DengXian"/>
          <w:lang w:val="id-ID" w:eastAsia="zh-CN"/>
        </w:rPr>
        <w:fldChar w:fldCharType="separate"/>
      </w:r>
      <w:r w:rsidR="00D570F4" w:rsidRPr="001C6031">
        <w:rPr>
          <w:rFonts w:eastAsia="DengXian"/>
          <w:noProof/>
          <w:vertAlign w:val="superscript"/>
          <w:lang w:val="id-ID" w:eastAsia="zh-CN"/>
        </w:rPr>
        <w:t>72</w:t>
      </w:r>
      <w:r w:rsidR="00D570F4">
        <w:rPr>
          <w:rFonts w:eastAsia="DengXian"/>
          <w:lang w:val="id-ID" w:eastAsia="zh-CN"/>
        </w:rPr>
        <w:fldChar w:fldCharType="end"/>
      </w:r>
      <w:r w:rsidR="00D570F4">
        <w:rPr>
          <w:rFonts w:eastAsia="SimSun"/>
          <w:lang w:val="id-ID"/>
        </w:rPr>
        <w:t xml:space="preserve"> </w:t>
      </w:r>
      <w:r w:rsidR="00A537B6" w:rsidRPr="00A537B6">
        <w:rPr>
          <w:rFonts w:eastAsia="SimSun"/>
          <w:lang w:val="id-ID"/>
        </w:rPr>
        <w:t xml:space="preserve">Pada penelitian </w:t>
      </w:r>
      <w:r w:rsidR="00A537B6" w:rsidRPr="00A537B6">
        <w:rPr>
          <w:rFonts w:eastAsia="AdvP4DF60E"/>
          <w:lang w:val="id-ID" w:eastAsia="en-ID"/>
        </w:rPr>
        <w:t xml:space="preserve">Kasapoglu </w:t>
      </w:r>
      <w:r w:rsidR="00A537B6" w:rsidRPr="00A537B6">
        <w:rPr>
          <w:rFonts w:eastAsia="AdvP4DF60E"/>
          <w:i/>
          <w:iCs/>
          <w:lang w:val="id-ID" w:eastAsia="en-ID"/>
        </w:rPr>
        <w:t>et al</w:t>
      </w:r>
      <w:r w:rsidR="00A537B6" w:rsidRPr="00A537B6">
        <w:rPr>
          <w:rFonts w:eastAsia="AdvP4DF60E"/>
          <w:lang w:val="id-ID" w:eastAsia="en-ID"/>
        </w:rPr>
        <w:t xml:space="preserve">., penggunaan </w:t>
      </w:r>
      <w:r w:rsidR="00A537B6" w:rsidRPr="00A537B6">
        <w:rPr>
          <w:rFonts w:eastAsia="SimSun"/>
          <w:lang w:val="id-ID"/>
        </w:rPr>
        <w:t>infiltrasi levobupivacaine 0,25% ke fossa peritonsil menimbulkan kejadian PONV yang serupa dengan penggunaan infiltrasi bupivacaine 0,25% ke fossa peritonsil dan kontrol.</w:t>
      </w:r>
      <w:r w:rsidR="00A537B6" w:rsidRPr="00A537B6">
        <w:rPr>
          <w:rFonts w:eastAsia="SimSun"/>
          <w:lang w:val="id-ID"/>
        </w:rPr>
        <w:fldChar w:fldCharType="begin" w:fldLock="1"/>
      </w:r>
      <w:r w:rsidR="00D745CF">
        <w:rPr>
          <w:rFonts w:eastAsia="SimSun"/>
          <w:lang w:val="id-ID"/>
        </w:rPr>
        <w:instrText>ADDIN CSL_CITATION {"citationItems":[{"id":"ITEM-1","itemData":{"DOI":"10.1016/j.ijporl.2010.11.015","ISSN":"01655876","PMID":"21168923","abstract":"Objectives: To compare the effects of preincisional peritonsillar infiltration of levobupivacaine and bupivacaine on post-tonsillectomy pain in children. Methods: Sixty children undergoing elective tonsillectomy or adenotonsillectomy were randomly allocated into three groups before tonsillectomy: peritonsillar infiltrations with 0.25% levobupivacaine with 1:200,000 epinephrine (group levobupivacaine, n= 20), 0.25% bupivacaine with 1:200,000 epinephrine (group bupivacaine, n= 20), and normal saline (group saline, n= 20) were applied. Pain was evaluated by using a modified Children's Hospital of Eastern Ontario Pain Scale (mCHEOPS). Choice of additional analgesic was acetaminophen for all patients. Results: mCHEOPS values at 0th (immediately) and 30th minute after arrival the PACU were lower in both the local anesthetics groups than the saline group (p&lt; 0.001, p&lt; 0.01 for the group levobupivacaine; p&lt; 0.001, p&lt; 0.05 for the group bupivacaine, respectively). In addition, mCHEOPS values at 1st hour in the ward was lower in the group bupivacaine when compared to the group saline (p&lt; 0.05). Analgesic requirements and the time to first analgesia required, were also significantly different between the local anesthetic and saline groups (p&lt; 0.05 for both local anesthetics groups). Time to first mobilization was shorter in both local anesthetic groups when compared to the saline group (p&lt; 0.05 for both local anesthetic groups). Conclusion: Preincisional peritonsillar infiltration with levobupivacaine or bupivacaine before tonsillectomy, are effective than saline, in reducing early post-tonsillectomy pain, where as bupivacaine had slightly longer effect. Compared to saline, with both anesthetic infiltrations, lesser medication for analgesia is required. The clinical trial registration number (Research Ethics Committee of Medical Faculty, Uludag University): 2008-4/36, 19 February 2008. © 2010 Elsevier Ireland Ltd.","author":[{"dropping-particle":"","family":"Kasapoglu","given":"Fikret","non-dropping-particle":"","parse-names":false,"suffix":""},{"dropping-particle":"","family":"Kaya","given":"Fatma Nur","non-dropping-particle":"","parse-names":false,"suffix":""},{"dropping-particle":"","family":"Tuzemen","given":"Gokhan","non-dropping-particle":"","parse-names":false,"suffix":""},{"dropping-particle":"","family":"Ozmen","given":"Omer Afsin","non-dropping-particle":"","parse-names":false,"suffix":""},{"dropping-particle":"","family":"Kaya","given":"Atila","non-dropping-particle":"","parse-names":false,"suffix":""},{"dropping-particle":"","family":"Onart","given":"Selcuk","non-dropping-particle":"","parse-names":false,"suffix":""}],"container-title":"International Journal of Pediatric Otorhinolaryngology","id":"ITEM-1","issue":"3","issued":{"date-parts":[["2011"]]},"page":"322-326","publisher":"Elsevier Ireland Ltd","title":"Comparison of peritonsillar levobupivacaine and bupivacaine infiltration for post-tonsillectomy pain relief in children: Placebo-controlled clinical study","type":"article-journal","volume":"75"},"uris":["http://www.mendeley.com/documents/?uuid=f0d12eb6-fcb0-4166-964b-b766f03e22ae"]}],"mendeley":{"formattedCitation":"&lt;sup&gt;13&lt;/sup&gt;","plainTextFormattedCitation":"13","previouslyFormattedCitation":"&lt;sup&gt;13&lt;/sup&gt;"},"properties":{"noteIndex":0},"schema":"https://github.com/citation-style-language/schema/raw/master/csl-citation.json"}</w:instrText>
      </w:r>
      <w:r w:rsidR="00A537B6" w:rsidRPr="00A537B6">
        <w:rPr>
          <w:rFonts w:eastAsia="SimSun"/>
          <w:lang w:val="id-ID"/>
        </w:rPr>
        <w:fldChar w:fldCharType="separate"/>
      </w:r>
      <w:r w:rsidR="00A537B6" w:rsidRPr="00A537B6">
        <w:rPr>
          <w:rFonts w:eastAsia="SimSun"/>
          <w:noProof/>
          <w:vertAlign w:val="superscript"/>
          <w:lang w:val="id-ID"/>
        </w:rPr>
        <w:t>13</w:t>
      </w:r>
      <w:r w:rsidR="00A537B6" w:rsidRPr="00A537B6">
        <w:rPr>
          <w:rFonts w:eastAsia="SimSun"/>
          <w:lang w:val="id-ID"/>
        </w:rPr>
        <w:fldChar w:fldCharType="end"/>
      </w:r>
      <w:r w:rsidR="00A537B6">
        <w:rPr>
          <w:rFonts w:eastAsia="SimSun"/>
          <w:lang w:val="id-ID"/>
        </w:rPr>
        <w:t xml:space="preserve"> Dengan demikian, dosis </w:t>
      </w:r>
      <w:r w:rsidR="00A537B6" w:rsidRPr="00BB1331">
        <w:rPr>
          <w:rFonts w:eastAsia="SimSun"/>
          <w:lang w:val="id-ID"/>
        </w:rPr>
        <w:t>levobupivacaine</w:t>
      </w:r>
      <w:r w:rsidR="00A537B6">
        <w:rPr>
          <w:rFonts w:eastAsia="SimSun"/>
          <w:lang w:val="id-ID"/>
        </w:rPr>
        <w:t xml:space="preserve"> yang lebih rendah lebih memberikan keamanan yang lebih baik. </w:t>
      </w:r>
    </w:p>
    <w:p w14:paraId="37509129" w14:textId="113AC2F2" w:rsidR="00D570F4" w:rsidRDefault="00D570F4" w:rsidP="00A77D50">
      <w:pPr>
        <w:spacing w:line="360" w:lineRule="auto"/>
        <w:ind w:firstLine="709"/>
        <w:jc w:val="both"/>
        <w:rPr>
          <w:rFonts w:eastAsia="AdvP4DF60E"/>
          <w:lang w:val="id-ID" w:eastAsia="zh-CN"/>
        </w:rPr>
      </w:pPr>
      <w:r w:rsidRPr="00BB1331">
        <w:rPr>
          <w:rFonts w:eastAsia="SimSun"/>
          <w:lang w:val="id-ID"/>
        </w:rPr>
        <w:t>Mual dan muntah umumnya terjadi setelah operasi adenotonsilektomi karena tertelannya darah sehingga mengakibatkan iritasi pada orofaring.</w:t>
      </w:r>
      <w:r>
        <w:rPr>
          <w:rFonts w:eastAsia="SimSun"/>
          <w:lang w:val="id-ID"/>
        </w:rPr>
        <w:fldChar w:fldCharType="begin" w:fldLock="1"/>
      </w:r>
      <w:r w:rsidR="00A77D50">
        <w:rPr>
          <w:rFonts w:eastAsia="SimSun"/>
          <w:lang w:val="id-ID"/>
        </w:rPr>
        <w:instrText>ADDIN CSL_CITATION {"citationItems":[{"id":"ITEM-1","itemData":{"DOI":"10.4103/roaic.roaic","ISSN":"2356-9115","abstract":"Purpose We evaluated the quality of analgesia produced by peritonsillar infiltration of levobupivacaine with either dexamethasone or dexmedetomidine in children undergoing tonsillectomy surgery. Patients and methods Patients scheduled for tonsillectomy were randomly allocated into three groups with 27 patients in each group. Group L received peritonsillar infiltration of 5 ml in volume of 0.4 mg/kg of 0.5% levobupivacaine, while group D received peritonsillar infiltration of 5 ml in volume of 0.4 mg/kg of 0.5% levobupivacaine mixed with dexamethasone 0.5 mg/kg and group X received peritonsillar infiltration of 5 ml in volume of 0.4 mg/kg of 0.5% levobupivacaine mixed with dexmedetomidine 1 μg/kg (with infiltration of 2.5 ml in each tonsil in all groups) with the first postoperative analgesic request as the primary outcome. Results Postoperative time to first analgesic paracetamol request was prolonged in group D (19.51±2.34 h) compared with group L (4.15±0.53 h) and group X (15.74±2.29 h). Face, leg, activity, cry, consolability (FLACC) Behavioral Pain Assessment score at rest and during swallowing decreased in group D compared with group L and group X. Total postoperative analgesic consumption decreased in group D (581.48±165.7 mg) compared with group L (1303.51±90.10 mg) and group X (680.50±160.67 mg). Conclusions We concluded that peritonsillar infiltration of levobupivacaine when mixed with either dexamethasone or dexmedetomidine for patients undergoing tonsillectomy produced prolonged analgesia; however, dexamethasone was superior to dexmedetomidine with more prolonged time to first paracetamol request and prolonged late postoperative pain relief.","author":[{"dropping-particle":"","family":"Hayes","given":"Salwa M S","non-dropping-particle":"","parse-names":false,"suffix":""},{"dropping-particle":"","family":"Ebada","given":"Hisham Atef","non-dropping-particle":"","parse-names":false,"suffix":""},{"dropping-particle":"","family":"Bendary","given":"Hanaa M","non-dropping-particle":"El","parse-names":false,"suffix":""}],"container-title":"Research and Opinion in Anesthesia &amp; Intensive Care","id":"ITEM-1","issue":"4","issued":{"date-parts":[["2022"]]},"page":"310-320","title":"Efficacy of peritonsillar infiltration of levobupivacaine-dexamethasone versus levobupivacaine-dexmedetomidine in children undergoing tonsillectomy surgery: a prospective, randomized double-blind study","type":"article-journal","volume":"9"},"uris":["http://www.mendeley.com/documents/?uuid=072c9440-f7cf-42f1-843f-4c072da260dc"]}],"mendeley":{"formattedCitation":"&lt;sup&gt;73&lt;/sup&gt;","plainTextFormattedCitation":"73","previouslyFormattedCitation":"&lt;sup&gt;73&lt;/sup&gt;"},"properties":{"noteIndex":0},"schema":"https://github.com/citation-style-language/schema/raw/master/csl-citation.json"}</w:instrText>
      </w:r>
      <w:r>
        <w:rPr>
          <w:rFonts w:eastAsia="SimSun"/>
          <w:lang w:val="id-ID"/>
        </w:rPr>
        <w:fldChar w:fldCharType="separate"/>
      </w:r>
      <w:r w:rsidRPr="00D570F4">
        <w:rPr>
          <w:rFonts w:eastAsia="SimSun"/>
          <w:noProof/>
          <w:vertAlign w:val="superscript"/>
          <w:lang w:val="id-ID"/>
        </w:rPr>
        <w:t>73</w:t>
      </w:r>
      <w:r>
        <w:rPr>
          <w:rFonts w:eastAsia="SimSun"/>
          <w:lang w:val="id-ID"/>
        </w:rPr>
        <w:fldChar w:fldCharType="end"/>
      </w:r>
      <w:r>
        <w:rPr>
          <w:rFonts w:eastAsia="SimSun"/>
          <w:lang w:val="id-ID"/>
        </w:rPr>
        <w:t xml:space="preserve"> </w:t>
      </w:r>
      <w:r w:rsidR="003360E7" w:rsidRPr="00BB1331">
        <w:rPr>
          <w:rFonts w:eastAsia="AdvP4DF60E"/>
          <w:lang w:val="id-ID"/>
        </w:rPr>
        <w:t xml:space="preserve">Infiltrasi anestesi lokal ke dalam jaringan peritonsil </w:t>
      </w:r>
      <w:r>
        <w:rPr>
          <w:rFonts w:eastAsia="AdvP4DF60E"/>
          <w:lang w:val="id-ID"/>
        </w:rPr>
        <w:t>juga dapat menimbulkan</w:t>
      </w:r>
      <w:r w:rsidR="003360E7" w:rsidRPr="00BB1331">
        <w:rPr>
          <w:rFonts w:eastAsia="AdvP4DF60E"/>
          <w:lang w:val="id-ID"/>
        </w:rPr>
        <w:t xml:space="preserve"> beberapa risiko. Komplikasi yang dilaporkan adalah kelumpuhan pita suara bilateral yang berlangsung selama 5 jam, obstruksi saluran napas atas yang parah dengan edema paru akibat blok vagal atau hipoglosus, abses serviks dalam yang mengancam jiwa, dan stroke batang otak akibat asistol jantung intraoperatif yang memerlukan trakeotomi dan selang gastrostomi. Hal ini terlihat terutama setelah infiltrasi anestesi lokal dengan volume yang lebih dalam dan lebih tinggi dengan vasokonstriktor ke dalam tonsil dan lapisan adenoid</w:t>
      </w:r>
      <w:r w:rsidR="003360E7" w:rsidRPr="00BB1331">
        <w:rPr>
          <w:rFonts w:eastAsiaTheme="minorEastAsia"/>
          <w:lang w:val="id-ID" w:eastAsia="zh-CN"/>
        </w:rPr>
        <w:t>. Tidak ada komplikasi besar seperti obstruksi jalan napas, perdarahan, dehidrasi, aritmia, atau toksisitas anestesi lokal yang terjadi.</w:t>
      </w:r>
      <w:r w:rsidR="003360E7">
        <w:rPr>
          <w:rFonts w:eastAsia="AdvP4DF60E"/>
          <w:lang w:val="id-ID"/>
        </w:rPr>
        <w:fldChar w:fldCharType="begin" w:fldLock="1"/>
      </w:r>
      <w:r w:rsidR="003360E7">
        <w:rPr>
          <w:rFonts w:eastAsia="AdvP4DF60E"/>
          <w:lang w:val="id-ID"/>
        </w:rPr>
        <w:instrText>ADDIN CSL_CITATION {"citationItems":[{"id":"ITEM-1","itemData":{"DOI":"10.1016/j.ijporl.2010.11.015","ISSN":"01655876","PMID":"21168923","abstract":"Objectives: To compare the effects of preincisional peritonsillar infiltration of levobupivacaine and bupivacaine on post-tonsillectomy pain in children. Methods: Sixty children undergoing elective tonsillectomy or adenotonsillectomy were randomly allocated into three groups before tonsillectomy: peritonsillar infiltrations with 0.25% levobupivacaine with 1:200,000 epinephrine (group levobupivacaine, n= 20), 0.25% bupivacaine with 1:200,000 epinephrine (group bupivacaine, n= 20), and normal saline (group saline, n= 20) were applied. Pain was evaluated by using a modified Children's Hospital of Eastern Ontario Pain Scale (mCHEOPS). Choice of additional analgesic was acetaminophen for all patients. Results: mCHEOPS values at 0th (immediately) and 30th minute after arrival the PACU were lower in both the local anesthetics groups than the saline group (p&lt; 0.001, p&lt; 0.01 for the group levobupivacaine; p&lt; 0.001, p&lt; 0.05 for the group bupivacaine, respectively). In addition, mCHEOPS values at 1st hour in the ward was lower in the group bupivacaine when compared to the group saline (p&lt; 0.05). Analgesic requirements and the time to first analgesia required, were also significantly different between the local anesthetic and saline groups (p&lt; 0.05 for both local anesthetics groups). Time to first mobilization was shorter in both local anesthetic groups when compared to the saline group (p&lt; 0.05 for both local anesthetic groups). Conclusion: Preincisional peritonsillar infiltration with levobupivacaine or bupivacaine before tonsillectomy, are effective than saline, in reducing early post-tonsillectomy pain, where as bupivacaine had slightly longer effect. Compared to saline, with both anesthetic infiltrations, lesser medication for analgesia is required. The clinical trial registration number (Research Ethics Committee of Medical Faculty, Uludag University): 2008-4/36, 19 February 2008. © 2010 Elsevier Ireland Ltd.","author":[{"dropping-particle":"","family":"Kasapoglu","given":"Fikret","non-dropping-particle":"","parse-names":false,"suffix":""},{"dropping-particle":"","family":"Kaya","given":"Fatma Nur","non-dropping-particle":"","parse-names":false,"suffix":""},{"dropping-particle":"","family":"Tuzemen","given":"Gokhan","non-dropping-particle":"","parse-names":false,"suffix":""},{"dropping-particle":"","family":"Ozmen","given":"Omer Afsin","non-dropping-particle":"","parse-names":false,"suffix":""},{"dropping-particle":"","family":"Kaya","given":"Atila","non-dropping-particle":"","parse-names":false,"suffix":""},{"dropping-particle":"","family":"Onart","given":"Selcuk","non-dropping-particle":"","parse-names":false,"suffix":""}],"container-title":"International Journal of Pediatric Otorhinolaryngology","id":"ITEM-1","issue":"3","issued":{"date-parts":[["2011"]]},"page":"322-326","publisher":"Elsevier Ireland Ltd","title":"Comparison of peritonsillar levobupivacaine and bupivacaine infiltration for post-tonsillectomy pain relief in children: Placebo-controlled clinical study","type":"article-journal","volume":"75"},"uris":["http://www.mendeley.com/documents/?uuid=f0d12eb6-fcb0-4166-964b-b766f03e22ae"]}],"mendeley":{"formattedCitation":"&lt;sup&gt;13&lt;/sup&gt;","plainTextFormattedCitation":"13","previouslyFormattedCitation":"&lt;sup&gt;13&lt;/sup&gt;"},"properties":{"noteIndex":0},"schema":"https://github.com/citation-style-language/schema/raw/master/csl-citation.json"}</w:instrText>
      </w:r>
      <w:r w:rsidR="003360E7">
        <w:rPr>
          <w:rFonts w:eastAsia="AdvP4DF60E"/>
          <w:lang w:val="id-ID"/>
        </w:rPr>
        <w:fldChar w:fldCharType="separate"/>
      </w:r>
      <w:r w:rsidR="003360E7" w:rsidRPr="003360E7">
        <w:rPr>
          <w:rFonts w:eastAsia="AdvP4DF60E"/>
          <w:noProof/>
          <w:vertAlign w:val="superscript"/>
          <w:lang w:val="id-ID"/>
        </w:rPr>
        <w:t>13</w:t>
      </w:r>
      <w:r w:rsidR="003360E7">
        <w:rPr>
          <w:rFonts w:eastAsia="AdvP4DF60E"/>
          <w:lang w:val="id-ID"/>
        </w:rPr>
        <w:fldChar w:fldCharType="end"/>
      </w:r>
      <w:r>
        <w:rPr>
          <w:rFonts w:eastAsia="AdvP4DF60E"/>
          <w:lang w:val="id-ID"/>
        </w:rPr>
        <w:t xml:space="preserve"> </w:t>
      </w:r>
      <w:r w:rsidR="00A77D50" w:rsidRPr="00BB1331">
        <w:t>Ada peningkatan risiko komplikasi jika infiltrasinya dalam dan jumlah anestesi lokal yang lebih banyak ke dasar tonsil.</w:t>
      </w:r>
      <w:r w:rsidR="00A77D50">
        <w:fldChar w:fldCharType="begin" w:fldLock="1"/>
      </w:r>
      <w:r w:rsidR="00A77D50">
        <w:instrText>ADDIN CSL_CITATION {"citationItems":[{"id":"ITEM-1","itemData":{"DOI":"10.1055/s-0039-1684037","ISSN":"18094864","abstract":"Introduction Posttonsillectomy pain results in significant morbidity to the patients. There is a disagreement in the literature regarding the use of local anesthetics during tonsillectomy. The aim of this placebo-controlled, double-blind study is to evaluate the effect of peritonsillar administration of local anesthetics. Objective To evaluate the role of intraoperative use of analgesics in tonsillar fossa and postoperative evaluation with visual analogue scale (VAS) scores in achieving pain relief after tonsillectomy procedure Methods In this study, 180 patients were randomized to 1 of the 6 groups: bupivacaine infiltration, lidocaine infiltration, normal saline infiltration, bupivacaine packing, lidocaine packing, and normal saline packing. Pain caused by speaking, swallowing, and on rest was assessed using VAS at 4, 8, 12, 16 hours, and at discharge. Results Significant analgesia was obtained in patients who received bupivacaine infiltration and packing compared with placebo (p &lt; 0.05). The majority of the study subjects had no postoperative complications, and patients receiving bupivacaine infiltration required less additional analgesics in the first 24 hours after surgery. Conclusion We advocate the use of bupivacaine infiltration or packing immediately following the procedure to achieve adequate po</w:instrText>
      </w:r>
      <w:r w:rsidR="00A77D50">
        <w:rPr>
          <w:lang w:eastAsia="zh-CN"/>
        </w:rPr>
        <w:instrText>stoperative analgesia.","author":[{"dropping-particle":"","family":"Junaid","given":"Montasir","non-dropping-particle":"","parse-names":false,"suffix":""},{"dropping-particle":"","family":"Halim","given":"Muhammad Sohail","non-dropping-particle":"","parse-names":false,"suffix":""},{"dropping-particle":"","family":"Shiraz Onali","given":"Maisam Abbas","non-dropping-particle":"","parse-names":false,"suffix":""},{"dropping-particle":"","family":"Qadeer","given":"Sadaf","non-dropping-particle":"","parse-names":false,"suffix":""},{"dropping-particle":"","family":"Khan","given":"Hareem Usman","non-dropping-particle":"","parse-names":false,"suffix":""},{"dropping-particle":"","family":"Ali","given":"Naeem Sultan","non-dropping-particle":"","parse-names":false,"suffix":""}],"container-title":"International Archives of Otorhinolaryngology","id":"ITEM-1","issue":"1","issued":{"date-parts":[["2020"]]},"page":"E62-E67","title":"Intraoperative use of analgesics in tonsillar fossa and postoperative evaluation with visual analogue scale scores—A prospective, randomized, placebo-controlled, double-blind clinical trial","type":"article-journal","volume":"24"},"uris":["http://www.mendeley.com/documents/?uuid=1747f85f-d6b7-431c-8f2c-121c54ed121a"]}],"mendeley":{"formattedCitation":"&lt;sup&gt;74&lt;/sup&gt;","plainTextFormattedCitation":"74","previouslyFormattedCitation":"&lt;sup&gt;74&lt;/sup&gt;"},"properties":{"noteIndex":0},"schema":"https://github.com/citation-style-language/schema/raw/master/csl-citation.json"}</w:instrText>
      </w:r>
      <w:r w:rsidR="00A77D50">
        <w:fldChar w:fldCharType="separate"/>
      </w:r>
      <w:r w:rsidR="00A77D50" w:rsidRPr="00A77D50">
        <w:rPr>
          <w:noProof/>
          <w:vertAlign w:val="superscript"/>
          <w:lang w:eastAsia="zh-CN"/>
        </w:rPr>
        <w:t>74</w:t>
      </w:r>
      <w:r w:rsidR="00A77D50">
        <w:fldChar w:fldCharType="end"/>
      </w:r>
      <w:r w:rsidR="00A77D50">
        <w:rPr>
          <w:rFonts w:eastAsia="AdvP4DF60E"/>
          <w:lang w:val="id-ID" w:eastAsia="zh-CN"/>
        </w:rPr>
        <w:t xml:space="preserve"> </w:t>
      </w:r>
      <w:r>
        <w:rPr>
          <w:rFonts w:eastAsia="AdvP4DF60E"/>
          <w:lang w:val="id-ID" w:eastAsia="zh-CN"/>
        </w:rPr>
        <w:t>Namun pada penelitian ini, efek sam</w:t>
      </w:r>
      <w:r w:rsidR="00A77D50">
        <w:rPr>
          <w:rFonts w:eastAsia="AdvP4DF60E"/>
          <w:lang w:val="id-ID" w:eastAsia="zh-CN"/>
        </w:rPr>
        <w:t>p</w:t>
      </w:r>
      <w:r>
        <w:rPr>
          <w:rFonts w:eastAsia="AdvP4DF60E"/>
          <w:lang w:val="id-ID" w:eastAsia="zh-CN"/>
        </w:rPr>
        <w:t xml:space="preserve">ing sakit kepala dan mual dan muntah tidak terjadi pada pasien yang </w:t>
      </w:r>
      <w:r>
        <w:rPr>
          <w:lang w:val="id-ID" w:eastAsia="zh-CN"/>
        </w:rPr>
        <w:t>diberi maupun tanpa</w:t>
      </w:r>
      <w:r w:rsidRPr="00B428B4">
        <w:rPr>
          <w:lang w:val="id-ID" w:eastAsia="zh-CN"/>
        </w:rPr>
        <w:t xml:space="preserve"> </w:t>
      </w:r>
      <w:r w:rsidRPr="00BB1331">
        <w:rPr>
          <w:lang w:eastAsia="zh-CN"/>
        </w:rPr>
        <w:t>blok peritonsil</w:t>
      </w:r>
      <w:r w:rsidRPr="00B428B4">
        <w:rPr>
          <w:lang w:val="en-US" w:eastAsia="zh-CN"/>
        </w:rPr>
        <w:t>e</w:t>
      </w:r>
      <w:r w:rsidRPr="00BB1331">
        <w:rPr>
          <w:lang w:eastAsia="zh-CN"/>
        </w:rPr>
        <w:t xml:space="preserve">r </w:t>
      </w:r>
      <w:r w:rsidRPr="00B428B4">
        <w:rPr>
          <w:lang w:val="id-ID" w:eastAsia="zh-CN"/>
        </w:rPr>
        <w:t>levo</w:t>
      </w:r>
      <w:r w:rsidRPr="00BB1331">
        <w:rPr>
          <w:lang w:eastAsia="zh-CN"/>
        </w:rPr>
        <w:t>bupiva</w:t>
      </w:r>
      <w:r w:rsidRPr="00B428B4">
        <w:rPr>
          <w:lang w:val="id-ID" w:eastAsia="zh-CN"/>
        </w:rPr>
        <w:t>ca</w:t>
      </w:r>
      <w:r w:rsidRPr="00BB1331">
        <w:rPr>
          <w:lang w:eastAsia="zh-CN"/>
        </w:rPr>
        <w:t>ine isobarik 0,125%</w:t>
      </w:r>
      <w:r>
        <w:rPr>
          <w:lang w:val="id-ID" w:eastAsia="zh-CN"/>
        </w:rPr>
        <w:t>.</w:t>
      </w:r>
    </w:p>
    <w:p w14:paraId="3D63AB56" w14:textId="17D0D7C0" w:rsidR="00A77D50" w:rsidRDefault="003360E7" w:rsidP="00A77D50">
      <w:pPr>
        <w:spacing w:line="360" w:lineRule="auto"/>
        <w:ind w:firstLine="709"/>
        <w:jc w:val="both"/>
        <w:rPr>
          <w:rFonts w:eastAsia="SimSun"/>
          <w:lang w:val="id-ID"/>
        </w:rPr>
      </w:pPr>
      <w:r>
        <w:rPr>
          <w:rFonts w:eastAsiaTheme="minorEastAsia"/>
          <w:lang w:val="id-ID" w:eastAsia="zh-CN"/>
        </w:rPr>
        <w:t>L</w:t>
      </w:r>
      <w:r w:rsidRPr="00BB1331">
        <w:rPr>
          <w:rFonts w:eastAsiaTheme="minorEastAsia"/>
          <w:lang w:val="id-ID" w:eastAsia="zh-CN"/>
        </w:rPr>
        <w:t>evobupivakain, yang merupakan enansiomer dari rasemat murni bupivakain S (-), kurang toksik, memberikan efek analgesik serupa dengan bupivakain, memiliki margin keamanan yang lebih luas dan membentuk blok motorik yang lebih sedikit. Levobupivacaine umumnya merupakan anestesi dan analgesik yang dapat ditoleransi dengan baik dengan efektivitas klinis yang luas dan dapat digunakan sebagai alternatif pengganti bupivacaine</w:t>
      </w:r>
      <w:r>
        <w:rPr>
          <w:rFonts w:eastAsiaTheme="minorEastAsia"/>
          <w:lang w:val="id-ID" w:eastAsia="zh-CN"/>
        </w:rPr>
        <w:t>.</w:t>
      </w:r>
      <w:r>
        <w:rPr>
          <w:rFonts w:eastAsiaTheme="minorEastAsia"/>
          <w:lang w:val="id-ID" w:eastAsia="zh-CN"/>
        </w:rPr>
        <w:fldChar w:fldCharType="begin" w:fldLock="1"/>
      </w:r>
      <w:r w:rsidR="00A77D50">
        <w:rPr>
          <w:rFonts w:eastAsiaTheme="minorEastAsia"/>
          <w:lang w:val="id-ID" w:eastAsia="zh-CN"/>
        </w:rPr>
        <w:instrText>ADDIN CSL_CITATION {"citationItems":[{"id":"ITEM-1","itemData":{"ISSN":"11283602","PMID":"23242731","abstract":"BACKGROUND: Caudal anesthesia is widely used as intraoperative and postoperative analgesia in children's subumbilical surgeries such as on the urogenital system, lower extremities and lower abdomen to reduce the stress response to surgery and to facilitate the general anesthesia. AIM: The purpose of this study was to compare the effects of caudally administered bupivacaine and levobupivacaine of equal volume and concentration on motor block and postoperative pain in children undergoing circumcision surgery. PATIENTS AND METHODS: The prospective, randomized, double-blind study included 60 patients with ages ranging from 1-10 years and ASA (American Society of Anesthesiologists) physical status of I-II who underwent elective circumcision surgery. The patients were divided into two groups: group B received 0.5 ml/kg of bupivacaine 0.25% caudally and group L received 0.5 ml/kg of levobupivacaine 0.25% caudally. Postoperative pain was assessed by children's and infant's postoperative pain scale and motor block was assessed by the Bromage scale. RESULTS: The mean children's and infant's postoperative pain scale of group B was significantly lower than that of group L (p &lt; 0.001). Three patients in group B and seven patients in group L needed additional analgesia after the incision. There was no significant difference between groups in terms of Bromage scores and in both groups the residual motor block was found to be zero at the 150th minutes. CONCLUSION: According to these findings, bupivacaine has an adequate quality of analgesia than levobupivacaine. We suggest that bupivacaine for caudal block at the concentration of 0.25% (0.5 ml/kg) provides an adequate level of analgesia for outpatient circumcision surgery.","author":[{"dropping-particle":"","family":"Kaya","given":"Z.","non-dropping-particle":"","parse-names":false,"suffix":""},{"dropping-particle":"","family":"Süren","given":"M.","non-dropping-particle":"","parse-names":false,"suffix":""},{"dropping-particle":"","family":"Arici","given":"S.","non-dropping-particle":"","parse-names":false,"suffix":""},{"dropping-particle":"","family":"Karaman","given":"S.","non-dropping-particle":"","parse-names":false,"suffix":""},{"dropping-particle":"","family":"Tapar","given":"H.","non-dropping-particle":"","parse-names":false,"suffix":""},{"dropping-particle":"","family":"Erdemir","given":"F.","non-dropping-particle":"","parse-names":false,"suffix":""}],"container-title":"European Review for Medical and Pharmacological Sciences","id":"ITEM-1","issue":"14","issued":{"date-parts":[["2012"]]},"page":"2014-2020","title":"Prospective, randomized, double-blinded comparison of the effects of caudally administered levobupivacaine 0.25% and bupivacaine 0.25% on pain and motor block in children undergoing circumcision surgery","type":"article-journal","volume":"16"},"uris":["http://www.mendeley.com/documents/?uuid=5db4f2a6-69ee-43a7-a72b-62fb658fc46e"]}],"mendeley":{"formattedCitation":"&lt;sup&gt;75&lt;/sup&gt;","plainTextFormattedCitation":"75","previouslyFormattedCitation":"&lt;sup&gt;75&lt;/sup&gt;"},"properties":{"noteIndex":0},"schema":"https://github.com/citation-style-language/schema/raw/master/csl-citation.json"}</w:instrText>
      </w:r>
      <w:r>
        <w:rPr>
          <w:rFonts w:eastAsiaTheme="minorEastAsia"/>
          <w:lang w:val="id-ID" w:eastAsia="zh-CN"/>
        </w:rPr>
        <w:fldChar w:fldCharType="separate"/>
      </w:r>
      <w:r w:rsidR="00A77D50" w:rsidRPr="00A77D50">
        <w:rPr>
          <w:rFonts w:eastAsiaTheme="minorEastAsia"/>
          <w:noProof/>
          <w:vertAlign w:val="superscript"/>
          <w:lang w:val="id-ID" w:eastAsia="zh-CN"/>
        </w:rPr>
        <w:t>75</w:t>
      </w:r>
      <w:r>
        <w:rPr>
          <w:rFonts w:eastAsiaTheme="minorEastAsia"/>
          <w:lang w:val="id-ID" w:eastAsia="zh-CN"/>
        </w:rPr>
        <w:fldChar w:fldCharType="end"/>
      </w:r>
      <w:r w:rsidR="00D570F4">
        <w:rPr>
          <w:rFonts w:eastAsia="AdvP4DF60E"/>
          <w:lang w:val="id-ID"/>
        </w:rPr>
        <w:t xml:space="preserve"> </w:t>
      </w:r>
      <w:r w:rsidR="0066055A" w:rsidRPr="00BB1331">
        <w:rPr>
          <w:rFonts w:eastAsia="SimSun"/>
          <w:lang w:val="id-ID"/>
        </w:rPr>
        <w:lastRenderedPageBreak/>
        <w:t>Anestesi lokal lebih disukai untuk mengendalikan nyeri karena sifat farmakologisnya, seperti menghalangi jalur sensorik dan mencegah pembentukan hipersensitisasi sentral.</w:t>
      </w:r>
      <w:r w:rsidR="0066055A">
        <w:rPr>
          <w:rFonts w:eastAsia="SimSun"/>
          <w:lang w:val="id-ID"/>
        </w:rPr>
        <w:fldChar w:fldCharType="begin" w:fldLock="1"/>
      </w:r>
      <w:r w:rsidR="0066055A">
        <w:rPr>
          <w:rFonts w:eastAsia="SimSun"/>
          <w:lang w:val="id-ID"/>
        </w:rPr>
        <w:instrText>ADDIN CSL_CITATION {"citationItems":[{"id":"ITEM-1","itemData":{"ISSN":"1781782X","PMID":"25675664","abstract":"PROBLEM/OBJECTIVE: We compared the effects of preincisional peritonsillar infiltration of 5 ml levobupivacaine hydrochloride (50 mg/10 ml) on bleeding during surgery and pain after tonsillectomy in patients aged 16 years or older.\nMETHODOLOGY: The study was conducted in 44 adult patients who underwent tonsillectomy. These patients were randomized to either the study group (SG) who received levobupivacaine infiltration to the peritonsillary fossae prior to surgery, or a control group (CG) treated with 0.9% sodium chloride infiltration to the peritonsillary fossae prior to incision. The volume of intraoperative bleeding was recorded. Pain was evaluated using a visual analogue scale (VAS). The first pain score was assessed immediately after arriving in the postoperative care unit. VAS scores were subsequently re-assessed 2, 4, 8, 12, and 24 hours postoperatively. The first analgesic requirement wa</w:instrText>
      </w:r>
      <w:r w:rsidR="0066055A">
        <w:rPr>
          <w:rFonts w:eastAsia="SimSun" w:hint="eastAsia"/>
          <w:lang w:val="id-ID"/>
        </w:rPr>
        <w:instrText xml:space="preserve">s assessed 24 hours postoperatively.\nRESULTS: The pain relieving effect in the levobupivacaine group was statistically significant 2, 4, 12, and 24 hours postoperatively (p </w:instrText>
      </w:r>
      <w:r w:rsidR="0066055A">
        <w:rPr>
          <w:rFonts w:eastAsia="SimSun" w:hint="eastAsia"/>
          <w:lang w:val="id-ID"/>
        </w:rPr>
        <w:instrText>≤</w:instrText>
      </w:r>
      <w:r w:rsidR="0066055A">
        <w:rPr>
          <w:rFonts w:eastAsia="SimSun" w:hint="eastAsia"/>
          <w:lang w:val="id-ID"/>
        </w:rPr>
        <w:instrText xml:space="preserve"> 0.05), but there was no difference in VAS scores between groups at the first and 8-hour postoperative assessments. There were no differences between the two groups regarding analgesic requirements. The difference between the mean intraoperative blood loss in the SG and CG was statistically significant (p </w:instrText>
      </w:r>
      <w:r w:rsidR="0066055A">
        <w:rPr>
          <w:rFonts w:eastAsia="SimSun" w:hint="eastAsia"/>
          <w:lang w:val="id-ID"/>
        </w:rPr>
        <w:instrText>≤</w:instrText>
      </w:r>
      <w:r w:rsidR="0066055A">
        <w:rPr>
          <w:rFonts w:eastAsia="SimSun" w:hint="eastAsia"/>
          <w:lang w:val="id-ID"/>
        </w:rPr>
        <w:instrText xml:space="preserve"> 0.05). No serious complica</w:instrText>
      </w:r>
      <w:r w:rsidR="0066055A">
        <w:rPr>
          <w:rFonts w:eastAsia="SimSun"/>
          <w:lang w:val="id-ID"/>
        </w:rPr>
        <w:instrText>tions were observed in either group.\nCONCLUSION: Preincisional levobupivacaine infiltration seems to be a safe and easily applied medication for postoperative pain control, and decreased the volume of intraoperative blood loss in adult patients after tonsillectomy.","author":[{"dropping-particle":"","family":"Erdogan","given":"B. A.","non-dropping-particle":"","parse-names":false,"suffix":""},{"dropping-particle":"","family":"Aydin","given":"S.","non-dropping-particle":"","parse-names":false,"suffix":""},{"dropping-particle":"","family":"Paksoy","given":"M.","non-dropping-particle":"","parse-names":false,"suffix":""},{"dropping-particle":"","family":"Sanli","given":"A.","non-dropping-particle":"","parse-names":false,"suffix":""},{"dropping-particle":"","family":"Sevim","given":"S.","non-dropping-particle":"","parse-names":false,"suffix":""}],"container-title":"B-Ent","id":"ITEM-1","issue":"3","issued":{"date-parts":[["2014"]]},"page":"193-197","title":"Efficacy of preincisional levobupivacaine for adult tonsillectomy patients","type":"article-journal","volume":"10"},"uris":["http://www.mendeley.com/documents/?uuid=c8bd2668-449e-4d53-961d-d4d121f00973"]}],"mendeley":{"formattedCitation":"&lt;sup&gt;69&lt;/sup&gt;","plainTextFormattedCitation":"69","previouslyFormattedCitation":"&lt;sup&gt;69&lt;/sup&gt;"},"properties":{"noteIndex":0},"schema":"https://github.com/citation-style-language/schema/raw/master/csl-citation.json"}</w:instrText>
      </w:r>
      <w:r w:rsidR="0066055A">
        <w:rPr>
          <w:rFonts w:eastAsia="SimSun"/>
          <w:lang w:val="id-ID"/>
        </w:rPr>
        <w:fldChar w:fldCharType="separate"/>
      </w:r>
      <w:r w:rsidR="0066055A" w:rsidRPr="0066055A">
        <w:rPr>
          <w:rFonts w:eastAsia="SimSun"/>
          <w:noProof/>
          <w:vertAlign w:val="superscript"/>
          <w:lang w:val="id-ID"/>
        </w:rPr>
        <w:t>69</w:t>
      </w:r>
      <w:r w:rsidR="0066055A">
        <w:rPr>
          <w:rFonts w:eastAsia="SimSun"/>
          <w:lang w:val="id-ID"/>
        </w:rPr>
        <w:fldChar w:fldCharType="end"/>
      </w:r>
      <w:r w:rsidR="0066055A">
        <w:rPr>
          <w:rFonts w:eastAsia="SimSun"/>
          <w:lang w:val="id-ID"/>
        </w:rPr>
        <w:t xml:space="preserve"> </w:t>
      </w:r>
      <w:r w:rsidR="0066055A" w:rsidRPr="00BB1331">
        <w:rPr>
          <w:rFonts w:eastAsia="SimSun"/>
          <w:lang w:val="id-ID"/>
        </w:rPr>
        <w:t xml:space="preserve">Alasan penggunaan </w:t>
      </w:r>
      <w:r w:rsidR="0066055A">
        <w:rPr>
          <w:rFonts w:eastAsia="SimSun"/>
          <w:lang w:val="id-ID"/>
        </w:rPr>
        <w:t>anestesi lokal</w:t>
      </w:r>
      <w:r w:rsidR="0066055A" w:rsidRPr="00BB1331">
        <w:rPr>
          <w:rFonts w:eastAsia="SimSun"/>
          <w:lang w:val="id-ID"/>
        </w:rPr>
        <w:t xml:space="preserve"> pada perioperatif tidak hanya untuk memblokir eksitasi nosiseptif perifer tetapi juga untuk mencegah sensitisasi sistem saraf pusat.</w:t>
      </w:r>
      <w:r w:rsidR="0066055A">
        <w:rPr>
          <w:rFonts w:eastAsia="DengXian"/>
          <w:lang w:val="id-ID" w:eastAsia="zh-CN"/>
        </w:rPr>
        <w:fldChar w:fldCharType="begin" w:fldLock="1"/>
      </w:r>
      <w:r w:rsidR="0066055A">
        <w:rPr>
          <w:rFonts w:eastAsia="DengXian"/>
          <w:lang w:val="id-ID" w:eastAsia="zh-CN"/>
        </w:rPr>
        <w:instrText>ADDIN CSL_CITATION {"citationItems":[{"id":"ITEM-1","itemData":{"DOI":"10.1155/2017/8431823","ISSN":"12036765","PMID":"28912639","abstract":"Objectives. We aimed to assess the effects of levobupivacaine and of levobupivacaine + adrenaline administered during pediatric tonsillectomy on the postoperative period. Methods. A total of 90 patients between the ages of five and twelve were divided randomly into two groups before tonsillectomy: Levobupivacaine only (0.5%) 0.4 mg·kg-1 or levobupivacaine (0.5%) 0.4 mg·kg-1 + adrenaline (1: 200.000) administered by means of peritonsillar infiltration. Primary outcomes were postoperative pain scores recorded at various intervals until 24 hours postoperatively. Secondary outcomes included postoperative nausea and vomiting (PONV), time to first oral intake, time to the first administration of analgesics and total consumption of analgesics, and the amount of bleeding for all children. Results. In both groups, patients had the same postoperative pain scores and PONV rates, and equal amounts of analgesics were consumed up to 24 hours postoperatively. The two groups also had the same time until first oral intake, recovery time and time to the first analgesic request, and amount of bleeding. Conclusions. Perioperative levobupivacaine infiltration on its own is a valid alternative to the combination of levobupivacaine + adrenaline for perioperative and postoperative effectiveness in pediatric tonsillectomy. This trial is registered with Australian New Zealand Clinical Trial Registry ACTRN: ACTRN12617001167358.","author":[{"dropping-particle":"","family":"Cicekci","given":"Faruk","non-dropping-particle":"","parse-names":false,"suffix":""},{"dropping-particle":"","family":"Sizer","given":"Cigdem","non-dropping-particle":"","parse-names":false,"suffix":""},{"dropping-particle":"","family":"Atici","given":"Sait Selcuk","non-dropping-particle":"","parse-names":false,"suffix":""},{"dropping-particle":"","family":"Arican","given":"Sule","non-dropping-particle":"","parse-names":false,"suffix":""},{"dropping-particle":"","family":"Karaibrahimoglu","given":"Adnan","non-dropping-particle":"","parse-names":false,"suffix":""},{"dropping-particle":"","family":"Kara","given":"Inci","non-dropping-particle":"","parse-names":false,"suffix":""}],"container-title":"Pain Research and Management","id":"ITEM-1","issue":"d","issued":{"date-parts":[["2017"]]},"title":"Comparison of the Perioperative and Postoperative Effects of Levobupivacaine and of Levobupivacaine + Adrenaline in Pediatric Tonsillectomy: A Double-Blind Randomized Study","type":"article-journal","volume":"2017"},"uris":["http://www.mendeley.com/documents/?uuid=6d72a6e7-59c9-47bd-aa75-520951e0741a"]}],"mendeley":{"formattedCitation":"&lt;sup&gt;72&lt;/sup&gt;","plainTextFormattedCitation":"72","previouslyFormattedCitation":"&lt;sup&gt;72&lt;/sup&gt;"},"properties":{"noteIndex":0},"schema":"https://github.com/citation-style-language/schema/raw/master/csl-citation.json"}</w:instrText>
      </w:r>
      <w:r w:rsidR="0066055A">
        <w:rPr>
          <w:rFonts w:eastAsia="DengXian"/>
          <w:lang w:val="id-ID" w:eastAsia="zh-CN"/>
        </w:rPr>
        <w:fldChar w:fldCharType="separate"/>
      </w:r>
      <w:r w:rsidR="0066055A" w:rsidRPr="001C6031">
        <w:rPr>
          <w:rFonts w:eastAsia="DengXian"/>
          <w:noProof/>
          <w:vertAlign w:val="superscript"/>
          <w:lang w:val="id-ID" w:eastAsia="zh-CN"/>
        </w:rPr>
        <w:t>72</w:t>
      </w:r>
      <w:r w:rsidR="0066055A">
        <w:rPr>
          <w:rFonts w:eastAsia="DengXian"/>
          <w:lang w:val="id-ID" w:eastAsia="zh-CN"/>
        </w:rPr>
        <w:fldChar w:fldCharType="end"/>
      </w:r>
      <w:r w:rsidR="00D570F4">
        <w:rPr>
          <w:rFonts w:eastAsia="AdvP4DF60E"/>
          <w:lang w:val="id-ID"/>
        </w:rPr>
        <w:t xml:space="preserve"> Tidak</w:t>
      </w:r>
      <w:r w:rsidR="00A77D50">
        <w:rPr>
          <w:rFonts w:eastAsia="AdvP4DF60E"/>
          <w:lang w:val="id-ID"/>
        </w:rPr>
        <w:t xml:space="preserve"> </w:t>
      </w:r>
      <w:r w:rsidR="00D570F4">
        <w:rPr>
          <w:rFonts w:eastAsia="AdvP4DF60E"/>
          <w:lang w:val="id-ID"/>
        </w:rPr>
        <w:t xml:space="preserve">adanya mual dan muntah dapat dihindari dengan meminimalisisr </w:t>
      </w:r>
      <w:r w:rsidR="00D570F4">
        <w:rPr>
          <w:rFonts w:eastAsia="SimSun"/>
          <w:lang w:val="id-ID"/>
        </w:rPr>
        <w:t>f</w:t>
      </w:r>
      <w:r w:rsidR="0066055A" w:rsidRPr="00BB1331">
        <w:rPr>
          <w:rFonts w:eastAsia="SimSun"/>
          <w:lang w:val="id-ID"/>
        </w:rPr>
        <w:t xml:space="preserve">aktor risiko seminimal mungkin. Faktor risikonya adalah penggunaan nitrous oxide, agen volatil, unggahan dosis tinggi, hidrasi yang tidak memadai, kecemasan, dan pengobatan nyeri yang tidak memadai. </w:t>
      </w:r>
      <w:r w:rsidR="0066055A">
        <w:rPr>
          <w:rFonts w:eastAsia="SimSun"/>
          <w:lang w:val="id-ID"/>
        </w:rPr>
        <w:t>P</w:t>
      </w:r>
      <w:r w:rsidR="0066055A" w:rsidRPr="00BB1331">
        <w:rPr>
          <w:rFonts w:eastAsia="SimSun"/>
          <w:lang w:val="id-ID"/>
        </w:rPr>
        <w:t>enggunaan kauter dan jahitan yang lebih sedikit akan menurunkan sensitivitas terhadap mual dan muntah. Kauterisasi bipolar pada titik perdarahan untuk mengatasi perdarahan perioperatif menyebabkan kerusakan jaringan berlebihan pada dasar tonsil dan meningkatkan nyeri tenggorokan pasca operasi. Nyeri pasca operasi tidak hanya menyebabkan ketakutan dan ketidaknyamanan tetapi juga mempengaruhi waktu pemberian oral pertama.</w:t>
      </w:r>
      <w:r w:rsidR="0066055A">
        <w:rPr>
          <w:rFonts w:eastAsia="DengXian"/>
          <w:lang w:val="id-ID" w:eastAsia="zh-CN"/>
        </w:rPr>
        <w:fldChar w:fldCharType="begin" w:fldLock="1"/>
      </w:r>
      <w:r w:rsidR="0066055A">
        <w:rPr>
          <w:rFonts w:eastAsia="DengXian"/>
          <w:lang w:val="id-ID" w:eastAsia="zh-CN"/>
        </w:rPr>
        <w:instrText>ADDIN CSL_CITATION {"citationItems":[{"id":"ITEM-1","itemData":{"DOI":"10.1155/2017/8431823","ISSN":"12036765","PMID":"28912639","abstract":"Objectives. We aimed to assess the effects of levobupivacaine and of levobupivacaine + adrenaline administered during pediatric tonsillectomy on the postoperative period. Methods. A total of 90 patients between the ages of five and twelve were divided randomly into two groups before tonsillectomy: Levobupivacaine only (0.5%) 0.4 mg·kg-1 or levobupivacaine (0.5%) 0.4 mg·kg-1 + adrenaline (1: 200.000) administered by means of peritonsillar infiltration. Primary outcomes were postoperative pain scores recorded at various intervals until 24 hours postoperatively. Secondary outcomes included postoperative nausea and vomiting (PONV), time to first oral intake, time to the first administration of analgesics and total consumption of analgesics, and the amount of bleeding for all children. Results. In both groups, patients had the same postoperative pain scores and PONV rates, and equal amounts of analgesics were consumed up to 24 hours postoperatively. The two groups also had the same time until first oral intake, recovery time and time to the first analgesic request, and amount of bleeding. Conclusions. Perioperative levobupivacaine infiltration on its own is a valid alternative to the combination of levobupivacaine + adrenaline for perioperative and postoperative effectiveness in pediatric tonsillectomy. This trial is registered with Australian New Zealand Clinical Trial Registry ACTRN: ACTRN12617001167358.","author":[{"dropping-particle":"","family":"Cicekci","given":"Faruk","non-dropping-particle":"","parse-names":false,"suffix":""},{"dropping-particle":"","family":"Sizer","given":"Cigdem","non-dropping-particle":"","parse-names":false,"suffix":""},{"dropping-particle":"","family":"Atici","given":"Sait Selcuk","non-dropping-particle":"","parse-names":false,"suffix":""},{"dropping-particle":"","family":"Arican","given":"Sule","non-dropping-particle":"","parse-names":false,"suffix":""},{"dropping-particle":"","family":"Karaibrahimoglu","given":"Adnan","non-dropping-particle":"","parse-names":false,"suffix":""},{"dropping-particle":"","family":"Kara","given":"Inci","non-dropping-particle":"","parse-names":false,"suffix":""}],"container-title":"Pain Research and Management","id":"ITEM-1","issue":"d","issued":{"date-parts":[["2017"]]},"title":"Comparison of the Perioperative and Postoperative Effects of Levobupivacaine and of Levobupivacaine + Adrenaline in Pediatric Tonsillectomy: A Double-Blind Randomized Study","type":"article-journal","volume":"2017"},"uris":["http://www.mendeley.com/documents/?uuid=6d72a6e7-59c9-47bd-aa75-520951e0741a"]}],"mendeley":{"formattedCitation":"&lt;sup&gt;72&lt;/sup&gt;","plainTextFormattedCitation":"72","previouslyFormattedCitation":"&lt;sup&gt;72&lt;/sup&gt;"},"properties":{"noteIndex":0},"schema":"https://github.com/citation-style-language/schema/raw/master/csl-citation.json"}</w:instrText>
      </w:r>
      <w:r w:rsidR="0066055A">
        <w:rPr>
          <w:rFonts w:eastAsia="DengXian"/>
          <w:lang w:val="id-ID" w:eastAsia="zh-CN"/>
        </w:rPr>
        <w:fldChar w:fldCharType="separate"/>
      </w:r>
      <w:r w:rsidR="0066055A" w:rsidRPr="001C6031">
        <w:rPr>
          <w:rFonts w:eastAsia="DengXian"/>
          <w:noProof/>
          <w:vertAlign w:val="superscript"/>
          <w:lang w:val="id-ID" w:eastAsia="zh-CN"/>
        </w:rPr>
        <w:t>72</w:t>
      </w:r>
      <w:r w:rsidR="0066055A">
        <w:rPr>
          <w:rFonts w:eastAsia="DengXian"/>
          <w:lang w:val="id-ID" w:eastAsia="zh-CN"/>
        </w:rPr>
        <w:fldChar w:fldCharType="end"/>
      </w:r>
      <w:r w:rsidR="0066055A" w:rsidRPr="00BB1331">
        <w:rPr>
          <w:rFonts w:eastAsia="SimSun"/>
          <w:lang w:val="id-ID"/>
        </w:rPr>
        <w:t xml:space="preserve"> </w:t>
      </w:r>
      <w:r w:rsidR="00D570F4">
        <w:rPr>
          <w:rFonts w:eastAsia="SimSun"/>
          <w:lang w:val="id-ID"/>
        </w:rPr>
        <w:t>Tidak adanya kejadian mual dan muntah pada penelitian ini dapat disebabkan karena minimalnya p</w:t>
      </w:r>
      <w:r w:rsidR="00D570F4" w:rsidRPr="00BB1331">
        <w:rPr>
          <w:rFonts w:eastAsia="SimSun"/>
          <w:lang w:val="id-ID"/>
        </w:rPr>
        <w:t>enggunaan kauter dan jahitan</w:t>
      </w:r>
      <w:r w:rsidR="00D570F4">
        <w:rPr>
          <w:rFonts w:eastAsia="SimSun"/>
          <w:lang w:val="id-ID"/>
        </w:rPr>
        <w:t xml:space="preserve"> pada bedah tonsilektomi penelitian ini.</w:t>
      </w:r>
      <w:r w:rsidR="00A77D50">
        <w:rPr>
          <w:rFonts w:eastAsia="SimSun"/>
          <w:lang w:val="id-ID"/>
        </w:rPr>
        <w:t xml:space="preserve"> </w:t>
      </w:r>
    </w:p>
    <w:p w14:paraId="130EE763" w14:textId="142C486D" w:rsidR="00A537B6" w:rsidRDefault="00A77D50" w:rsidP="00A537B6">
      <w:pPr>
        <w:spacing w:line="360" w:lineRule="auto"/>
        <w:ind w:firstLine="709"/>
        <w:jc w:val="both"/>
        <w:rPr>
          <w:rFonts w:eastAsia="SimSun"/>
          <w:lang w:val="id-ID"/>
        </w:rPr>
      </w:pPr>
      <w:r>
        <w:rPr>
          <w:rFonts w:eastAsia="SimSun"/>
          <w:lang w:val="id-ID"/>
        </w:rPr>
        <w:t xml:space="preserve">Penelitian ini menunjukkan bahwa </w:t>
      </w:r>
      <w:r w:rsidRPr="00BB1331">
        <w:t>blok peritonsil</w:t>
      </w:r>
      <w:r w:rsidRPr="00F426C1">
        <w:rPr>
          <w:lang w:val="id-ID"/>
        </w:rPr>
        <w:t>e</w:t>
      </w:r>
      <w:r w:rsidRPr="00BB1331">
        <w:t xml:space="preserve">r </w:t>
      </w:r>
      <w:r w:rsidRPr="00B428B4">
        <w:rPr>
          <w:lang w:val="id-ID"/>
        </w:rPr>
        <w:t>levo</w:t>
      </w:r>
      <w:r w:rsidRPr="00BB1331">
        <w:t>bupiva</w:t>
      </w:r>
      <w:r w:rsidRPr="00B428B4">
        <w:rPr>
          <w:lang w:val="id-ID"/>
        </w:rPr>
        <w:t>ca</w:t>
      </w:r>
      <w:r w:rsidRPr="00BB1331">
        <w:t>ine isobarik 0,125%</w:t>
      </w:r>
      <w:r>
        <w:rPr>
          <w:lang w:val="id-ID"/>
        </w:rPr>
        <w:t xml:space="preserve"> aman untuk digunakan dalam bedah tonsilektomi.</w:t>
      </w:r>
      <w:r>
        <w:rPr>
          <w:rFonts w:eastAsia="SimSun"/>
          <w:lang w:val="id-ID"/>
        </w:rPr>
        <w:t xml:space="preserve"> Hasil ini mendukung hasil penelitian Ozmen </w:t>
      </w:r>
      <w:r w:rsidRPr="00A77D50">
        <w:rPr>
          <w:rFonts w:eastAsia="SimSun"/>
          <w:i/>
          <w:iCs/>
          <w:lang w:val="id-ID"/>
        </w:rPr>
        <w:t>et al</w:t>
      </w:r>
      <w:r>
        <w:rPr>
          <w:rFonts w:eastAsia="SimSun"/>
          <w:lang w:val="id-ID"/>
        </w:rPr>
        <w:t>. bahwa i</w:t>
      </w:r>
      <w:r w:rsidRPr="00BB1331">
        <w:rPr>
          <w:rFonts w:eastAsia="SimSun"/>
          <w:lang w:val="id-ID"/>
        </w:rPr>
        <w:t>nfiltrasi lokal levobupivacaine merupakan metode yang relatif aman dan efektif serta setara dengan penggunaan bupivacaine untuk nyeri pascatonsilektomi.</w:t>
      </w:r>
      <w:r>
        <w:rPr>
          <w:rFonts w:eastAsia="SimSun"/>
          <w:lang w:val="id-ID"/>
        </w:rPr>
        <w:fldChar w:fldCharType="begin" w:fldLock="1"/>
      </w:r>
      <w:r>
        <w:rPr>
          <w:rFonts w:eastAsia="SimSun"/>
          <w:lang w:val="id-ID"/>
        </w:rPr>
        <w:instrText>ADDIN CSL_CITATION {"citationItems":[{"id":"ITEM-1","itemData":{"abstract":"OBJECTIVE To compare the effects of bupivacaine, lidocaine and saline injections in alleviating post tonsillectomy pain. METHOD We recruited 60 patients into the study. All subjects were randomly allocated into 3 groups. Group 1 received 0.9% sodium chloride (saline group), group 2 received 0.25% bupivacaine (bupivacaine group) and group 3 received 2% lidocaine (lidocaine group), infiltrated around each tonsil. Pain was evaluated with McGrath's face scale. RESULT The postoperative pain scores at 2 and 6 hours were similar among the groups (P&gt;0.05). The pain scores in the bupivacaine group were lower than those in the saline group at 12 h (P&lt;0.05). The pain scores in the bupivacaine and lidocaine groups were significantly lower than those in the saline group from 18 to 24 hours until day 7 (P&lt;0.05). There was no difference between the bupivacaine and lidocaine groups (P&gt; 0.05). CONCLUSION Local infiltration of bupivacaine is a relatively and safe effective method and is equivalent to use of lidocaine for post tonsillectomy pain.","author":[{"dropping-particle":"","family":"Süay Özmen","given":"MD","non-dropping-particle":"","parse-names":false,"suffix":""},{"dropping-particle":"","family":"Özmen","given":"Ömer Afşin","non-dropping-particle":"","parse-names":false,"suffix":""},{"dropping-particle":"","family":"Kasapoǧlu","given":"Fikret","non-dropping-particle":"","parse-names":false,"suffix":""}],"container-title":"Annals of Otology, Rhinology &amp; Laryngology","id":"ITEM-1","issue":"7","issued":{"date-parts":[["2011"]]},"page":"489-93","title":"Effects of bupivacaine versus bupivacaine infiltration on postoperative analgesia in pediatric tonsillectomy patients.","type":"article-journal","volume":"120"},"uris":["http://www.mendeley.com/documents/?uuid=4c2960d8-1c43-4cd8-84b7-d969c00ae996"]}],"mendeley":{"formattedCitation":"&lt;sup&gt;60&lt;/sup&gt;","plainTextFormattedCitation":"60","previouslyFormattedCitation":"&lt;sup&gt;60&lt;/sup&gt;"},"properties":{"noteIndex":0},"schema":"https://github.com/citation-style-language/schema/raw/master/csl-citation.json"}</w:instrText>
      </w:r>
      <w:r>
        <w:rPr>
          <w:rFonts w:eastAsia="SimSun"/>
          <w:lang w:val="id-ID"/>
        </w:rPr>
        <w:fldChar w:fldCharType="separate"/>
      </w:r>
      <w:r w:rsidRPr="00A77D50">
        <w:rPr>
          <w:rFonts w:eastAsia="SimSun"/>
          <w:noProof/>
          <w:vertAlign w:val="superscript"/>
          <w:lang w:val="id-ID"/>
        </w:rPr>
        <w:t>60</w:t>
      </w:r>
      <w:r>
        <w:rPr>
          <w:rFonts w:eastAsia="SimSun"/>
          <w:lang w:val="id-ID"/>
        </w:rPr>
        <w:fldChar w:fldCharType="end"/>
      </w:r>
      <w:r w:rsidR="00A537B6">
        <w:rPr>
          <w:rFonts w:eastAsia="SimSun"/>
          <w:lang w:val="id-ID"/>
        </w:rPr>
        <w:t xml:space="preserve"> Pada penelitian Erdogan </w:t>
      </w:r>
      <w:r w:rsidR="00A537B6" w:rsidRPr="0087505F">
        <w:rPr>
          <w:rFonts w:eastAsia="SimSun"/>
          <w:i/>
          <w:iCs/>
          <w:lang w:val="id-ID"/>
        </w:rPr>
        <w:t>et al</w:t>
      </w:r>
      <w:r w:rsidR="00A537B6">
        <w:rPr>
          <w:rFonts w:eastAsia="SimSun"/>
          <w:lang w:val="id-ID"/>
        </w:rPr>
        <w:t xml:space="preserve">. juga menyatakan bahwa pemberian </w:t>
      </w:r>
      <w:r w:rsidR="00A537B6" w:rsidRPr="00BB1331">
        <w:rPr>
          <w:rFonts w:eastAsia="SimSun"/>
          <w:lang w:val="id-ID"/>
        </w:rPr>
        <w:t xml:space="preserve">infiltrasi levobupivacaine </w:t>
      </w:r>
      <w:r w:rsidR="00A537B6">
        <w:rPr>
          <w:rFonts w:eastAsia="SimSun"/>
          <w:lang w:val="id-ID"/>
        </w:rPr>
        <w:t xml:space="preserve">0,5% </w:t>
      </w:r>
      <w:r w:rsidR="00A537B6" w:rsidRPr="00BB1331">
        <w:rPr>
          <w:rFonts w:eastAsia="SimSun"/>
          <w:lang w:val="id-ID"/>
        </w:rPr>
        <w:t xml:space="preserve">ke fossa peritonsil sebelum operasi </w:t>
      </w:r>
      <w:r w:rsidR="00A537B6">
        <w:rPr>
          <w:rFonts w:eastAsia="SimSun"/>
          <w:lang w:val="id-ID"/>
        </w:rPr>
        <w:t>memberikan hasil bahwa t</w:t>
      </w:r>
      <w:r w:rsidR="00A537B6" w:rsidRPr="00BB1331">
        <w:rPr>
          <w:rFonts w:eastAsia="SimSun"/>
          <w:lang w:val="id-ID"/>
        </w:rPr>
        <w:t xml:space="preserve">idak ada perbedaan antara kedua kelompok mengenai </w:t>
      </w:r>
      <w:r w:rsidR="00A537B6">
        <w:rPr>
          <w:rFonts w:eastAsia="SimSun"/>
          <w:lang w:val="id-ID"/>
        </w:rPr>
        <w:t>komplikasi dimana t</w:t>
      </w:r>
      <w:r w:rsidR="00A537B6" w:rsidRPr="00BB1331">
        <w:rPr>
          <w:rFonts w:eastAsia="SimSun"/>
          <w:lang w:val="id-ID"/>
        </w:rPr>
        <w:t xml:space="preserve">idak ada komplikasi </w:t>
      </w:r>
      <w:r w:rsidR="00A537B6">
        <w:rPr>
          <w:rFonts w:eastAsia="SimSun"/>
          <w:lang w:val="id-ID"/>
        </w:rPr>
        <w:t xml:space="preserve">yang </w:t>
      </w:r>
      <w:r w:rsidR="00A537B6" w:rsidRPr="00BB1331">
        <w:rPr>
          <w:rFonts w:eastAsia="SimSun"/>
          <w:lang w:val="id-ID"/>
        </w:rPr>
        <w:t xml:space="preserve">serius </w:t>
      </w:r>
      <w:r w:rsidR="00A537B6">
        <w:rPr>
          <w:rFonts w:eastAsia="SimSun"/>
          <w:lang w:val="id-ID"/>
        </w:rPr>
        <w:t xml:space="preserve">seperti </w:t>
      </w:r>
      <w:r w:rsidR="00A537B6" w:rsidRPr="000F7D8D">
        <w:rPr>
          <w:rFonts w:eastAsia="SimSun"/>
          <w:lang w:val="id-ID"/>
        </w:rPr>
        <w:t>obstruksi jalan napas, perdarahan, dehidrasi, aritmia, atau toksisitas anestesi lokal terjadi</w:t>
      </w:r>
      <w:r w:rsidR="00A537B6">
        <w:rPr>
          <w:rFonts w:eastAsia="SimSun"/>
          <w:lang w:val="id-ID"/>
        </w:rPr>
        <w:t xml:space="preserve"> </w:t>
      </w:r>
      <w:r w:rsidR="00A537B6" w:rsidRPr="00BB1331">
        <w:rPr>
          <w:rFonts w:eastAsia="SimSun"/>
          <w:lang w:val="id-ID"/>
        </w:rPr>
        <w:t>pada kedua kelompok</w:t>
      </w:r>
      <w:r w:rsidR="00A537B6">
        <w:rPr>
          <w:rFonts w:eastAsia="SimSun"/>
          <w:lang w:val="id-ID"/>
        </w:rPr>
        <w:t xml:space="preserve"> tersebut</w:t>
      </w:r>
      <w:r w:rsidR="00A537B6" w:rsidRPr="00BB1331">
        <w:rPr>
          <w:rFonts w:eastAsia="SimSun"/>
          <w:lang w:val="id-ID"/>
        </w:rPr>
        <w:t>.</w:t>
      </w:r>
      <w:r w:rsidR="00A537B6">
        <w:rPr>
          <w:rFonts w:eastAsia="SimSun"/>
          <w:lang w:val="id-ID"/>
        </w:rPr>
        <w:fldChar w:fldCharType="begin" w:fldLock="1"/>
      </w:r>
      <w:r w:rsidR="00A537B6">
        <w:rPr>
          <w:rFonts w:eastAsia="SimSun"/>
          <w:lang w:val="id-ID"/>
        </w:rPr>
        <w:instrText>ADDIN CSL_CITATION {"citationItems":[{"id":"ITEM-1","itemData":{"ISSN":"1781782X","PMID":"25675664","abstract":"PROBLEM/OBJECTIVE: We compared the effects of preincisional peritonsillar infiltration of 5 ml levobupivacaine hydrochloride (50 mg/10 ml) on bleeding during surgery and pain after tonsillectomy in patients aged 16 years or older.\nMETHODOLOGY: The study was conducted in 44 adult patients who underwent tonsillectomy. These patients were randomized to either the study group (SG) who received levobupivacaine infiltration to the peritonsillary fossae prior to surgery, or a control group (CG) treated with 0.9% sodium chloride infiltration to the peritonsillary fossae prior to incision. The volume of intraoperative bleeding was recorded. Pain was evaluated using a visual analogue scale (VAS). The first pain score was assessed immediately after arriving in the postoperative care unit. VAS scores were subsequently re-assessed 2, 4, 8, 12, and 24 hours postoperatively. The first analgesic requirement wa</w:instrText>
      </w:r>
      <w:r w:rsidR="00A537B6">
        <w:rPr>
          <w:rFonts w:eastAsia="SimSun" w:hint="eastAsia"/>
          <w:lang w:val="id-ID"/>
        </w:rPr>
        <w:instrText xml:space="preserve">s assessed 24 hours postoperatively.\nRESULTS: The pain relieving effect in the levobupivacaine group was statistically significant 2, 4, 12, and 24 hours postoperatively (p </w:instrText>
      </w:r>
      <w:r w:rsidR="00A537B6">
        <w:rPr>
          <w:rFonts w:eastAsia="SimSun" w:hint="eastAsia"/>
          <w:lang w:val="id-ID"/>
        </w:rPr>
        <w:instrText>≤</w:instrText>
      </w:r>
      <w:r w:rsidR="00A537B6">
        <w:rPr>
          <w:rFonts w:eastAsia="SimSun" w:hint="eastAsia"/>
          <w:lang w:val="id-ID"/>
        </w:rPr>
        <w:instrText xml:space="preserve"> 0.05), but there was no difference in VAS scores between groups at the first and 8-hour postoperative assessments. There were no differences between the two groups regarding analgesic requirements. The difference between the mean intraoperative blood loss in the SG and CG was statistically significant (p </w:instrText>
      </w:r>
      <w:r w:rsidR="00A537B6">
        <w:rPr>
          <w:rFonts w:eastAsia="SimSun" w:hint="eastAsia"/>
          <w:lang w:val="id-ID"/>
        </w:rPr>
        <w:instrText>≤</w:instrText>
      </w:r>
      <w:r w:rsidR="00A537B6">
        <w:rPr>
          <w:rFonts w:eastAsia="SimSun" w:hint="eastAsia"/>
          <w:lang w:val="id-ID"/>
        </w:rPr>
        <w:instrText xml:space="preserve"> 0.05). No serious complica</w:instrText>
      </w:r>
      <w:r w:rsidR="00A537B6">
        <w:rPr>
          <w:rFonts w:eastAsia="SimSun"/>
          <w:lang w:val="id-ID"/>
        </w:rPr>
        <w:instrText>tions were observed in either group.\nCONCLUSION: Preincisional levobupivacaine infiltration seems to be a safe and easily applied medication for postoperative pain control, and decreased the volume of intraoperative blood loss in adult patients after tonsillectomy.","author":[{"dropping-particle":"","family":"Erdogan","given":"B. A.","non-dropping-particle":"","parse-names":false,"suffix":""},{"dropping-particle":"","family":"Aydin","given":"S.","non-dropping-particle":"","parse-names":false,"suffix":""},{"dropping-particle":"","family":"Paksoy","given":"M.","non-dropping-particle":"","parse-names":false,"suffix":""},{"dropping-particle":"","family":"Sanli","given":"A.","non-dropping-particle":"","parse-names":false,"suffix":""},{"dropping-particle":"","family":"Sevim","given":"S.","non-dropping-particle":"","parse-names":false,"suffix":""}],"container-title":"B-Ent","id":"ITEM-1","issue":"3","issued":{"date-parts":[["2014"]]},"page":"193-197","title":"Efficacy of preincisional levobupivacaine for adult tonsillectomy patients","type":"article-journal","volume":"10"},"uris":["http://www.mendeley.com/documents/?uuid=c8bd2668-449e-4d53-961d-d4d121f00973"]}],"mendeley":{"formattedCitation":"&lt;sup&gt;69&lt;/sup&gt;","plainTextFormattedCitation":"69","previouslyFormattedCitation":"&lt;sup&gt;69&lt;/sup&gt;"},"properties":{"noteIndex":0},"schema":"https://github.com/citation-style-language/schema/raw/master/csl-citation.json"}</w:instrText>
      </w:r>
      <w:r w:rsidR="00A537B6">
        <w:rPr>
          <w:rFonts w:eastAsia="SimSun"/>
          <w:lang w:val="id-ID"/>
        </w:rPr>
        <w:fldChar w:fldCharType="separate"/>
      </w:r>
      <w:r w:rsidR="00A537B6" w:rsidRPr="0066055A">
        <w:rPr>
          <w:rFonts w:eastAsia="SimSun"/>
          <w:noProof/>
          <w:vertAlign w:val="superscript"/>
          <w:lang w:val="id-ID"/>
        </w:rPr>
        <w:t>69</w:t>
      </w:r>
      <w:r w:rsidR="00A537B6">
        <w:rPr>
          <w:rFonts w:eastAsia="SimSun"/>
          <w:lang w:val="id-ID"/>
        </w:rPr>
        <w:fldChar w:fldCharType="end"/>
      </w:r>
    </w:p>
    <w:p w14:paraId="04966F4D" w14:textId="77777777" w:rsidR="00A537B6" w:rsidRPr="00A77D50" w:rsidRDefault="00A537B6" w:rsidP="00A537B6">
      <w:pPr>
        <w:spacing w:line="360" w:lineRule="auto"/>
        <w:ind w:firstLine="709"/>
        <w:jc w:val="both"/>
        <w:rPr>
          <w:rFonts w:eastAsia="SimSun"/>
          <w:lang w:val="id-ID"/>
        </w:rPr>
      </w:pPr>
    </w:p>
    <w:p w14:paraId="705D6A3B" w14:textId="169B5803" w:rsidR="00D570F4" w:rsidRPr="00874B34" w:rsidRDefault="000A4CBF" w:rsidP="001C6031">
      <w:pPr>
        <w:pStyle w:val="Heading3"/>
        <w:numPr>
          <w:ilvl w:val="2"/>
          <w:numId w:val="32"/>
        </w:numPr>
        <w:spacing w:before="0" w:after="0" w:line="360" w:lineRule="auto"/>
        <w:jc w:val="both"/>
        <w:rPr>
          <w:rFonts w:eastAsiaTheme="minorEastAsia"/>
          <w:lang w:eastAsia="zh-CN"/>
        </w:rPr>
      </w:pPr>
      <w:bookmarkStart w:id="145" w:name="_Toc158290309"/>
      <w:r w:rsidRPr="00892FD4">
        <w:rPr>
          <w:rFonts w:eastAsiaTheme="minorEastAsia"/>
          <w:lang w:eastAsia="zh-CN"/>
        </w:rPr>
        <w:t>Perbandingan</w:t>
      </w:r>
      <w:r>
        <w:rPr>
          <w:color w:val="000000" w:themeColor="text1"/>
        </w:rPr>
        <w:t xml:space="preserve"> </w:t>
      </w:r>
      <w:r w:rsidRPr="00892FD4">
        <w:rPr>
          <w:color w:val="000000" w:themeColor="text1"/>
          <w:lang w:val="id-ID"/>
        </w:rPr>
        <w:t>Kadar Il-6</w:t>
      </w:r>
      <w:r w:rsidRPr="00F426C1">
        <w:rPr>
          <w:color w:val="000000" w:themeColor="text1"/>
          <w:lang w:val="id-ID"/>
        </w:rPr>
        <w:t xml:space="preserve"> </w:t>
      </w:r>
      <w:r>
        <w:rPr>
          <w:color w:val="000000" w:themeColor="text1"/>
          <w:lang w:val="id-ID"/>
        </w:rPr>
        <w:t>Antara</w:t>
      </w:r>
      <w:r>
        <w:rPr>
          <w:color w:val="000000" w:themeColor="text1"/>
        </w:rPr>
        <w:t xml:space="preserve"> </w:t>
      </w:r>
      <w:r w:rsidRPr="00F426C1">
        <w:rPr>
          <w:color w:val="000000" w:themeColor="text1"/>
          <w:lang w:val="id-ID"/>
        </w:rPr>
        <w:t>Kelompok</w:t>
      </w:r>
      <w:r>
        <w:rPr>
          <w:color w:val="000000" w:themeColor="text1"/>
        </w:rPr>
        <w:t xml:space="preserve"> </w:t>
      </w:r>
      <w:r w:rsidRPr="00F426C1">
        <w:rPr>
          <w:color w:val="000000" w:themeColor="text1"/>
          <w:lang w:val="id-ID"/>
        </w:rPr>
        <w:t xml:space="preserve">Yang Diberikan </w:t>
      </w:r>
      <w:r>
        <w:rPr>
          <w:color w:val="000000" w:themeColor="text1"/>
          <w:lang w:val="id-ID"/>
        </w:rPr>
        <w:t xml:space="preserve">Dan Tanpa </w:t>
      </w:r>
      <w:r>
        <w:t>Blok Peritonsil</w:t>
      </w:r>
      <w:r w:rsidRPr="00F426C1">
        <w:rPr>
          <w:lang w:val="id-ID"/>
        </w:rPr>
        <w:t>e</w:t>
      </w:r>
      <w:r>
        <w:t xml:space="preserve">r </w:t>
      </w:r>
      <w:r w:rsidRPr="00892FD4">
        <w:rPr>
          <w:color w:val="000000" w:themeColor="text1"/>
          <w:lang w:val="id-ID"/>
        </w:rPr>
        <w:t>Levo</w:t>
      </w:r>
      <w:r w:rsidRPr="00892FD4">
        <w:rPr>
          <w:color w:val="000000" w:themeColor="text1"/>
        </w:rPr>
        <w:t>bupiva</w:t>
      </w:r>
      <w:r w:rsidRPr="00892FD4">
        <w:rPr>
          <w:color w:val="000000" w:themeColor="text1"/>
          <w:lang w:val="id-ID"/>
        </w:rPr>
        <w:t>ca</w:t>
      </w:r>
      <w:r w:rsidRPr="00892FD4">
        <w:rPr>
          <w:color w:val="000000" w:themeColor="text1"/>
        </w:rPr>
        <w:t>ine</w:t>
      </w:r>
      <w:r>
        <w:t xml:space="preserve"> Isobarik 0,125% </w:t>
      </w:r>
      <w:r>
        <w:rPr>
          <w:lang w:val="id-ID"/>
        </w:rPr>
        <w:t>P</w:t>
      </w:r>
      <w:r>
        <w:t>ada Tonsilektomi</w:t>
      </w:r>
      <w:bookmarkEnd w:id="145"/>
    </w:p>
    <w:p w14:paraId="72BEA03E" w14:textId="33ABFDF8" w:rsidR="00D570F4" w:rsidRPr="00874B34" w:rsidRDefault="00874B34" w:rsidP="00874B34">
      <w:pPr>
        <w:spacing w:line="360" w:lineRule="auto"/>
        <w:ind w:firstLine="709"/>
        <w:jc w:val="both"/>
        <w:rPr>
          <w:lang w:val="id-ID"/>
        </w:rPr>
      </w:pPr>
      <w:r>
        <w:rPr>
          <w:lang w:val="id-ID" w:eastAsia="zh-CN"/>
        </w:rPr>
        <w:t xml:space="preserve">Hasil penelitian ini menunjukkan bahwa tidak ada perbedaan kadar IL-6 antara </w:t>
      </w:r>
      <w:r w:rsidRPr="00F426C1">
        <w:rPr>
          <w:color w:val="000000" w:themeColor="text1"/>
          <w:lang w:val="id-ID" w:eastAsia="zh-CN"/>
        </w:rPr>
        <w:t>kelompok</w:t>
      </w:r>
      <w:r>
        <w:rPr>
          <w:color w:val="000000" w:themeColor="text1"/>
          <w:lang w:eastAsia="zh-CN"/>
        </w:rPr>
        <w:t xml:space="preserve"> </w:t>
      </w:r>
      <w:r w:rsidRPr="00F426C1">
        <w:rPr>
          <w:color w:val="000000" w:themeColor="text1"/>
          <w:lang w:val="id-ID" w:eastAsia="zh-CN"/>
        </w:rPr>
        <w:t xml:space="preserve">yang diberikan </w:t>
      </w:r>
      <w:r>
        <w:rPr>
          <w:color w:val="000000" w:themeColor="text1"/>
          <w:lang w:val="id-ID" w:eastAsia="zh-CN"/>
        </w:rPr>
        <w:t xml:space="preserve">dan tanpa </w:t>
      </w:r>
      <w:r>
        <w:rPr>
          <w:lang w:eastAsia="zh-CN"/>
        </w:rPr>
        <w:t>blok peritonsil</w:t>
      </w:r>
      <w:r w:rsidRPr="00F426C1">
        <w:rPr>
          <w:lang w:val="id-ID" w:eastAsia="zh-CN"/>
        </w:rPr>
        <w:t>e</w:t>
      </w:r>
      <w:r>
        <w:rPr>
          <w:lang w:eastAsia="zh-CN"/>
        </w:rPr>
        <w:t xml:space="preserve">r </w:t>
      </w:r>
      <w:r w:rsidRPr="00892FD4">
        <w:rPr>
          <w:color w:val="000000" w:themeColor="text1"/>
          <w:lang w:val="id-ID" w:eastAsia="zh-CN"/>
        </w:rPr>
        <w:t>levo</w:t>
      </w:r>
      <w:r w:rsidRPr="00892FD4">
        <w:rPr>
          <w:color w:val="000000" w:themeColor="text1"/>
          <w:lang w:eastAsia="zh-CN"/>
        </w:rPr>
        <w:t>bupiva</w:t>
      </w:r>
      <w:r w:rsidRPr="00892FD4">
        <w:rPr>
          <w:color w:val="000000" w:themeColor="text1"/>
          <w:lang w:val="id-ID" w:eastAsia="zh-CN"/>
        </w:rPr>
        <w:t>ca</w:t>
      </w:r>
      <w:r w:rsidRPr="00892FD4">
        <w:rPr>
          <w:color w:val="000000" w:themeColor="text1"/>
          <w:lang w:eastAsia="zh-CN"/>
        </w:rPr>
        <w:t>ine</w:t>
      </w:r>
      <w:r>
        <w:rPr>
          <w:lang w:eastAsia="zh-CN"/>
        </w:rPr>
        <w:t xml:space="preserve"> isobarik 0,125% </w:t>
      </w:r>
      <w:r>
        <w:rPr>
          <w:lang w:val="id-ID" w:eastAsia="zh-CN"/>
        </w:rPr>
        <w:t>p</w:t>
      </w:r>
      <w:r>
        <w:rPr>
          <w:lang w:eastAsia="zh-CN"/>
        </w:rPr>
        <w:t>ada tonsilektomi</w:t>
      </w:r>
      <w:r>
        <w:rPr>
          <w:lang w:val="id-ID" w:eastAsia="zh-CN"/>
        </w:rPr>
        <w:t xml:space="preserve"> sebelum pembiusan yang menunjukkan bahwa kedua kelompok pasien mempunyai baseline kadar IL-6 yang serupa, mempunyai gambaran tingkat inflamasi yang serupa pada saat sebelum pembedahan. </w:t>
      </w:r>
      <w:r w:rsidR="00B17122">
        <w:rPr>
          <w:lang w:val="id-ID"/>
        </w:rPr>
        <w:t>Pada p</w:t>
      </w:r>
      <w:r>
        <w:rPr>
          <w:lang w:val="id-ID"/>
        </w:rPr>
        <w:t xml:space="preserve">ascabedah tonsilektomi, </w:t>
      </w:r>
      <w:r w:rsidRPr="00BB1331">
        <w:t xml:space="preserve">terdapat </w:t>
      </w:r>
      <w:r w:rsidRPr="00874B34">
        <w:rPr>
          <w:rFonts w:eastAsia="SimSun"/>
          <w:lang w:val="id-ID"/>
        </w:rPr>
        <w:t>perbedaan</w:t>
      </w:r>
      <w:r w:rsidRPr="00BB1331">
        <w:t xml:space="preserve"> kadar IL-6 pada 12 jam pascabedah dan terdapat </w:t>
      </w:r>
      <w:r w:rsidRPr="00874B34">
        <w:rPr>
          <w:rFonts w:eastAsia="SimSun"/>
          <w:lang w:val="id-ID"/>
        </w:rPr>
        <w:t>perbedaan</w:t>
      </w:r>
      <w:r>
        <w:rPr>
          <w:lang w:val="id-ID"/>
        </w:rPr>
        <w:t xml:space="preserve"> perubahan kadar</w:t>
      </w:r>
      <w:r w:rsidRPr="00BB1331">
        <w:t xml:space="preserve"> IL-6 </w:t>
      </w:r>
      <w:r>
        <w:rPr>
          <w:lang w:val="id-ID"/>
        </w:rPr>
        <w:t xml:space="preserve">antara pasien yang diberi </w:t>
      </w:r>
      <w:r>
        <w:t>blok peritonsil</w:t>
      </w:r>
      <w:r w:rsidRPr="00F426C1">
        <w:rPr>
          <w:lang w:val="id-ID"/>
        </w:rPr>
        <w:t>e</w:t>
      </w:r>
      <w:r>
        <w:t xml:space="preserve">r </w:t>
      </w:r>
      <w:r w:rsidRPr="00892FD4">
        <w:rPr>
          <w:color w:val="000000" w:themeColor="text1"/>
          <w:lang w:val="id-ID"/>
        </w:rPr>
        <w:t>levo</w:t>
      </w:r>
      <w:r w:rsidRPr="00892FD4">
        <w:rPr>
          <w:color w:val="000000" w:themeColor="text1"/>
        </w:rPr>
        <w:t>bupiva</w:t>
      </w:r>
      <w:r w:rsidRPr="00892FD4">
        <w:rPr>
          <w:color w:val="000000" w:themeColor="text1"/>
          <w:lang w:val="id-ID"/>
        </w:rPr>
        <w:t>ca</w:t>
      </w:r>
      <w:r w:rsidRPr="00892FD4">
        <w:rPr>
          <w:color w:val="000000" w:themeColor="text1"/>
        </w:rPr>
        <w:t>ine</w:t>
      </w:r>
      <w:r>
        <w:t xml:space="preserve"> isobarik 0,125%</w:t>
      </w:r>
      <w:r>
        <w:rPr>
          <w:lang w:val="id-ID"/>
        </w:rPr>
        <w:t xml:space="preserve"> dibandingkan kontrol pasca 12 jam pembedahan </w:t>
      </w:r>
      <w:r>
        <w:rPr>
          <w:lang w:val="id-ID"/>
        </w:rPr>
        <w:lastRenderedPageBreak/>
        <w:t xml:space="preserve">tonsilektomi. Kadar IL-6 lebih rendah pada pasien yang diberi </w:t>
      </w:r>
      <w:r>
        <w:t>blok peritonsil</w:t>
      </w:r>
      <w:r w:rsidRPr="00F426C1">
        <w:rPr>
          <w:lang w:val="id-ID"/>
        </w:rPr>
        <w:t>e</w:t>
      </w:r>
      <w:r>
        <w:t xml:space="preserve">r </w:t>
      </w:r>
      <w:r w:rsidRPr="00892FD4">
        <w:rPr>
          <w:color w:val="000000" w:themeColor="text1"/>
          <w:lang w:val="id-ID"/>
        </w:rPr>
        <w:t>levo</w:t>
      </w:r>
      <w:r w:rsidRPr="00892FD4">
        <w:rPr>
          <w:color w:val="000000" w:themeColor="text1"/>
        </w:rPr>
        <w:t>bupiva</w:t>
      </w:r>
      <w:r w:rsidRPr="00892FD4">
        <w:rPr>
          <w:color w:val="000000" w:themeColor="text1"/>
          <w:lang w:val="id-ID"/>
        </w:rPr>
        <w:t>ca</w:t>
      </w:r>
      <w:r w:rsidRPr="00892FD4">
        <w:rPr>
          <w:color w:val="000000" w:themeColor="text1"/>
        </w:rPr>
        <w:t>ine</w:t>
      </w:r>
      <w:r>
        <w:t xml:space="preserve"> isobarik 0,125%</w:t>
      </w:r>
      <w:r>
        <w:rPr>
          <w:lang w:val="id-ID"/>
        </w:rPr>
        <w:t xml:space="preserve"> dibandingkan kontrol.</w:t>
      </w:r>
    </w:p>
    <w:p w14:paraId="12323076" w14:textId="77777777" w:rsidR="00B17122" w:rsidRDefault="00874B34" w:rsidP="005419CE">
      <w:pPr>
        <w:spacing w:line="360" w:lineRule="auto"/>
        <w:ind w:firstLine="709"/>
        <w:jc w:val="both"/>
        <w:rPr>
          <w:lang w:val="id-ID"/>
        </w:rPr>
      </w:pPr>
      <w:r>
        <w:rPr>
          <w:lang w:val="id-ID"/>
        </w:rPr>
        <w:t xml:space="preserve">Penelitian serupa belum pernah ada yang melaporkan hasil efek pemberian </w:t>
      </w:r>
      <w:r>
        <w:t>blok peritonsil</w:t>
      </w:r>
      <w:r w:rsidRPr="00F426C1">
        <w:rPr>
          <w:lang w:val="id-ID"/>
        </w:rPr>
        <w:t>e</w:t>
      </w:r>
      <w:r>
        <w:t xml:space="preserve">r </w:t>
      </w:r>
      <w:r w:rsidRPr="00892FD4">
        <w:rPr>
          <w:color w:val="000000" w:themeColor="text1"/>
          <w:lang w:val="id-ID"/>
        </w:rPr>
        <w:t>levo</w:t>
      </w:r>
      <w:r w:rsidRPr="00892FD4">
        <w:rPr>
          <w:color w:val="000000" w:themeColor="text1"/>
        </w:rPr>
        <w:t>bupiva</w:t>
      </w:r>
      <w:r w:rsidRPr="00892FD4">
        <w:rPr>
          <w:color w:val="000000" w:themeColor="text1"/>
          <w:lang w:val="id-ID"/>
        </w:rPr>
        <w:t>ca</w:t>
      </w:r>
      <w:r w:rsidRPr="00892FD4">
        <w:rPr>
          <w:color w:val="000000" w:themeColor="text1"/>
        </w:rPr>
        <w:t>ine</w:t>
      </w:r>
      <w:r>
        <w:t xml:space="preserve"> isobarik 0,125%</w:t>
      </w:r>
      <w:r>
        <w:rPr>
          <w:lang w:val="id-ID"/>
        </w:rPr>
        <w:t xml:space="preserve"> terhadap kadar IL-6 serum.</w:t>
      </w:r>
      <w:r w:rsidR="003E3B2B">
        <w:rPr>
          <w:lang w:val="id-ID"/>
        </w:rPr>
        <w:t xml:space="preserve"> Lebih rendahnya kadar IL-6 pada pasien yang diberi </w:t>
      </w:r>
      <w:r w:rsidR="003E3B2B">
        <w:t>blok peritonsil</w:t>
      </w:r>
      <w:r w:rsidR="003E3B2B" w:rsidRPr="00F426C1">
        <w:rPr>
          <w:lang w:val="id-ID"/>
        </w:rPr>
        <w:t>e</w:t>
      </w:r>
      <w:r w:rsidR="003E3B2B">
        <w:t xml:space="preserve">r </w:t>
      </w:r>
      <w:r w:rsidR="003E3B2B" w:rsidRPr="00892FD4">
        <w:rPr>
          <w:color w:val="000000" w:themeColor="text1"/>
          <w:lang w:val="id-ID"/>
        </w:rPr>
        <w:t>levo</w:t>
      </w:r>
      <w:r w:rsidR="003E3B2B" w:rsidRPr="00892FD4">
        <w:rPr>
          <w:color w:val="000000" w:themeColor="text1"/>
        </w:rPr>
        <w:t>bupiva</w:t>
      </w:r>
      <w:r w:rsidR="003E3B2B" w:rsidRPr="00892FD4">
        <w:rPr>
          <w:color w:val="000000" w:themeColor="text1"/>
          <w:lang w:val="id-ID"/>
        </w:rPr>
        <w:t>ca</w:t>
      </w:r>
      <w:r w:rsidR="003E3B2B" w:rsidRPr="00892FD4">
        <w:rPr>
          <w:color w:val="000000" w:themeColor="text1"/>
        </w:rPr>
        <w:t>ine</w:t>
      </w:r>
      <w:r w:rsidR="003E3B2B">
        <w:t xml:space="preserve"> isobarik 0,125%</w:t>
      </w:r>
      <w:r w:rsidR="003E3B2B">
        <w:rPr>
          <w:lang w:val="id-ID"/>
        </w:rPr>
        <w:t xml:space="preserve"> dibandingkan kontrol menggambarkan terjadinya penurunan inflamasi yang sejalan dengan penurunan intensitas nyeri yang lebih besar pada </w:t>
      </w:r>
      <w:r w:rsidR="003E3B2B">
        <w:t>blok peritonsil</w:t>
      </w:r>
      <w:r w:rsidR="003E3B2B" w:rsidRPr="00F426C1">
        <w:rPr>
          <w:lang w:val="id-ID"/>
        </w:rPr>
        <w:t>e</w:t>
      </w:r>
      <w:r w:rsidR="003E3B2B">
        <w:t xml:space="preserve">r </w:t>
      </w:r>
      <w:r w:rsidR="003E3B2B" w:rsidRPr="00892FD4">
        <w:rPr>
          <w:color w:val="000000" w:themeColor="text1"/>
          <w:lang w:val="id-ID"/>
        </w:rPr>
        <w:t>levo</w:t>
      </w:r>
      <w:r w:rsidR="003E3B2B" w:rsidRPr="00892FD4">
        <w:rPr>
          <w:color w:val="000000" w:themeColor="text1"/>
        </w:rPr>
        <w:t>bupiva</w:t>
      </w:r>
      <w:r w:rsidR="003E3B2B" w:rsidRPr="00892FD4">
        <w:rPr>
          <w:color w:val="000000" w:themeColor="text1"/>
          <w:lang w:val="id-ID"/>
        </w:rPr>
        <w:t>ca</w:t>
      </w:r>
      <w:r w:rsidR="003E3B2B" w:rsidRPr="00892FD4">
        <w:rPr>
          <w:color w:val="000000" w:themeColor="text1"/>
        </w:rPr>
        <w:t>ine</w:t>
      </w:r>
      <w:r w:rsidR="003E3B2B">
        <w:t xml:space="preserve"> isobarik 0,125%</w:t>
      </w:r>
      <w:r w:rsidR="003E3B2B">
        <w:rPr>
          <w:lang w:val="id-ID"/>
        </w:rPr>
        <w:t xml:space="preserve"> dibandingkan kontrol</w:t>
      </w:r>
      <w:r w:rsidR="00B17122">
        <w:rPr>
          <w:lang w:val="id-ID"/>
        </w:rPr>
        <w:t xml:space="preserve"> sebagaimana yang telah dijelaskan sebelumnya</w:t>
      </w:r>
      <w:r w:rsidR="003E3B2B">
        <w:rPr>
          <w:lang w:val="id-ID"/>
        </w:rPr>
        <w:t>.</w:t>
      </w:r>
      <w:r w:rsidR="00086886">
        <w:rPr>
          <w:lang w:val="id-ID"/>
        </w:rPr>
        <w:t xml:space="preserve"> Hasil ini sejalan dengan penelitian Isbul </w:t>
      </w:r>
      <w:r w:rsidR="00086886" w:rsidRPr="00086886">
        <w:rPr>
          <w:i/>
          <w:iCs/>
          <w:lang w:val="id-ID"/>
        </w:rPr>
        <w:t>et al</w:t>
      </w:r>
      <w:r w:rsidR="00086886">
        <w:rPr>
          <w:lang w:val="id-ID"/>
        </w:rPr>
        <w:t>. bahwa</w:t>
      </w:r>
      <w:r w:rsidR="005419CE">
        <w:rPr>
          <w:lang w:val="id-ID"/>
        </w:rPr>
        <w:t xml:space="preserve"> </w:t>
      </w:r>
      <w:r w:rsidR="005419CE">
        <w:rPr>
          <w:rFonts w:eastAsia="SimSun"/>
          <w:lang w:val="id-ID"/>
        </w:rPr>
        <w:t>p</w:t>
      </w:r>
      <w:r w:rsidR="00086886" w:rsidRPr="00BB1331">
        <w:rPr>
          <w:rFonts w:eastAsia="SimSun"/>
          <w:lang w:val="id-ID"/>
        </w:rPr>
        <w:t>enurunan kadar IL-6 berkaitan dengan penghambatan saraf sensorik oleh anestesi lokal dan pengurangan peradangan. Kadar IL-6 pada dasarnya berkaitan dengan nyeri</w:t>
      </w:r>
      <w:r w:rsidR="005419CE">
        <w:rPr>
          <w:rFonts w:eastAsia="SimSun"/>
          <w:lang w:val="id-ID"/>
        </w:rPr>
        <w:t xml:space="preserve"> karena </w:t>
      </w:r>
      <w:r w:rsidR="00086886" w:rsidRPr="00BB1331">
        <w:rPr>
          <w:rFonts w:eastAsia="SimSun"/>
          <w:lang w:val="id-ID"/>
        </w:rPr>
        <w:t xml:space="preserve">IL-6 secara umum berperan pada mekanisme nyeri dan hipersensitivitas berhubungan dengan peradangan dan neuropati dengan berinteraksi tidak hanya dengan sel imun dan sel glia tetapi juga neuron di sepanjang jalur nyeri. IL-6 dari monosit atau makrofag dan limfosit yang diaktifkan oleh stres bedah dapat merangsang </w:t>
      </w:r>
      <w:r w:rsidR="00086886" w:rsidRPr="00BB1331">
        <w:rPr>
          <w:rFonts w:eastAsia="SimSun"/>
          <w:i/>
          <w:iCs/>
          <w:lang w:val="id-ID"/>
        </w:rPr>
        <w:t xml:space="preserve">hypothalamic-pituitary-adrenal </w:t>
      </w:r>
      <w:r w:rsidR="00086886" w:rsidRPr="00BB1331">
        <w:rPr>
          <w:rFonts w:eastAsia="SimSun"/>
          <w:lang w:val="id-ID"/>
        </w:rPr>
        <w:t>(HPA). Oleh karena itu, sistem neuroendokrin, serta sitokin proinflamasi dan anti-inflamasi, secara sinergis meningkatkan efek penekannya pada sistem kekebalan tubuh pada periode perioperatif.</w:t>
      </w:r>
      <w:r w:rsidR="005419CE">
        <w:rPr>
          <w:rFonts w:eastAsia="SimSun"/>
          <w:lang w:val="id-ID"/>
        </w:rPr>
        <w:fldChar w:fldCharType="begin" w:fldLock="1"/>
      </w:r>
      <w:r w:rsidR="005419CE">
        <w:rPr>
          <w:rFonts w:eastAsia="SimSun"/>
          <w:lang w:val="id-ID"/>
        </w:rPr>
        <w:instrText>ADDIN CSL_CITATION {"citationItems":[{"id":"ITEM-1","itemData":{"DOI":"10.47507/obstetri.v6i1.113","abstract":"Latar Belakang: Nyeri menjadi permasalahan yang sering dihadapi oleh wanita pascabedah seksio caesarea yang ditandai dengan meningkatnya kadar interluekin-6. Anestesi infiltrasi intraoperatif direkomendasikan pada seksio caesarea elektif sebagai manajemen nyeri.Tujuan: Menilai efek anestesi infiltrasi bupivakain isobarik 0,25% 50 mg pada luka insisi terhadap intensitas nyeri dan kadar IL-6 pada pascabedah seksio sesarea. Subjek dan Metode: Penelitian ini menggunakan pendekatan uji klinis acak tersamar ganda. Sampel terdiri atas 3 kelompok yaitu kontrol (B0), diberi anestesi infiltrasi bupivakain sebelum insisi (B1), dan diberi anestesi infiltrasi bupivakain setelah insisi dan sebelum luka ditutup (B2) dengan jumlah sampel masing-masing 8 orang. Data dianalisis menggunakan uji Anova, Kruskal Wallis dan paired t-test dengan tingkat kemaknaan α=0,05. Hasil: Skor nyeri berbeda signifikan antara kelompok anestesi infiltrasi dengan kontrol pada 8 jam pascabedah (p&lt;0,05). Kadar interleukin-6 berbeda signifikan antara kelompok anestesi infiltrasi dengan kontrol dan antara anestesi infiltrasi sebelum dengan setelah insisi pada 4 jam pasca bedah (p&lt;0,05). Anestesi infiltrasi sebelum insisi menurunkan kadar interleukin-6 lebih besar dibandingkan setelah insisi mulai dari 4 jam pascabedah seksio sesarea.Simpulan: Pemberian anestesi infiltrasi sebelum insisi dapat menurunkan kadar interleukin-6 lebih cepat dan lebih besar daripada setelah insisi dan juga mengurangi intensitas nyeri","author":[{"dropping-particle":"","family":"Isbul","given":"Isbul","non-dropping-particle":"","parse-names":false,"suffix":""},{"dropping-particle":"","family":"Ahmad","given":"Muh. Ramli","non-dropping-particle":"","parse-names":false,"suffix":""},{"dropping-particle":"","family":"Gaus","given":"Syafruddin","non-dropping-particle":"","parse-names":false,"suffix":""},{"dropping-particle":"","family":"Ratnawati","given":"Ratnawati","non-dropping-particle":"","parse-names":false,"suffix":""},{"dropping-particle":"","family":"Musba","given":"A.M. Takdir","non-dropping-particle":"","parse-names":false,"suffix":""},{"dropping-particle":"","family":"Wijaya Tan","given":"Charles","non-dropping-particle":"","parse-names":false,"suffix":""}],"container-title":"Jurnal Anestesi Obstetri Indonesia","id":"ITEM-1","issue":"1","issued":{"date-parts":[["2023"]]},"page":"8-16","title":"Efek Anestesi Infiltrasi terhadap Intensitas Nyeri dan Kadar Interleukin-6 pada Pasca Seksio Sesarea","type":"article-journal","volume":"6"},"uris":["http://www.mendeley.com/documents/?uuid=ab9c6327-232f-418d-8ed7-82e6f9b798b6"]}],"mendeley":{"formattedCitation":"&lt;sup&gt;76&lt;/sup&gt;","plainTextFormattedCitation":"76","previouslyFormattedCitation":"&lt;sup&gt;76&lt;/sup&gt;"},"properties":{"noteIndex":0},"schema":"https://github.com/citation-style-language/schema/raw/master/csl-citation.json"}</w:instrText>
      </w:r>
      <w:r w:rsidR="005419CE">
        <w:rPr>
          <w:rFonts w:eastAsia="SimSun"/>
          <w:lang w:val="id-ID"/>
        </w:rPr>
        <w:fldChar w:fldCharType="separate"/>
      </w:r>
      <w:r w:rsidR="005419CE" w:rsidRPr="005419CE">
        <w:rPr>
          <w:rFonts w:eastAsia="SimSun"/>
          <w:noProof/>
          <w:vertAlign w:val="superscript"/>
          <w:lang w:val="id-ID"/>
        </w:rPr>
        <w:t>76</w:t>
      </w:r>
      <w:r w:rsidR="005419CE">
        <w:rPr>
          <w:rFonts w:eastAsia="SimSun"/>
          <w:lang w:val="id-ID"/>
        </w:rPr>
        <w:fldChar w:fldCharType="end"/>
      </w:r>
      <w:r w:rsidR="005419CE">
        <w:rPr>
          <w:lang w:val="id-ID"/>
        </w:rPr>
        <w:t xml:space="preserve"> </w:t>
      </w:r>
    </w:p>
    <w:p w14:paraId="67E2DD89" w14:textId="17AE3BA0" w:rsidR="00086886" w:rsidRPr="005419CE" w:rsidRDefault="00086886" w:rsidP="005419CE">
      <w:pPr>
        <w:spacing w:line="360" w:lineRule="auto"/>
        <w:ind w:firstLine="709"/>
        <w:jc w:val="both"/>
        <w:rPr>
          <w:rStyle w:val="markedcontent"/>
          <w:rFonts w:eastAsia="SimSun"/>
          <w:lang w:val="id-ID"/>
        </w:rPr>
      </w:pPr>
      <w:r w:rsidRPr="00BB1331">
        <w:rPr>
          <w:rFonts w:eastAsia="SimSun"/>
          <w:lang w:val="id-ID"/>
        </w:rPr>
        <w:t xml:space="preserve">Beberapa nosiseptor serat C bergantung pada faktor pertumbuhan saraf (NGF) dan mengekspresikan reseptor tirosin kinase (TrkA), yang merupakan reseptor neurotropin. Sebagian besar nosiseptor </w:t>
      </w:r>
      <w:r w:rsidR="005419CE">
        <w:rPr>
          <w:rFonts w:eastAsia="SimSun"/>
          <w:lang w:val="id-ID"/>
        </w:rPr>
        <w:t>tersebut</w:t>
      </w:r>
      <w:r w:rsidRPr="00BB1331">
        <w:rPr>
          <w:rFonts w:eastAsia="SimSun"/>
          <w:lang w:val="id-ID"/>
        </w:rPr>
        <w:t xml:space="preserve"> juga mengekspresikan substansi P dan peptida terkait gen kalsitonin (CGRP) dan digolongkan sebagai peptidaergik. Sensitisasi merupakan karakteristik nosiseptor (Woolf 2007 NR). Fenotip nosiseptor berubah sebagai respons terhadap cedera saraf dan peradangan dan tidak statis. Plastisitas saraf dinamis ini menurunkan ambang transduksi</w:t>
      </w:r>
      <w:r w:rsidR="005419CE">
        <w:rPr>
          <w:rFonts w:eastAsia="SimSun"/>
          <w:lang w:val="id-ID"/>
        </w:rPr>
        <w:t xml:space="preserve"> </w:t>
      </w:r>
      <w:r w:rsidRPr="00BB1331">
        <w:rPr>
          <w:rFonts w:eastAsia="SimSun"/>
          <w:lang w:val="id-ID"/>
        </w:rPr>
        <w:t>nosiseptor dan berkontribusi terhadap hiperalgesia primer, yang didefinisikan sebagai intensitas nyeri abnormal dibandingkan dengan stimulus. Sensitisasi paling sering dihasilkan oleh sinyal kimiawi dari kerusakan jaringan: seperti selama infeksi, peradangan atau iskemia; gangguan sel; degranulasi sel mast; keluarnya sel inflamasi; atau setelah induksi enzim seperti siklooksigenase-2 (COX-2). NGF, mediator imun dan bahan kimia lainnya termasuk proteinase, sitokin seperti tumor necrosis factor (TNF) alpha, interleukin, dan kemokin seperti kemokin (motif C-C) ligan 3 (CC L3) semuanya berdampak pada sensitisasi nosiseptor.</w:t>
      </w:r>
      <w:r w:rsidR="005419CE">
        <w:rPr>
          <w:rFonts w:eastAsia="SimSun"/>
          <w:lang w:val="id-ID"/>
        </w:rPr>
        <w:t xml:space="preserve"> </w:t>
      </w:r>
      <w:r w:rsidRPr="00BB1331">
        <w:rPr>
          <w:rFonts w:eastAsia="SimSun"/>
          <w:lang w:val="id-ID"/>
        </w:rPr>
        <w:t xml:space="preserve">Contoh reseptor dan ligan yang berfungsi dalam transduksi atau hiperalgesia primer dan sekunder neuron aferen primer nosiseptif atau neuron sumsum tulang belakang </w:t>
      </w:r>
      <w:r w:rsidR="005419CE">
        <w:rPr>
          <w:rFonts w:eastAsia="SimSun"/>
          <w:lang w:val="id-ID"/>
        </w:rPr>
        <w:t>adalah</w:t>
      </w:r>
      <w:r w:rsidRPr="00BB1331">
        <w:rPr>
          <w:rFonts w:eastAsia="SimSun"/>
          <w:lang w:val="id-ID"/>
        </w:rPr>
        <w:t xml:space="preserve"> IL-6</w:t>
      </w:r>
      <w:r w:rsidR="005419CE">
        <w:rPr>
          <w:rFonts w:eastAsia="SimSun"/>
          <w:lang w:val="id-ID"/>
        </w:rPr>
        <w:t>. Penurunan</w:t>
      </w:r>
      <w:r w:rsidRPr="00BB1331">
        <w:rPr>
          <w:rFonts w:eastAsia="SimSun"/>
          <w:lang w:val="id-ID"/>
        </w:rPr>
        <w:t xml:space="preserve"> kadar IL-6 pasca operasi, menunjukkan efek anti-inflamasi selain manfaat analgesik</w:t>
      </w:r>
      <w:r w:rsidR="005419CE">
        <w:rPr>
          <w:rFonts w:eastAsia="SimSun"/>
          <w:lang w:val="id-ID"/>
        </w:rPr>
        <w:t>.</w:t>
      </w:r>
      <w:r w:rsidR="005419CE">
        <w:rPr>
          <w:rFonts w:eastAsia="SimSun"/>
          <w:lang w:val="id-ID"/>
        </w:rPr>
        <w:fldChar w:fldCharType="begin" w:fldLock="1"/>
      </w:r>
      <w:r w:rsidR="00A537B6">
        <w:rPr>
          <w:rFonts w:eastAsia="SimSun"/>
          <w:lang w:val="id-ID"/>
        </w:rPr>
        <w:instrText>ADDIN CSL_CITATION {"citationItems":[{"id":"ITEM-1","itemData":{"DOI":"10.1111/j.1526-4637.2005.00066.x","ISBN":"9780994507570","ISSN":"1526-2375","abstract":"This guideline summary describes the fifth edition of Acute pain management: scientific evidence, which was published by the Australian and New Zealand College of Anaesthetists (ANZCA) and its Faculty of Pain Medicine (FPMANZCA) in December 2020. The fift edition summarises the best available evidence on acute pain management, following methods established over the preceding three editions. It provides additional information by scoring the quality of and reporting further details on randomised controlled trials and meta-analyses. The information is condensed into key messages that provide: concise statements on each topic, showing the highest level of evidence; and clinical practice points based on clinical experience or expert opinion.","author":[{"dropping-particle":"","family":"Burkey","given":"Dell R.","non-dropping-particle":"","parse-names":false,"suffix":""},{"dropping-particle":"","family":"Carns","given":"Paul E.","non-dropping-particle":"","parse-names":false,"suffix":""}],"container-title":"Pain Medicine","id":"ITEM-1","issue":"5","issued":{"date-parts":[["2005"]]},"number-of-pages":"397-397","title":"Acute Pain Management: Scientific Evidence","type":"book","volume":"6"},"uris":["http://www.mendeley.com/documents/?uuid=7ab941b3-d9ee-4189-af5f-4808bb279583"]}],"mendeley":{"formattedCitation":"&lt;sup&gt;77&lt;/sup&gt;","plainTextFormattedCitation":"77","previouslyFormattedCitation":"&lt;sup&gt;77&lt;/sup&gt;"},"properties":{"noteIndex":0},"schema":"https://github.com/citation-style-language/schema/raw/master/csl-citation.json"}</w:instrText>
      </w:r>
      <w:r w:rsidR="005419CE">
        <w:rPr>
          <w:rFonts w:eastAsia="SimSun"/>
          <w:lang w:val="id-ID"/>
        </w:rPr>
        <w:fldChar w:fldCharType="separate"/>
      </w:r>
      <w:r w:rsidR="005419CE" w:rsidRPr="005419CE">
        <w:rPr>
          <w:rFonts w:eastAsia="SimSun"/>
          <w:noProof/>
          <w:vertAlign w:val="superscript"/>
          <w:lang w:val="id-ID"/>
        </w:rPr>
        <w:t>77</w:t>
      </w:r>
      <w:r w:rsidR="005419CE">
        <w:rPr>
          <w:rFonts w:eastAsia="SimSun"/>
          <w:lang w:val="id-ID"/>
        </w:rPr>
        <w:fldChar w:fldCharType="end"/>
      </w:r>
    </w:p>
    <w:p w14:paraId="4EABB1D2" w14:textId="7BF994DC" w:rsidR="001E7424" w:rsidRPr="001E7424" w:rsidRDefault="001E7424" w:rsidP="001E7424">
      <w:pPr>
        <w:spacing w:line="360" w:lineRule="auto"/>
        <w:ind w:firstLine="709"/>
        <w:jc w:val="both"/>
        <w:rPr>
          <w:lang w:val="id-ID"/>
        </w:rPr>
      </w:pPr>
      <w:r>
        <w:rPr>
          <w:lang w:val="id-ID"/>
        </w:rPr>
        <w:lastRenderedPageBreak/>
        <w:t>Pada penelitian ini juga dilakukan pengukuran korelasi ukuran tonsil dan kadar IL-6 dengan hasil bahwa ada</w:t>
      </w:r>
      <w:r w:rsidRPr="00F426C1">
        <w:rPr>
          <w:lang w:val="id-ID"/>
        </w:rPr>
        <w:t xml:space="preserve"> korelasi </w:t>
      </w:r>
      <w:r>
        <w:rPr>
          <w:lang w:val="id-ID"/>
        </w:rPr>
        <w:t xml:space="preserve">kuat </w:t>
      </w:r>
      <w:r w:rsidRPr="00F426C1">
        <w:rPr>
          <w:lang w:val="id-ID"/>
        </w:rPr>
        <w:t xml:space="preserve">antara ukuran tonsil dan kadar perubahan </w:t>
      </w:r>
      <w:r>
        <w:rPr>
          <w:lang w:val="id-ID"/>
        </w:rPr>
        <w:t xml:space="preserve">kadar </w:t>
      </w:r>
      <w:r w:rsidRPr="00F426C1">
        <w:rPr>
          <w:lang w:val="id-ID"/>
        </w:rPr>
        <w:t xml:space="preserve">IL-6 </w:t>
      </w:r>
      <w:r>
        <w:rPr>
          <w:lang w:val="id-ID"/>
        </w:rPr>
        <w:t xml:space="preserve">pasca 12 jam bedah tonsilektomi pada kelompok yang tidak diberi </w:t>
      </w:r>
      <w:r>
        <w:t>blok peritonsil</w:t>
      </w:r>
      <w:r w:rsidRPr="00F426C1">
        <w:rPr>
          <w:lang w:val="id-ID"/>
        </w:rPr>
        <w:t>e</w:t>
      </w:r>
      <w:r>
        <w:t xml:space="preserve">r </w:t>
      </w:r>
      <w:r w:rsidRPr="00892FD4">
        <w:rPr>
          <w:color w:val="000000" w:themeColor="text1"/>
          <w:lang w:val="id-ID"/>
        </w:rPr>
        <w:t>levo</w:t>
      </w:r>
      <w:r w:rsidRPr="00892FD4">
        <w:rPr>
          <w:color w:val="000000" w:themeColor="text1"/>
        </w:rPr>
        <w:t>bupiva</w:t>
      </w:r>
      <w:r w:rsidRPr="00892FD4">
        <w:rPr>
          <w:color w:val="000000" w:themeColor="text1"/>
          <w:lang w:val="id-ID"/>
        </w:rPr>
        <w:t>ca</w:t>
      </w:r>
      <w:r w:rsidRPr="00892FD4">
        <w:rPr>
          <w:color w:val="000000" w:themeColor="text1"/>
        </w:rPr>
        <w:t>ine</w:t>
      </w:r>
      <w:r>
        <w:t xml:space="preserve"> isobarik 0,125%</w:t>
      </w:r>
      <w:r>
        <w:rPr>
          <w:lang w:val="id-ID"/>
        </w:rPr>
        <w:t xml:space="preserve">, namun tidak ada korelasi antara </w:t>
      </w:r>
      <w:r w:rsidRPr="00F426C1">
        <w:rPr>
          <w:lang w:val="id-ID"/>
        </w:rPr>
        <w:t xml:space="preserve">ukuran tonsil dan kadar perubahan </w:t>
      </w:r>
      <w:r>
        <w:rPr>
          <w:lang w:val="id-ID"/>
        </w:rPr>
        <w:t xml:space="preserve">kadar </w:t>
      </w:r>
      <w:r w:rsidRPr="00F426C1">
        <w:rPr>
          <w:lang w:val="id-ID"/>
        </w:rPr>
        <w:t xml:space="preserve">IL-6 </w:t>
      </w:r>
      <w:r>
        <w:rPr>
          <w:lang w:val="id-ID"/>
        </w:rPr>
        <w:t xml:space="preserve">pasca 12 jam bedah tonsilektomi pada kelompok yang tidak diberi </w:t>
      </w:r>
      <w:r>
        <w:t>blok peritonsil</w:t>
      </w:r>
      <w:r w:rsidRPr="00F426C1">
        <w:rPr>
          <w:lang w:val="id-ID"/>
        </w:rPr>
        <w:t>e</w:t>
      </w:r>
      <w:r>
        <w:t xml:space="preserve">r </w:t>
      </w:r>
      <w:r w:rsidRPr="00892FD4">
        <w:rPr>
          <w:color w:val="000000" w:themeColor="text1"/>
          <w:lang w:val="id-ID"/>
        </w:rPr>
        <w:t>levo</w:t>
      </w:r>
      <w:r w:rsidRPr="00892FD4">
        <w:rPr>
          <w:color w:val="000000" w:themeColor="text1"/>
        </w:rPr>
        <w:t>bupiva</w:t>
      </w:r>
      <w:r w:rsidRPr="00892FD4">
        <w:rPr>
          <w:color w:val="000000" w:themeColor="text1"/>
          <w:lang w:val="id-ID"/>
        </w:rPr>
        <w:t>ca</w:t>
      </w:r>
      <w:r w:rsidRPr="00892FD4">
        <w:rPr>
          <w:color w:val="000000" w:themeColor="text1"/>
        </w:rPr>
        <w:t>ine</w:t>
      </w:r>
      <w:r>
        <w:t xml:space="preserve"> isobarik 0,125%</w:t>
      </w:r>
      <w:r>
        <w:rPr>
          <w:lang w:val="id-ID"/>
        </w:rPr>
        <w:t xml:space="preserve">. Hasil ini memberikan penegasan hasil bahwa ada efek dari </w:t>
      </w:r>
      <w:r>
        <w:t>blok peritonsil</w:t>
      </w:r>
      <w:r w:rsidRPr="00F426C1">
        <w:rPr>
          <w:lang w:val="id-ID"/>
        </w:rPr>
        <w:t>e</w:t>
      </w:r>
      <w:r>
        <w:t xml:space="preserve">r </w:t>
      </w:r>
      <w:r w:rsidRPr="00892FD4">
        <w:rPr>
          <w:color w:val="000000" w:themeColor="text1"/>
          <w:lang w:val="id-ID"/>
        </w:rPr>
        <w:t>levo</w:t>
      </w:r>
      <w:r w:rsidRPr="00892FD4">
        <w:rPr>
          <w:color w:val="000000" w:themeColor="text1"/>
        </w:rPr>
        <w:t>bupiva</w:t>
      </w:r>
      <w:r w:rsidRPr="00892FD4">
        <w:rPr>
          <w:color w:val="000000" w:themeColor="text1"/>
          <w:lang w:val="id-ID"/>
        </w:rPr>
        <w:t>ca</w:t>
      </w:r>
      <w:r w:rsidRPr="00892FD4">
        <w:rPr>
          <w:color w:val="000000" w:themeColor="text1"/>
        </w:rPr>
        <w:t>ine</w:t>
      </w:r>
      <w:r>
        <w:t xml:space="preserve"> isobarik 0,125%</w:t>
      </w:r>
      <w:r>
        <w:rPr>
          <w:lang w:val="id-ID"/>
        </w:rPr>
        <w:t xml:space="preserve"> terhadap penurunan inflamasi pasca bedah tonsilektomi yang tidak berkaitan dengan inflamasi pada ukuran tonsil. </w:t>
      </w:r>
    </w:p>
    <w:p w14:paraId="433432F9" w14:textId="4198C433" w:rsidR="001E7424" w:rsidRPr="008A1FA0" w:rsidRDefault="001E7424" w:rsidP="003501B8">
      <w:pPr>
        <w:spacing w:line="360" w:lineRule="auto"/>
        <w:ind w:firstLine="709"/>
        <w:jc w:val="both"/>
        <w:rPr>
          <w:vertAlign w:val="superscript"/>
          <w:lang w:val="id-ID"/>
        </w:rPr>
      </w:pPr>
      <w:r>
        <w:rPr>
          <w:lang w:val="id-ID"/>
        </w:rPr>
        <w:t xml:space="preserve">Adanya </w:t>
      </w:r>
      <w:r w:rsidRPr="00F426C1">
        <w:rPr>
          <w:lang w:val="id-ID"/>
        </w:rPr>
        <w:t xml:space="preserve">korelasi </w:t>
      </w:r>
      <w:r>
        <w:rPr>
          <w:lang w:val="id-ID"/>
        </w:rPr>
        <w:t xml:space="preserve">kuat </w:t>
      </w:r>
      <w:r w:rsidRPr="00F426C1">
        <w:rPr>
          <w:lang w:val="id-ID"/>
        </w:rPr>
        <w:t xml:space="preserve">antara ukuran tonsil dan kadar perubahan </w:t>
      </w:r>
      <w:r>
        <w:rPr>
          <w:lang w:val="id-ID"/>
        </w:rPr>
        <w:t xml:space="preserve">kadar </w:t>
      </w:r>
      <w:r w:rsidRPr="00F426C1">
        <w:rPr>
          <w:lang w:val="id-ID"/>
        </w:rPr>
        <w:t xml:space="preserve">IL-6 </w:t>
      </w:r>
      <w:r>
        <w:rPr>
          <w:lang w:val="id-ID"/>
        </w:rPr>
        <w:t xml:space="preserve">pasca 12 jam bedah tonsilektomi pada kelompok yang tidak diberi </w:t>
      </w:r>
      <w:r>
        <w:t>blok peritonsil</w:t>
      </w:r>
      <w:r w:rsidRPr="00F426C1">
        <w:rPr>
          <w:lang w:val="id-ID"/>
        </w:rPr>
        <w:t>e</w:t>
      </w:r>
      <w:r>
        <w:t xml:space="preserve">r </w:t>
      </w:r>
      <w:r w:rsidRPr="00892FD4">
        <w:rPr>
          <w:color w:val="000000" w:themeColor="text1"/>
          <w:lang w:val="id-ID"/>
        </w:rPr>
        <w:t>levo</w:t>
      </w:r>
      <w:r w:rsidRPr="00892FD4">
        <w:rPr>
          <w:color w:val="000000" w:themeColor="text1"/>
        </w:rPr>
        <w:t>bupiva</w:t>
      </w:r>
      <w:r w:rsidRPr="00892FD4">
        <w:rPr>
          <w:color w:val="000000" w:themeColor="text1"/>
          <w:lang w:val="id-ID"/>
        </w:rPr>
        <w:t>ca</w:t>
      </w:r>
      <w:r w:rsidRPr="00892FD4">
        <w:rPr>
          <w:color w:val="000000" w:themeColor="text1"/>
        </w:rPr>
        <w:t>ine</w:t>
      </w:r>
      <w:r>
        <w:t xml:space="preserve"> isobarik 0,125%</w:t>
      </w:r>
      <w:r>
        <w:rPr>
          <w:lang w:val="id-ID"/>
        </w:rPr>
        <w:t xml:space="preserve"> menunjukkan bahwa kemungkinan penurunan kadar IL-6 pasca bedah akibat dari menurunnya ukuran tonsil pasca dilakukan pembedahan tonsilektomi. Hal ini sebagaimana dilaporkan oleh penelitian Darweesh </w:t>
      </w:r>
      <w:r w:rsidRPr="001E7424">
        <w:rPr>
          <w:i/>
          <w:iCs/>
          <w:lang w:val="id-ID"/>
        </w:rPr>
        <w:t>et al</w:t>
      </w:r>
      <w:r>
        <w:rPr>
          <w:lang w:val="id-ID"/>
        </w:rPr>
        <w:t xml:space="preserve">. bahwa </w:t>
      </w:r>
      <w:r w:rsidRPr="008A1FA0">
        <w:rPr>
          <w:rFonts w:eastAsia="SimSun"/>
          <w:lang w:val="id-ID"/>
        </w:rPr>
        <w:t xml:space="preserve">IL-6 ditemukan meningkat seiring dengan tingkat keparahan tonsilitis yaitu tonsilitis grade 3, 4 memiliki kadar IL-6 yang tinggi. IL-6 adalah sitokin pleiotropik dari 184 asam amino yang melakukan berbagai fungsi dalam tubuh, sintesis dan sekresi IL-6 diinduksi selama kondisi inflamasi seperti pada stimulasi toll like receptor (TLR) 4 oleh lipopolisakarida atau pada saat stimulasi sel oleh IL-1 atau TNF-α. </w:t>
      </w:r>
      <w:r w:rsidR="003501B8">
        <w:rPr>
          <w:lang w:val="id-ID"/>
        </w:rPr>
        <w:t>K</w:t>
      </w:r>
      <w:r w:rsidRPr="00F426C1">
        <w:rPr>
          <w:lang w:val="id-ID"/>
        </w:rPr>
        <w:t xml:space="preserve">adar </w:t>
      </w:r>
      <w:r w:rsidR="003501B8">
        <w:rPr>
          <w:lang w:val="id-ID"/>
        </w:rPr>
        <w:t>IL</w:t>
      </w:r>
      <w:r w:rsidRPr="00F426C1">
        <w:rPr>
          <w:lang w:val="id-ID"/>
        </w:rPr>
        <w:t>-6 yang lebih tinggi pada tonsil grade 3 dan 4 disebabkan oleh peningkatan massa jaringan sebagai jaringan hiperplastik yang mengaktifkan sebagian besar fungsi imunologis.</w:t>
      </w:r>
      <w:r w:rsidR="003501B8">
        <w:rPr>
          <w:lang w:val="en-US"/>
        </w:rPr>
        <w:fldChar w:fldCharType="begin" w:fldLock="1"/>
      </w:r>
      <w:r w:rsidR="00A537B6" w:rsidRPr="00F426C1">
        <w:rPr>
          <w:lang w:val="id-ID"/>
        </w:rPr>
        <w:instrText>ADDIN CSL_CITATION {"citationItems":[{"id":"ITEM-1","itemData":{"DOI":"10.37200/IJPR/V24I6/PR261441","author":[{"dropping-particle":"","family":"Darweesh","given":"Mayada","non-dropping-particle":"","parse-names":false,"suffix":""},{"dropping-particle":"","family":"Zwamel","given":"Ahmed","non-dropping-particle":"","parse-names":false,"suffix":""}],"id":"ITEM-1","issue":"August","issued":{"date-parts":[["2020"]]},"title":"Correlation between IL-8 , IL-6 in tonsillitis patients and progressive of disease","type":"article-journal"},"uris":["http://www.mendeley.com/documents/?uuid=92ed0a2c-5d48-4997-86c3-ec09e3ff496e"]}],"mendeley":{"formattedCitation":"&lt;sup&gt;78&lt;/sup&gt;","plainTextFormattedCitation":"78","previouslyFormattedCitation":"&lt;sup&gt;78&lt;/sup&gt;"},"properties":{"noteIndex":0},"schema":"https://github.com/citation-style-language/schema/raw/master/csl-citation.json"}</w:instrText>
      </w:r>
      <w:r w:rsidR="003501B8">
        <w:rPr>
          <w:lang w:val="en-US"/>
        </w:rPr>
        <w:fldChar w:fldCharType="separate"/>
      </w:r>
      <w:r w:rsidR="005419CE" w:rsidRPr="00F426C1">
        <w:rPr>
          <w:noProof/>
          <w:vertAlign w:val="superscript"/>
          <w:lang w:val="pt-BR"/>
        </w:rPr>
        <w:t>78</w:t>
      </w:r>
      <w:r w:rsidR="003501B8">
        <w:rPr>
          <w:lang w:val="en-US"/>
        </w:rPr>
        <w:fldChar w:fldCharType="end"/>
      </w:r>
      <w:r w:rsidR="003501B8">
        <w:rPr>
          <w:lang w:val="id-ID"/>
        </w:rPr>
        <w:t xml:space="preserve"> </w:t>
      </w:r>
      <w:r w:rsidRPr="008A1FA0">
        <w:rPr>
          <w:rFonts w:eastAsia="SimSun"/>
          <w:lang w:val="id-ID"/>
        </w:rPr>
        <w:t>Tonsilektomi dapat menurunkan ekspresi IL-6 pada tonsil lingualis, sehingga ukuran tonsil lingualis mengecil.</w:t>
      </w:r>
      <w:r w:rsidR="003501B8">
        <w:rPr>
          <w:lang w:val="id-ID"/>
        </w:rPr>
        <w:t xml:space="preserve"> </w:t>
      </w:r>
      <w:r w:rsidRPr="008A1FA0">
        <w:rPr>
          <w:rFonts w:eastAsia="SimSun"/>
          <w:lang w:val="id-ID"/>
        </w:rPr>
        <w:t xml:space="preserve">IL-6 sebagai sitokin proinflamasi akan memperberat inflamasi yang terjadi di tonsil lingualis, sehingga ukuran tonsil lingualis akan membesar. </w:t>
      </w:r>
      <w:r w:rsidR="003501B8">
        <w:rPr>
          <w:rFonts w:eastAsia="SimSun"/>
          <w:lang w:val="id-ID"/>
        </w:rPr>
        <w:t>T</w:t>
      </w:r>
      <w:r w:rsidRPr="008A1FA0">
        <w:rPr>
          <w:rFonts w:eastAsia="SimSun"/>
          <w:lang w:val="id-ID"/>
        </w:rPr>
        <w:t>indakan tonsilektomi yang mengangkat jaringan tonsil palatina yang membesar dan mengalami inflamasi akan menyebabkan menurunnya sitokin IL-6 pada jaringan tonsil lingualis karena sel T dan sel B pada tonsil pun menurun. Proses yang terjadi pada tonsil palatina akan berpengaruh terhadap tonsil lingualis melalui pembuluh darah dan neurotropin, sehingga rangsang IL-6 sebagai sitokin proinflamasi akan menurun. Hal ini menyebabkan sel B tonsil lingualis proliferasinya akan menurun dan apoptosis sel kembali normal. Maka ukuran tonsil lingualis akan mengecil. Tindakan tonsilektomi tonsil palatina akan menghilangkan obstruksi di orofaring dan menurunkan rangsangan inflamasi beserta IL-6 ke jaringan tonsil lingualis, sehingga ukuran tonsil lingualis mengecil. Pengecilan ukuran tonsil lingualis juga akan menghilangkan obstruksi di hipofaring.</w:t>
      </w:r>
      <w:r w:rsidR="003501B8">
        <w:rPr>
          <w:rFonts w:eastAsia="SimSun"/>
          <w:lang w:val="id-ID"/>
        </w:rPr>
        <w:fldChar w:fldCharType="begin" w:fldLock="1"/>
      </w:r>
      <w:r w:rsidR="00A537B6">
        <w:rPr>
          <w:rFonts w:eastAsia="SimSun"/>
          <w:lang w:val="id-ID"/>
        </w:rPr>
        <w:instrText>ADDIN CSL_CITATION {"citationItems":[{"id":"ITEM-1","itemData":{"DOI":"10.32637/orli.v42i2.29","abstract":"Background: Obstructive sleep apnea (OSA) is a sleep breathing disorder caused by upper airway  obstruction. It occurs on 51% adult and could cause systemic side effects. Hypertrophy of the palatine  and lingual tonsils cause upper airway obstruction and increasing cytokine IL-6 production. Obstruction and inflammation products have an important role in causing OSA. Inflammation of the palatine tonsil causes lingual tonsil to be inflamed. Purpose: To find out the impact of tonsillectomy on size and IL-6 expression of lingual tonsil. Method:The quasiexperimental open label pre and post test design was done on August 2010 – October 2011. There were 20 adult subjects with snoring, palatine and lingual tonsil hypertrophy. All subjects filled the Epworth Sleepiness Scale (ESS) questionnaire, underwent ENT examination and biopsy using fiber optic rhinolaryngoscope. Immunohistochemistry examination for IL-6  were performed on all biopsy specimens. Results: There is highly significant improvement on lingual  tonsil size score from 3 to 1 after tonsillectomy. IL-6 expression was significantly decreased from 12 to 2 after tonsillectomy. ESS score was also significantly decreased from 16 to 5. The reducing size of lingual tonsil correlates with decreasing of IL-6 expressions. Conclusion:Tonsillectomy on OSA patients reduced the IL-6 expression of the lingual tonsil and that cause the reducing of its size. Decreasing of obstruction and inflammation could lead to the decrease of the ESS score. Keywords: OSA, tonsillectomy, Epworth Sleepiness Scale, lingual tonsil size, IL-6 expression    Abstrak :  Latar belakang: Henti napas obstruktif saat tidur (OSA) merupakan gangguan napas saat tidur yang terjadi karena obstruksi saluran napas atas. Keluhan ini terjadi pada 51% orang dewasa dan menimbulkan efek samping sistemik berat. Pembesaran ukuran tonsil palatina dan tonsil lingualis akan menyebabkan obstruksi saluran napas atas dan mengakibatkan peningkatan produksi IL-6, sehingga akan menyebabkan OSA. Inflamasi yang terjadi pada tonsil palatina membuat tonsil lingualis mengalami inflamasi. Tujuan: Untuk melihat pengaruh tonsilektomi terhadap ukuran dan ekspresi IL-6 tonsil lingulis. Metode: Penelitian quasiexperimental open label pre and post test design di Poliklinik IK. THT-KL RSHS Bandung sejak Agustus 2010 – Oktober 2011. Subjek 20 orang dewasa dengan keluhan mendengkur, pembesaran tonsil palatina dan tonsil lingualis. Seluruh subjek mengisi kuesioner skala kekantuka…","author":[{"dropping-particle":"","family":"Mahdiani","given":"Sally","non-dropping-particle":"","parse-names":false,"suffix":""},{"dropping-particle":"","family":"Madiadipoera","given":"Teti","non-dropping-particle":"","parse-names":false,"suffix":""},{"dropping-particle":"","family":"Sumarman","given":"Iwin","non-dropping-particle":"","parse-names":false,"suffix":""},{"dropping-particle":"","family":"Purwanto","given":"Bambang","non-dropping-particle":"","parse-names":false,"suffix":""}],"container-title":"Oto Rhino Laryngologica Indonesiana","id":"ITEM-1","issue":"2","issued":{"date-parts":[["2012"]]},"page":"119-126","title":"Pengaruh tonsilektomi terhadap ukuran dan ekspresi IL-6 tonsil lingualis pada pasien OSA","type":"article-journal","volume":"42"},"uris":["http://www.mendeley.com/documents/?uuid=82f85551-abca-4fa9-ac1c-3b585397ca39"]}],"mendeley":{"formattedCitation":"&lt;sup&gt;79&lt;/sup&gt;","plainTextFormattedCitation":"79","previouslyFormattedCitation":"&lt;sup&gt;79&lt;/sup&gt;"},"properties":{"noteIndex":0},"schema":"https://github.com/citation-style-language/schema/raw/master/csl-citation.json"}</w:instrText>
      </w:r>
      <w:r w:rsidR="003501B8">
        <w:rPr>
          <w:rFonts w:eastAsia="SimSun"/>
          <w:lang w:val="id-ID"/>
        </w:rPr>
        <w:fldChar w:fldCharType="separate"/>
      </w:r>
      <w:r w:rsidR="005419CE" w:rsidRPr="005419CE">
        <w:rPr>
          <w:rFonts w:eastAsia="SimSun"/>
          <w:noProof/>
          <w:vertAlign w:val="superscript"/>
          <w:lang w:val="id-ID"/>
        </w:rPr>
        <w:t>79</w:t>
      </w:r>
      <w:r w:rsidR="003501B8">
        <w:rPr>
          <w:rFonts w:eastAsia="SimSun"/>
          <w:lang w:val="id-ID"/>
        </w:rPr>
        <w:fldChar w:fldCharType="end"/>
      </w:r>
      <w:r w:rsidRPr="008A1FA0">
        <w:rPr>
          <w:rFonts w:eastAsia="SimSun"/>
          <w:lang w:val="id-ID"/>
        </w:rPr>
        <w:t xml:space="preserve"> </w:t>
      </w:r>
    </w:p>
    <w:p w14:paraId="2EA51AA7" w14:textId="0906705A" w:rsidR="00086886" w:rsidRDefault="003501B8" w:rsidP="00086886">
      <w:pPr>
        <w:spacing w:line="360" w:lineRule="auto"/>
        <w:ind w:firstLine="709"/>
        <w:jc w:val="both"/>
        <w:rPr>
          <w:lang w:val="id-ID"/>
        </w:rPr>
      </w:pPr>
      <w:r>
        <w:rPr>
          <w:lang w:val="id-ID"/>
        </w:rPr>
        <w:t xml:space="preserve">Tidak adanya korelasi antara </w:t>
      </w:r>
      <w:r w:rsidRPr="00F426C1">
        <w:rPr>
          <w:lang w:val="id-ID"/>
        </w:rPr>
        <w:t xml:space="preserve">ukuran tonsil dan kadar perubahan </w:t>
      </w:r>
      <w:r>
        <w:rPr>
          <w:lang w:val="id-ID"/>
        </w:rPr>
        <w:t xml:space="preserve">kadar </w:t>
      </w:r>
      <w:r w:rsidRPr="00F426C1">
        <w:rPr>
          <w:lang w:val="id-ID"/>
        </w:rPr>
        <w:t xml:space="preserve">IL-6 </w:t>
      </w:r>
      <w:r>
        <w:rPr>
          <w:lang w:val="id-ID"/>
        </w:rPr>
        <w:t xml:space="preserve">pasca 12 jam bedah tonsilektomi pada kelompok yang diberi </w:t>
      </w:r>
      <w:r>
        <w:t>blok peritonsil</w:t>
      </w:r>
      <w:r w:rsidRPr="00F426C1">
        <w:rPr>
          <w:lang w:val="id-ID"/>
        </w:rPr>
        <w:t>e</w:t>
      </w:r>
      <w:r>
        <w:t xml:space="preserve">r </w:t>
      </w:r>
      <w:r w:rsidRPr="00892FD4">
        <w:rPr>
          <w:color w:val="000000" w:themeColor="text1"/>
          <w:lang w:val="id-ID"/>
        </w:rPr>
        <w:t>levo</w:t>
      </w:r>
      <w:r w:rsidRPr="00892FD4">
        <w:rPr>
          <w:color w:val="000000" w:themeColor="text1"/>
        </w:rPr>
        <w:t>bupiva</w:t>
      </w:r>
      <w:r w:rsidRPr="00892FD4">
        <w:rPr>
          <w:color w:val="000000" w:themeColor="text1"/>
          <w:lang w:val="id-ID"/>
        </w:rPr>
        <w:t>ca</w:t>
      </w:r>
      <w:r w:rsidRPr="00892FD4">
        <w:rPr>
          <w:color w:val="000000" w:themeColor="text1"/>
        </w:rPr>
        <w:t>ine</w:t>
      </w:r>
      <w:r>
        <w:t xml:space="preserve"> isobarik </w:t>
      </w:r>
      <w:r>
        <w:lastRenderedPageBreak/>
        <w:t>0,125%</w:t>
      </w:r>
      <w:r>
        <w:rPr>
          <w:lang w:val="id-ID"/>
        </w:rPr>
        <w:t xml:space="preserve"> menggambarkan bahwa selain adanya penurunan kadar IL-6 akibat menurunnya tonsil akibat tonsilektomi, ada penurunan kadar IL-6 yang tidak berkaitan dengan inflamasi pada tonsil namun efek penurunan inflamasi dari nyeri pasca tonsilektomi. </w:t>
      </w:r>
      <w:r w:rsidR="00086886">
        <w:rPr>
          <w:lang w:val="id-ID"/>
        </w:rPr>
        <w:t xml:space="preserve">Haasil ini sejalan dengan penelitian Okaya </w:t>
      </w:r>
      <w:r w:rsidR="00086886" w:rsidRPr="00086886">
        <w:rPr>
          <w:i/>
          <w:iCs/>
          <w:lang w:val="id-ID"/>
        </w:rPr>
        <w:t>et al</w:t>
      </w:r>
      <w:r w:rsidR="00086886">
        <w:rPr>
          <w:lang w:val="id-ID"/>
        </w:rPr>
        <w:t>. bahwa l</w:t>
      </w:r>
      <w:r w:rsidR="00086886" w:rsidRPr="00BB1331">
        <w:rPr>
          <w:lang w:val="id-ID"/>
        </w:rPr>
        <w:t xml:space="preserve">evobupivacaine secara signifikan melemahkan respon vaskular terhadap bradikinin dan zat P sehingga berguna dalam menekan peradangan dan mencegah hiperalgesia pasca operasi. </w:t>
      </w:r>
      <w:r w:rsidR="00086886">
        <w:rPr>
          <w:lang w:val="id-ID"/>
        </w:rPr>
        <w:t>L</w:t>
      </w:r>
      <w:r w:rsidR="00086886" w:rsidRPr="00BB1331">
        <w:rPr>
          <w:lang w:val="id-ID"/>
        </w:rPr>
        <w:t>evobupivacaine memiliki potensi antiallodynic dan antihiperalgesik</w:t>
      </w:r>
      <w:r w:rsidR="00086886">
        <w:rPr>
          <w:lang w:val="id-ID"/>
        </w:rPr>
        <w:t>.</w:t>
      </w:r>
      <w:r w:rsidR="00086886">
        <w:rPr>
          <w:lang w:val="id-ID"/>
        </w:rPr>
        <w:fldChar w:fldCharType="begin" w:fldLock="1"/>
      </w:r>
      <w:r w:rsidR="00A537B6">
        <w:rPr>
          <w:lang w:val="id-ID"/>
        </w:rPr>
        <w:instrText>ADDIN CSL_CITATION {"citationItems":[{"id":"ITEM-1","itemData":{"DOI":"10.1111/fcp.12062","ISSN":"14728206","PMID":"24341591","abstract":"The aim of this study is to evaluate the effects of intra-articular levobupivacaine on rabbit knee articular cartilage and certain biochemical parameters in the blood. A total of 24 New Zealand rabbits were included to study. Blood sampling was carried out in all animals on the first day, then the subjects were randomly allocated either to the control group (Group C, n = 9) or to the levobupivacaine group (Group L, n = 15). Group C underwent each two intra-articular injections of saline, 0.25 mL into the right knee and 0.50 mL into the left one. Group L was injected 0.25 mL (1.25 mg) of levobupivacaine into the right knee and 0.50 mL (2.5 mg) into the left one. The groups were divided randomly into three. Tissue and blood samples for histologic and biochemical examination were collected from Groups C1 and L1 on the first, C2 and L2 on the second, and C3 and L3 on the tenth day of the study. Interleukin-1β (IL-1 β), interleukin-6 (IL-6), tumor necrosis factor-alpha (TNF-α), and C-reactive protein (CRP) levels were analyzed. No statistically significant differences could be detected when comparing either left or right joints within the same groups and with Group C and L (P &gt; 0.05). Significant elevations of biochemical parameters were found in Group C. It is concluded that levobupivacaine does not lead to significant histologic changes in rabbit articular cartilage. Significant elevations of biochemical parameters being generally found in the C Group, it is thought that such elevations are not linked to levobupivacaine. Intra-articular levobupivacaine may be a safe alternative for use in post-operative analgesia.","author":[{"dropping-particle":"","family":"Ozkaya","given":"Hasan","non-dropping-particle":"","parse-names":false,"suffix":""},{"dropping-particle":"","family":"Saritaş","given":"Tuba Berra","non-dropping-particle":"","parse-names":false,"suffix":""},{"dropping-particle":"","family":"Saritaş","given":"Zulfikar Kadir","non-dropping-particle":"","parse-names":false,"suffix":""},{"dropping-particle":"","family":"Korkmaz","given":"Musa","non-dropping-particle":"","parse-names":false,"suffix":""},{"dropping-particle":"","family":"Sevimli","given":"Alper","non-dropping-particle":"","parse-names":false,"suffix":""},{"dropping-particle":"","family":"Mehmetoglu","given":"Idris","non-dropping-particle":"","parse-names":false,"suffix":""},{"dropping-particle":"","family":"Otelcioglu","given":"Şeref","non-dropping-particle":"","parse-names":false,"suffix":""}],"container-title":"Fundamental and Clinical Pharmacology","id":"ITEM-1","issue":"6","issued":{"date-parts":[["2014"]]},"page":"627-632","title":"Investigation of effects of levobupivacaine injection to rabbit knee joint on histopathologic changes of joint cartilage tissue and changes of serum biochemical parameters","type":"article-journal","volume":"28"},"uris":["http://www.mendeley.com/documents/?uuid=22b42408-62c8-4cdb-9bf2-bee2c1126283"]}],"mendeley":{"formattedCitation":"&lt;sup&gt;80&lt;/sup&gt;","plainTextFormattedCitation":"80","previouslyFormattedCitation":"&lt;sup&gt;80&lt;/sup&gt;"},"properties":{"noteIndex":0},"schema":"https://github.com/citation-style-language/schema/raw/master/csl-citation.json"}</w:instrText>
      </w:r>
      <w:r w:rsidR="00086886">
        <w:rPr>
          <w:lang w:val="id-ID"/>
        </w:rPr>
        <w:fldChar w:fldCharType="separate"/>
      </w:r>
      <w:r w:rsidR="005419CE" w:rsidRPr="005419CE">
        <w:rPr>
          <w:noProof/>
          <w:vertAlign w:val="superscript"/>
          <w:lang w:val="id-ID"/>
        </w:rPr>
        <w:t>80</w:t>
      </w:r>
      <w:r w:rsidR="00086886">
        <w:rPr>
          <w:lang w:val="id-ID"/>
        </w:rPr>
        <w:fldChar w:fldCharType="end"/>
      </w:r>
      <w:r w:rsidR="00086886" w:rsidRPr="00BB1331">
        <w:rPr>
          <w:lang w:val="id-ID"/>
        </w:rPr>
        <w:t xml:space="preserve"> </w:t>
      </w:r>
    </w:p>
    <w:p w14:paraId="73568576" w14:textId="4CB86A9D" w:rsidR="003E3B2B" w:rsidRDefault="00A77D50" w:rsidP="003501B8">
      <w:pPr>
        <w:spacing w:line="360" w:lineRule="auto"/>
        <w:ind w:firstLine="709"/>
        <w:jc w:val="both"/>
        <w:rPr>
          <w:lang w:val="id-ID"/>
        </w:rPr>
      </w:pPr>
      <w:r w:rsidRPr="00BB1331">
        <w:t xml:space="preserve">Mekanisme nyeri pasca adenotonsilektomi belum diketahui dengan jelas. Namun faktor penyebab nyeri antara lain peradangan, spasme otot faring, kongesti vena, edema, kerusakan serabut sensorik, kompresi pada pembuka mulut, dan kontak luka dengan makanan. </w:t>
      </w:r>
      <w:r w:rsidRPr="00BB1331">
        <w:rPr>
          <w:lang w:eastAsia="zh-CN"/>
        </w:rPr>
        <w:t>Nyeri berlangsung hingga peritonsillar. otot menjadi tertutup mukosa, 14 hingga 21 hari setelah operasi.</w:t>
      </w:r>
      <w:r>
        <w:fldChar w:fldCharType="begin" w:fldLock="1"/>
      </w:r>
      <w:r w:rsidR="00A537B6">
        <w:rPr>
          <w:lang w:eastAsia="zh-CN"/>
        </w:rPr>
        <w:instrText>ADDIN CSL_CITATION {"citationItems":[{"id":"ITEM-1","itemData":{"DOI":"10.1097/MD.0000000000024122","ISBN":"0000000000024","ISSN":"15365964","PMID":"33466183","abstract":"Objective:To assess the impact of intraoperative intravenous dexamethasone on the reduction of postoperative morbidity in children undergoing adenotonsillectomy.Methods:A double blind randomized controlled trial conducted among children undergoing adenotonsillectomy at a tertiary hospital in Korea from November 2018 to June 2019. Children were randomly assigned to receive dexamethasone (0.5 mg/kg, maximum dose 24 mg) or placebo intravenously after induction of anesthesia. The primary endpoint was the reduction of postoperative pain and postoperative nausea and vomiting (PONV); secondary endpoints were adverse effects like postoperative hemorrhage.Results:The study included 105 children, and 67 were male. Their mean age was 6.2 ± 2.1 years. There was no significant difference between the groups in terms of demographic data or the operation time. The pain scores of the dexamethasone group were lower than those of the control group, but no significant difference was found (all P &gt; .05). The average pain visual analog scale (VAS) during the study period (day 0-7) was 3.67 ± 1.59 and 4.40 ± 2.01 in the dexamethasone group and control group, respectively (P-value = .107). When we compared early pain VAS (day 0-2) and late pain VAS (day 5-7), the dexamethasone group showed significantly lower early mean VAS compared to the control group (4.55 ± 1.78 vs 5.40 ± 2.05, P-value = .046). The mean VAS for PONV was significantly lower in the dexamethasone group than in the control group (1.89 ± 2.22 vs 3.00 ± 2.37, P value = .044).Conclusion:In children undergoing adenotonsillectomy, dexamethasone decreased the early postoperative pain and PONV without increasing postoperative hemorrhage.","author":[{"dropping-particle":"","family":"Kang","given":"Young","non-dropping-particle":"","parse-names":false,"suffix":""},{"dropping-particle":"","family":"Ku","given":"Eu Jeong","non-dropping-particle":"","parse-names":false,"suffix":""},{"dropping-particle":"","family":"Jung","given":"Il Gu","non-dropping-particle":"","parse-names":false,"suffix":""},{"dropping-particle":"","family":"Kang","given":"Min Hyuck","non-dropping-particle":"","parse-names":false,"suffix":""},{"dropping-particle":"","family":"Choi","given":"Young Seok","non-dropping-particle":"","parse-names":false,"suffix":""},{"dropping-particle":"","family":"Jung","given":"Hahn Jin","non-dropping-particle":"","parse-names":false,"suffix":""}],"container-title":"Medicine (United States)","id":"ITEM-1","issue":"2","issued":{"date-parts":[["2021"]]},"page":"E24122","title":"Dexamethasone and post-adenotonsillectomy pain in children: Double-blind, randomized controlled trial","type":"article-journal","volume":"100"},"uris":["http://www.mendeley.com/documents/?uuid=efda7597-0e0b-4264-9e3d-f12e83490237"]}],"mendeley":{"formattedCitation":"&lt;sup&gt;81&lt;/sup&gt;","plainTextFormattedCitation":"81","previouslyFormattedCitation":"&lt;sup&gt;81&lt;/sup&gt;"},"properties":{"noteIndex":0},"schema":"https://github.com/citation-style-language/schema/raw/master/csl-citation.json"}</w:instrText>
      </w:r>
      <w:r>
        <w:fldChar w:fldCharType="separate"/>
      </w:r>
      <w:r w:rsidR="005419CE" w:rsidRPr="005419CE">
        <w:rPr>
          <w:noProof/>
          <w:vertAlign w:val="superscript"/>
          <w:lang w:eastAsia="zh-CN"/>
        </w:rPr>
        <w:t>81</w:t>
      </w:r>
      <w:r>
        <w:fldChar w:fldCharType="end"/>
      </w:r>
      <w:r w:rsidR="003E3B2B">
        <w:rPr>
          <w:lang w:val="id-ID" w:eastAsia="zh-CN"/>
        </w:rPr>
        <w:t xml:space="preserve"> </w:t>
      </w:r>
      <w:r w:rsidR="001C6031" w:rsidRPr="00BB1331">
        <w:rPr>
          <w:rFonts w:eastAsia="SimSun"/>
          <w:lang w:val="id-ID" w:eastAsia="zh-CN"/>
        </w:rPr>
        <w:t xml:space="preserve">Mekanisme patofisiologi nyeri pascatonsilektomi dimulai dengan kerusakan jaringan lokal, yang dimediasi oleh rangsangan berbahaya pada serabut C aferen yang terletak di ruang peritonsil dan menyebabkan pelepasan zat inflamasi. </w:t>
      </w:r>
      <w:r w:rsidR="001C6031" w:rsidRPr="00BB1331">
        <w:rPr>
          <w:rFonts w:eastAsia="SimSun"/>
          <w:lang w:val="id-ID"/>
        </w:rPr>
        <w:t>Selain peradangan, iritasi saraf lokal dan kejang otot faring juga memicu rasa sakit. Rasa sakit tidak sepenuhnya hilang sampai otot ditutupi mukosa setelah operasi.</w:t>
      </w:r>
      <w:r w:rsidR="001C6031">
        <w:rPr>
          <w:rFonts w:eastAsia="SimSun"/>
          <w:lang w:val="id-ID"/>
        </w:rPr>
        <w:t xml:space="preserve"> </w:t>
      </w:r>
      <w:r w:rsidR="001C6031" w:rsidRPr="00BB1331">
        <w:rPr>
          <w:rFonts w:eastAsia="SimSun"/>
          <w:lang w:val="id-ID"/>
        </w:rPr>
        <w:t>Anestesi lokal dapat menghalangi konduksi saraf bila diterapkan pada daerah peritonsillar.</w:t>
      </w:r>
      <w:r w:rsidR="001C6031">
        <w:rPr>
          <w:rFonts w:eastAsia="SimSun"/>
          <w:lang w:val="id-ID"/>
        </w:rPr>
        <w:fldChar w:fldCharType="begin" w:fldLock="1"/>
      </w:r>
      <w:r w:rsidR="0066055A">
        <w:rPr>
          <w:rFonts w:eastAsia="SimSun"/>
          <w:lang w:val="id-ID"/>
        </w:rPr>
        <w:instrText>ADDIN CSL_CITATION {"citationItems":[{"id":"ITEM-1","itemData":{"ISSN":"1781782X","PMID":"25675664","abstract":"PROBLEM/OBJECTIVE: We compared the effects of preincisional peritonsillar infiltration of 5 ml levobupivacaine hydrochloride (50 mg/10 ml) on bleeding during surgery and pain after tonsillectomy in patients aged 16 years or older.\nMETHODOLOGY: The study was conducted in 44 adult patients who underwent tonsillectomy. These patients were randomized to either the study group (SG) who received levobupivacaine infiltration to the peritonsillary fossae prior to surgery, or a control group (CG) treated with 0.9% sodium chloride infiltration to the peritonsillary fossae prior to incision. The volume of intraoperative bleeding was recorded. Pain was evaluated using a visual analogue scale (VAS). The first pain score was assessed immediately after arriving in the postoperative care unit. VAS scores were subsequently re-assessed 2, 4, 8, 12, and 24 hours postoperatively. The first analgesic requirement wa</w:instrText>
      </w:r>
      <w:r w:rsidR="0066055A">
        <w:rPr>
          <w:rFonts w:eastAsia="SimSun" w:hint="eastAsia"/>
          <w:lang w:val="id-ID"/>
        </w:rPr>
        <w:instrText xml:space="preserve">s assessed 24 hours postoperatively.\nRESULTS: The pain relieving effect in the levobupivacaine group was statistically significant 2, 4, 12, and 24 hours postoperatively (p </w:instrText>
      </w:r>
      <w:r w:rsidR="0066055A">
        <w:rPr>
          <w:rFonts w:eastAsia="SimSun" w:hint="eastAsia"/>
          <w:lang w:val="id-ID"/>
        </w:rPr>
        <w:instrText>≤</w:instrText>
      </w:r>
      <w:r w:rsidR="0066055A">
        <w:rPr>
          <w:rFonts w:eastAsia="SimSun" w:hint="eastAsia"/>
          <w:lang w:val="id-ID"/>
        </w:rPr>
        <w:instrText xml:space="preserve"> 0.05), but there was no difference in VAS scores between groups at the first and 8-hour postoperative assessments. There were no differences between the two groups regarding analgesic requirements. The difference between the mean intraoperative blood loss in the SG and CG was statistically significant (p </w:instrText>
      </w:r>
      <w:r w:rsidR="0066055A">
        <w:rPr>
          <w:rFonts w:eastAsia="SimSun" w:hint="eastAsia"/>
          <w:lang w:val="id-ID"/>
        </w:rPr>
        <w:instrText>≤</w:instrText>
      </w:r>
      <w:r w:rsidR="0066055A">
        <w:rPr>
          <w:rFonts w:eastAsia="SimSun" w:hint="eastAsia"/>
          <w:lang w:val="id-ID"/>
        </w:rPr>
        <w:instrText xml:space="preserve"> 0.05). No serious complica</w:instrText>
      </w:r>
      <w:r w:rsidR="0066055A">
        <w:rPr>
          <w:rFonts w:eastAsia="SimSun"/>
          <w:lang w:val="id-ID"/>
        </w:rPr>
        <w:instrText>tions were observed in either group.\nCONCLUSION: Preincisional levobupivacaine infiltration seems to be a safe and easily applied medication for postoperative pain control, and decreased the volume of intraoperative blood loss in adult patients after tonsillectomy.","author":[{"dropping-particle":"","family":"Erdogan","given":"B. A.","non-dropping-particle":"","parse-names":false,"suffix":""},{"dropping-particle":"","family":"Aydin","given":"S.","non-dropping-particle":"","parse-names":false,"suffix":""},{"dropping-particle":"","family":"Paksoy","given":"M.","non-dropping-particle":"","parse-names":false,"suffix":""},{"dropping-particle":"","family":"Sanli","given":"A.","non-dropping-particle":"","parse-names":false,"suffix":""},{"dropping-particle":"","family":"Sevim","given":"S.","non-dropping-particle":"","parse-names":false,"suffix":""}],"container-title":"B-Ent","id":"ITEM-1","issue":"3","issued":{"date-parts":[["2014"]]},"page":"193-197","title":"Efficacy of preincisional levobupivacaine for adult tonsillectomy patients","type":"article-journal","volume":"10"},"uris":["http://www.mendeley.com/documents/?uuid=c8bd2668-449e-4d53-961d-d4d121f00973"]}],"mendeley":{"formattedCitation":"&lt;sup&gt;69&lt;/sup&gt;","plainTextFormattedCitation":"69","previouslyFormattedCitation":"&lt;sup&gt;69&lt;/sup&gt;"},"properties":{"noteIndex":0},"schema":"https://github.com/citation-style-language/schema/raw/master/csl-citation.json"}</w:instrText>
      </w:r>
      <w:r w:rsidR="001C6031">
        <w:rPr>
          <w:rFonts w:eastAsia="SimSun"/>
          <w:lang w:val="id-ID"/>
        </w:rPr>
        <w:fldChar w:fldCharType="separate"/>
      </w:r>
      <w:r w:rsidR="0066055A" w:rsidRPr="0066055A">
        <w:rPr>
          <w:rFonts w:eastAsia="SimSun"/>
          <w:noProof/>
          <w:vertAlign w:val="superscript"/>
          <w:lang w:val="id-ID"/>
        </w:rPr>
        <w:t>69</w:t>
      </w:r>
      <w:r w:rsidR="001C6031">
        <w:rPr>
          <w:rFonts w:eastAsia="SimSun"/>
          <w:lang w:val="id-ID"/>
        </w:rPr>
        <w:fldChar w:fldCharType="end"/>
      </w:r>
    </w:p>
    <w:p w14:paraId="3C28868B" w14:textId="77777777" w:rsidR="00086886" w:rsidRDefault="0035446B" w:rsidP="00086886">
      <w:pPr>
        <w:spacing w:line="360" w:lineRule="auto"/>
        <w:ind w:firstLine="709"/>
        <w:jc w:val="both"/>
        <w:rPr>
          <w:rFonts w:eastAsia="SimSun"/>
          <w:lang w:val="id-ID"/>
        </w:rPr>
      </w:pPr>
      <w:r w:rsidRPr="00BB1331">
        <w:rPr>
          <w:rFonts w:eastAsia="SimSun"/>
          <w:lang w:val="id-ID"/>
        </w:rPr>
        <w:t>Orofaring dan fosa tonsil dipersarafi dengan baik secara lokal oleh cabang saraf trigeminal dan saraf glossopharyngeal. Operasi tonsilektomi menghasilkan cedera yang menyebabkan pelepasan mediator inflamasi (bradikinin dan serotonin), yang menstimulasi nosiseptor perifer bersamaan dengan pelepasan prostaglandin yang membuat sensitisasi nosiseptor perifer terhadap pelepasan mediator inflamasi yang menghasilkan nyeri pada periode awal pasca operasi. Nyeri pasca tonsilektomi meningkat menjadi lebih parah pada hari pertama pasca operasi dan berlanjut pada hari kedua hingga hari keempat pasca operasi dengan berkembangnya jaringan parut hingga hari ketujuh pasca operasi dan kemudian berangsur-angsur berkurang.</w:t>
      </w:r>
      <w:r w:rsidR="001E7424">
        <w:rPr>
          <w:rFonts w:eastAsia="SimSun"/>
          <w:lang w:val="id-ID"/>
        </w:rPr>
        <w:fldChar w:fldCharType="begin" w:fldLock="1"/>
      </w:r>
      <w:r w:rsidR="003501B8">
        <w:rPr>
          <w:rFonts w:eastAsia="SimSun"/>
          <w:lang w:val="id-ID"/>
        </w:rPr>
        <w:instrText>ADDIN CSL_CITATION {"citationItems":[{"id":"ITEM-1","itemData":{"DOI":"10.4103/roaic.roaic","ISSN":"2356-9115","abstract":"Purpose We evaluated the quality of analgesia produced by peritonsillar infiltration of levobupivacaine with either dexamethasone or dexmedetomidine in children undergoing tonsillectomy surgery. Patients and methods Patients scheduled for tonsillectomy were randomly allocated into three groups with 27 patients in each group. Group L received peritonsillar infiltration of 5 ml in volume of 0.4 mg/kg of 0.5% levobupivacaine, while group D received peritonsillar infiltration of 5 ml in volume of 0.4 mg/kg of 0.5% levobupivacaine mixed with dexamethasone 0.5 mg/kg and group X received peritonsillar infiltration of 5 ml in volume of 0.4 mg/kg of 0.5% levobupivacaine mixed with dexmedetomidine 1 μg/kg (with infiltration of 2.5 ml in each tonsil in all groups) with the first postoperative analgesic request as the primary outcome. Results Postoperative time to first analgesic paracetamol request was prolonged in group D (19.51±2.34 h) compared with group L (4.15±0.53 h) and group X (15.74±2.29 h). Face, leg, activity, cry, consolability (FLACC) Behavioral Pain Assessment score at rest and during swallowing decreased in group D compared with group L and group X. Total postoperative analgesic consumption decreased in group D (581.48±165.7 mg) compared with group L (1303.51±90.10 mg) and group X (680.50±160.67 mg). Conclusions We concluded that peritonsillar infiltration of levobupivacaine when mixed with either dexamethasone or dexmedetomidine for patients undergoing tonsillectomy produced prolonged analgesia; however, dexamethasone was superior to dexmedetomidine with more prolonged time to first paracetamol request and prolonged late postoperative pain relief.","author":[{"dropping-particle":"","family":"Hayes","given":"Salwa M S","non-dropping-particle":"","parse-names":false,"suffix":""},{"dropping-particle":"","family":"Ebada","given":"Hisham Atef","non-dropping-particle":"","parse-names":false,"suffix":""},{"dropping-particle":"","family":"Bendary","given":"Hanaa M","non-dropping-particle":"El","parse-names":false,"suffix":""}],"container-title":"Research and Opinion in Anesthesia &amp; Intensive Care","id":"ITEM-1","issue":"4","issued":{"date-parts":[["2022"]]},"page":"310-320","title":"Efficacy of peritonsillar infiltration of levobupivacaine-dexamethasone versus levobupivacaine-dexmedetomidine in children undergoing tonsillectomy surgery: a prospective, randomized double-blind study","type":"article-journal","volume":"9"},"uris":["http://www.mendeley.com/documents/?uuid=072c9440-f7cf-42f1-843f-4c072da260dc"]}],"mendeley":{"formattedCitation":"&lt;sup&gt;73&lt;/sup&gt;","plainTextFormattedCitation":"73","previouslyFormattedCitation":"&lt;sup&gt;73&lt;/sup&gt;"},"properties":{"noteIndex":0},"schema":"https://github.com/citation-style-language/schema/raw/master/csl-citation.json"}</w:instrText>
      </w:r>
      <w:r w:rsidR="001E7424">
        <w:rPr>
          <w:rFonts w:eastAsia="SimSun"/>
          <w:lang w:val="id-ID"/>
        </w:rPr>
        <w:fldChar w:fldCharType="separate"/>
      </w:r>
      <w:r w:rsidR="001E7424" w:rsidRPr="001E7424">
        <w:rPr>
          <w:rFonts w:eastAsia="SimSun"/>
          <w:noProof/>
          <w:vertAlign w:val="superscript"/>
          <w:lang w:val="id-ID"/>
        </w:rPr>
        <w:t>73</w:t>
      </w:r>
      <w:r w:rsidR="001E7424">
        <w:rPr>
          <w:rFonts w:eastAsia="SimSun"/>
          <w:lang w:val="id-ID"/>
        </w:rPr>
        <w:fldChar w:fldCharType="end"/>
      </w:r>
    </w:p>
    <w:p w14:paraId="0BAC3369" w14:textId="626F8610" w:rsidR="00086886" w:rsidRPr="00D745CF" w:rsidRDefault="00086886" w:rsidP="00086886">
      <w:pPr>
        <w:spacing w:line="360" w:lineRule="auto"/>
        <w:ind w:firstLine="709"/>
        <w:jc w:val="both"/>
        <w:rPr>
          <w:rFonts w:eastAsia="SimSun"/>
          <w:lang w:val="id-ID"/>
        </w:rPr>
      </w:pPr>
      <w:r>
        <w:rPr>
          <w:lang w:val="id-ID"/>
        </w:rPr>
        <w:t>P</w:t>
      </w:r>
      <w:r w:rsidRPr="00BB1331">
        <w:rPr>
          <w:lang w:val="id-ID"/>
        </w:rPr>
        <w:t xml:space="preserve">roduksi prostaglandin E2 dan interleukin-6 di lokasi sentral merupakan komponen penting dari respon inflamasi yang disebabkan oleh pembedahan pada pasien. Periode pasca operasi </w:t>
      </w:r>
      <w:r>
        <w:rPr>
          <w:lang w:val="id-ID"/>
        </w:rPr>
        <w:t>berhubungan</w:t>
      </w:r>
      <w:r w:rsidRPr="00BB1331">
        <w:rPr>
          <w:lang w:val="id-ID"/>
        </w:rPr>
        <w:t xml:space="preserve"> dengan peningkatan produksi sitokin, yang meningkatkan sensitivitas nyeri. Penggunaan analgesik untuk imunomodulasi dapat meningkatkan kesembuhan pasien. Analgesia preventif didasarkan pada konsep bahwa terjadinya stimulus nyeri yang kuat, hipereksitasi, dan hiperalgesia dapat dicegah dengan blokade dini jalur nyeri. Stimulus nyeri yang berkepanjangan menyebabkan perubahan neuroplastik sekunder pada sistem saraf pusat, yang dikenal sebagai sensitisasi sentral, yang mengakibatkan respons berlebihan terhadap </w:t>
      </w:r>
      <w:r w:rsidRPr="00BB1331">
        <w:rPr>
          <w:lang w:val="id-ID"/>
        </w:rPr>
        <w:lastRenderedPageBreak/>
        <w:t xml:space="preserve">stimulus nyeri aferen dan peningkatan nyeri (hiperalgesia). Pemberian analgesik sebelum stimulus nyeri atau trauma bedah, juga mencegah respons sistem saraf pusat yang berbahaya dan peradangan sebagai konsekuensi awal operasi. </w:t>
      </w:r>
      <w:r>
        <w:rPr>
          <w:lang w:val="id-ID"/>
        </w:rPr>
        <w:t>A</w:t>
      </w:r>
      <w:r w:rsidRPr="00BB1331">
        <w:rPr>
          <w:lang w:val="id-ID"/>
        </w:rPr>
        <w:t xml:space="preserve">nalgesia preventif </w:t>
      </w:r>
      <w:r>
        <w:rPr>
          <w:lang w:val="id-ID"/>
        </w:rPr>
        <w:t>dapat</w:t>
      </w:r>
      <w:r w:rsidRPr="00BB1331">
        <w:rPr>
          <w:lang w:val="id-ID"/>
        </w:rPr>
        <w:t xml:space="preserve"> penekanan lengkap terhadap stimulus nyeri aferen dan durasi yang memadai pada awal pasca operasi. Kadar IL-6 meningkat secara proporsional terhadap tingkat keparahan trauma jaringan dan peradangan dalam waktu 1-3 jam, dengan konsentrasi puncak pada 6 jam, dan tetap meningkat selama 48-72 jam.</w:t>
      </w:r>
      <w:r>
        <w:rPr>
          <w:lang w:val="id-ID"/>
        </w:rPr>
        <w:fldChar w:fldCharType="begin" w:fldLock="1"/>
      </w:r>
      <w:r w:rsidR="00A537B6">
        <w:rPr>
          <w:lang w:val="id-ID"/>
        </w:rPr>
        <w:instrText>ADDIN CSL_CITATION {"citationItems":[{"id":"ITEM-1","itemData":{"ISSN":"00315362","abstract":"Background and purpose: Use of analgetics before the pain stimulus (preventive analgesia) obstruct development of neuroplastic changes in central nervous system, and reduces pain. Furthermore, preventive analgesia can block harmful central nervous system response and inflammation as an early consequence of operation as well. Investigation hypothesis is that preoperative central clonidine will reduce systemic inflammatory stress response better than levobupivacaine. Materials and methods:. Patients were allocated to three groups, according to preoperative epidural use of 5 μg/kg clonidine (n=17), 0.25% levobupivacaine (n=12) or saline as control group (n=13). Before operation, 1 h after the beginning, 1 h, 6 h, 12 h and 24 h after the operation following parameters were analyzed: procalcitonin (PCT), interleukine-6 (IL-6), C-reactive protein (CRP) and lactate. Results: There were no significant differences between groups in age, gender, body mass index and operation time. We demonstrated significant reduction in PCT, IL-6, CRP and lactate levels in preoperative clonidine group, compared to preoperative levobupivacaine group and controle group. Conclusion. These results support importance of clonidine central effect on pain pathways and systemic inflammatory stress response blockade.","author":[{"dropping-particle":"","family":"Persec","given":"Jasminka","non-dropping-particle":"","parse-names":false,"suffix":""},{"dropping-particle":"","family":"Zupcic","given":"Miroslav","non-dropping-particle":"","parse-names":false,"suffix":""},{"dropping-particle":"","family":"Persec","given":"Zoran","non-dropping-particle":"","parse-names":false,"suffix":""},{"dropping-particle":"","family":"Kopljar","given":"Mario","non-dropping-particle":"","parse-names":false,"suffix":""}],"container-title":"Periodicum Biologorum","id":"ITEM-1","issue":"2","issued":{"date-parts":[["2015"]]},"page":"267-271","title":"Attenuation of systemic inflammatory stress response after preoperative analgesia with clonidine compared to levobupivacaine-a randomised clinical trial","type":"article-journal","volume":"117"},"uris":["http://www.mendeley.com/documents/?uuid=89012022-9b68-46a6-8f21-762b65c48fcf"]}],"mendeley":{"formattedCitation":"&lt;sup&gt;82&lt;/sup&gt;","plainTextFormattedCitation":"82","previouslyFormattedCitation":"&lt;sup&gt;82&lt;/sup&gt;"},"properties":{"noteIndex":0},"schema":"https://github.com/citation-style-language/schema/raw/master/csl-citation.json"}</w:instrText>
      </w:r>
      <w:r>
        <w:rPr>
          <w:lang w:val="id-ID"/>
        </w:rPr>
        <w:fldChar w:fldCharType="separate"/>
      </w:r>
      <w:r w:rsidR="005419CE" w:rsidRPr="005419CE">
        <w:rPr>
          <w:noProof/>
          <w:vertAlign w:val="superscript"/>
          <w:lang w:val="id-ID"/>
        </w:rPr>
        <w:t>82</w:t>
      </w:r>
      <w:r>
        <w:rPr>
          <w:lang w:val="id-ID"/>
        </w:rPr>
        <w:fldChar w:fldCharType="end"/>
      </w:r>
      <w:r w:rsidRPr="00BB1331">
        <w:rPr>
          <w:lang w:val="id-ID"/>
        </w:rPr>
        <w:t xml:space="preserve"> </w:t>
      </w:r>
      <w:r w:rsidRPr="00BB1331">
        <w:rPr>
          <w:rFonts w:eastAsia="SimSun"/>
          <w:lang w:val="id-ID"/>
        </w:rPr>
        <w:t xml:space="preserve">Levobupivacaine </w:t>
      </w:r>
      <w:r>
        <w:rPr>
          <w:rFonts w:eastAsia="SimSun"/>
          <w:lang w:val="id-ID"/>
        </w:rPr>
        <w:t>dinyatakan sebagai</w:t>
      </w:r>
      <w:r w:rsidRPr="00BB1331">
        <w:rPr>
          <w:rFonts w:eastAsia="SimSun"/>
          <w:lang w:val="id-ID"/>
        </w:rPr>
        <w:t xml:space="preserve"> agen anestesi dengan sifat analgesik yang memodulasi imunitas bawaan dan jalur s</w:t>
      </w:r>
      <w:r w:rsidRPr="00D745CF">
        <w:rPr>
          <w:rFonts w:eastAsia="SimSun"/>
          <w:lang w:val="id-ID"/>
        </w:rPr>
        <w:t>inyal pro-inflamasi.</w:t>
      </w:r>
      <w:r w:rsidRPr="00D745CF">
        <w:rPr>
          <w:rFonts w:eastAsia="SimSun"/>
          <w:lang w:val="id-ID"/>
        </w:rPr>
        <w:fldChar w:fldCharType="begin" w:fldLock="1"/>
      </w:r>
      <w:r w:rsidR="00A537B6" w:rsidRPr="00D745CF">
        <w:rPr>
          <w:rFonts w:eastAsia="SimSun"/>
          <w:lang w:val="id-ID"/>
        </w:rPr>
        <w:instrText>ADDIN CSL_CITATION {"citationItems":[{"id":"ITEM-1","itemData":{"DOI":"10.1111/fcp.12197","ISSN":"14728206","PMID":"26991027","abstract":"Levobupivacaine (LB), a kind of local anesthetic, possesses anti-inflammatory properties. High-mobility group box 1 (HMGB1), a nuclear DNA-binding protein, plays a key role in the development of acute lung injury (ALI). The aim of this study was to investigate whether LB attenuates ALI by the inhibition of HMGB1 expression and to investigate the molecular mechanisms. ALI in male rats was induced by an intratracheal instillation of LPS (5 mg/kg), and male rats received mini-osmotic pumps containing LB 30 min after LPS exposure. A549 alveolar epithelial cells were incubated with LPS in the presence or absence of LB. An enzyme-linked immunosorbent assay was used to detect the levels of inflammatory cytokines. Western blotting was used to detect the changes in the expression of toll-like receptor 2/4 (TLR2/4) and the activation of NF-κB. The results showed that LB significantly protected animals from LPS-induced ALI as evidenced by a decrease in the ratio of lung wet to dry weight, total cells, neutrophils, macrophages, and myeloperoxidase activity, associated with a reduced lung histological damage. We also found that LB post-treatment markedly inhibited the release of HMGB1 and other pro-inflammatory cytokines. Furthermore, LB significantly inhibited LPS-induced TLR2/4 protein overexpression and NF-κB activation in the lung tissues and in LPS-stimulated A549 alveolar epithelial cells in vitro. These data indicate that LB attenuated LPS-induced ALI by the inhibition of HMGB1 expression in rats. These benefits were associated with the inhibition of TLR2/4-NF-κB pathway by LB.","author":[{"dropping-particle":"","family":"Guo","given":"Dan","non-dropping-particle":"","parse-names":false,"suffix":""},{"dropping-particle":"","family":"Li","given":"Kehan","non-dropping-particle":"","parse-names":false,"suffix":""},{"dropping-particle":"","family":"Yang","given":"Muqiang","non-dropping-particle":"","parse-names":false,"suffix":""},{"dropping-particle":"","family":"Zhang","given":"Hongjun","non-dropping-particle":"","parse-names":false,"suffix":""},{"dropping-particle":"","family":"Miao","given":"Yafei","non-dropping-particle":"","parse-names":false,"suffix":""}],"container-title":"Fundamental and Clinical Pharmacology","id":"ITEM-1","issue":"4","issued":{"date-parts":[["2016"]]},"page":"307-315","title":"Levobupivacaine attenuates lipopolysaccharide-induced acute lung injury","type":"article-journal","volume":"30"},"uris":["http://www.mendeley.com/documents/?uuid=1de87d32-6eb0-42d7-8f34-308ce6bd4366"]}],"mendeley":{"formattedCitation":"&lt;sup&gt;83&lt;/sup&gt;","plainTextFormattedCitation":"83","previouslyFormattedCitation":"&lt;sup&gt;83&lt;/sup&gt;"},"properties":{"noteIndex":0},"schema":"https://github.com/citation-style-language/schema/raw/master/csl-citation.json"}</w:instrText>
      </w:r>
      <w:r w:rsidRPr="00D745CF">
        <w:rPr>
          <w:rFonts w:eastAsia="SimSun"/>
          <w:lang w:val="id-ID"/>
        </w:rPr>
        <w:fldChar w:fldCharType="separate"/>
      </w:r>
      <w:r w:rsidR="005419CE" w:rsidRPr="00D745CF">
        <w:rPr>
          <w:rFonts w:eastAsia="SimSun"/>
          <w:noProof/>
          <w:vertAlign w:val="superscript"/>
          <w:lang w:val="id-ID"/>
        </w:rPr>
        <w:t>83</w:t>
      </w:r>
      <w:r w:rsidRPr="00D745CF">
        <w:rPr>
          <w:rFonts w:eastAsia="SimSun"/>
          <w:lang w:val="id-ID"/>
        </w:rPr>
        <w:fldChar w:fldCharType="end"/>
      </w:r>
    </w:p>
    <w:p w14:paraId="517E8F35" w14:textId="07C4CC74" w:rsidR="00B17122" w:rsidRPr="00D745CF" w:rsidRDefault="00B17122" w:rsidP="00D745CF">
      <w:pPr>
        <w:spacing w:line="360" w:lineRule="auto"/>
        <w:ind w:firstLine="709"/>
        <w:jc w:val="both"/>
        <w:rPr>
          <w:rFonts w:eastAsia="Times-Roman"/>
          <w:lang w:val="id-ID" w:eastAsia="en-ID"/>
        </w:rPr>
      </w:pPr>
      <w:r w:rsidRPr="00D745CF">
        <w:rPr>
          <w:rFonts w:eastAsia="Times-Roman"/>
          <w:lang w:val="id-ID" w:eastAsia="en-ID"/>
        </w:rPr>
        <w:t xml:space="preserve">Pada penelitian sebelumnya melaporkan durasi </w:t>
      </w:r>
      <w:r w:rsidR="00D745CF" w:rsidRPr="00D745CF">
        <w:rPr>
          <w:rFonts w:eastAsia="Times-Roman"/>
          <w:lang w:val="id-ID" w:eastAsia="en-ID"/>
        </w:rPr>
        <w:t xml:space="preserve">kebutuhan analgesik pasca tonsilektomi. Pada penelitian Erdogan </w:t>
      </w:r>
      <w:r w:rsidR="00D745CF" w:rsidRPr="00D745CF">
        <w:rPr>
          <w:rFonts w:eastAsia="Times-Roman"/>
          <w:i/>
          <w:iCs/>
          <w:lang w:val="id-ID" w:eastAsia="en-ID"/>
        </w:rPr>
        <w:t>et al</w:t>
      </w:r>
      <w:r w:rsidR="00D745CF" w:rsidRPr="00D745CF">
        <w:rPr>
          <w:rFonts w:eastAsia="Times-Roman"/>
          <w:lang w:val="id-ID" w:eastAsia="en-ID"/>
        </w:rPr>
        <w:t xml:space="preserve">. preinsisi infiltrasi </w:t>
      </w:r>
      <w:r w:rsidR="00D745CF" w:rsidRPr="00D745CF">
        <w:t>peritonsil</w:t>
      </w:r>
      <w:r w:rsidR="00D745CF" w:rsidRPr="00F426C1">
        <w:rPr>
          <w:lang w:val="id-ID"/>
        </w:rPr>
        <w:t>e</w:t>
      </w:r>
      <w:r w:rsidR="00D745CF" w:rsidRPr="00D745CF">
        <w:t xml:space="preserve">r </w:t>
      </w:r>
      <w:r w:rsidR="00D745CF" w:rsidRPr="00D745CF">
        <w:rPr>
          <w:color w:val="000000" w:themeColor="text1"/>
          <w:lang w:val="id-ID"/>
        </w:rPr>
        <w:t>levo</w:t>
      </w:r>
      <w:r w:rsidR="00D745CF" w:rsidRPr="00D745CF">
        <w:rPr>
          <w:color w:val="000000" w:themeColor="text1"/>
        </w:rPr>
        <w:t>bupiva</w:t>
      </w:r>
      <w:r w:rsidR="00D745CF" w:rsidRPr="00D745CF">
        <w:rPr>
          <w:color w:val="000000" w:themeColor="text1"/>
          <w:lang w:val="id-ID"/>
        </w:rPr>
        <w:t>ca</w:t>
      </w:r>
      <w:r w:rsidR="00D745CF" w:rsidRPr="00D745CF">
        <w:rPr>
          <w:color w:val="000000" w:themeColor="text1"/>
        </w:rPr>
        <w:t>ine</w:t>
      </w:r>
      <w:r w:rsidR="00D745CF" w:rsidRPr="00D745CF">
        <w:t xml:space="preserve"> isobarik 0,</w:t>
      </w:r>
      <w:r w:rsidR="00D745CF" w:rsidRPr="00D745CF">
        <w:rPr>
          <w:lang w:val="id-ID"/>
        </w:rPr>
        <w:t>5</w:t>
      </w:r>
      <w:r w:rsidR="00D745CF" w:rsidRPr="00D745CF">
        <w:t>%</w:t>
      </w:r>
      <w:r w:rsidR="00D745CF" w:rsidRPr="00D745CF">
        <w:rPr>
          <w:rFonts w:eastAsia="Times-Roman"/>
          <w:lang w:val="id-ID" w:eastAsia="en-ID"/>
        </w:rPr>
        <w:t xml:space="preserve"> </w:t>
      </w:r>
      <w:r w:rsidRPr="00D745CF">
        <w:rPr>
          <w:rFonts w:eastAsia="Times-Roman"/>
          <w:lang w:val="id-ID" w:eastAsia="en-ID"/>
        </w:rPr>
        <w:t xml:space="preserve">pada pasien dewasa </w:t>
      </w:r>
      <w:r w:rsidR="00D745CF" w:rsidRPr="00D745CF">
        <w:rPr>
          <w:rFonts w:eastAsia="Times-Roman"/>
          <w:lang w:val="id-ID" w:eastAsia="en-ID"/>
        </w:rPr>
        <w:t xml:space="preserve">diperoleh durasi kebutuhan analgesik selama </w:t>
      </w:r>
      <w:r w:rsidRPr="00D745CF">
        <w:rPr>
          <w:rFonts w:eastAsia="Times-Roman"/>
          <w:lang w:val="id-ID" w:eastAsia="en-ID"/>
        </w:rPr>
        <w:t xml:space="preserve">8,30 jam </w:t>
      </w:r>
      <w:r w:rsidR="00D745CF" w:rsidRPr="00D745CF">
        <w:rPr>
          <w:rFonts w:eastAsia="Times-Roman"/>
          <w:lang w:val="id-ID" w:eastAsia="en-ID"/>
        </w:rPr>
        <w:t xml:space="preserve">pascabedah </w:t>
      </w:r>
      <w:r w:rsidRPr="00D745CF">
        <w:rPr>
          <w:rFonts w:eastAsia="Times-Roman"/>
          <w:lang w:val="id-ID" w:eastAsia="en-ID"/>
        </w:rPr>
        <w:t>yang tidak berbeda dengan kontrol yaitu 7,52 jam.</w:t>
      </w:r>
      <w:r w:rsidR="00D745CF" w:rsidRPr="00D745CF">
        <w:rPr>
          <w:rFonts w:eastAsia="Times-Roman"/>
          <w:lang w:val="id-ID" w:eastAsia="en-ID"/>
        </w:rPr>
        <w:fldChar w:fldCharType="begin" w:fldLock="1"/>
      </w:r>
      <w:r w:rsidR="00D745CF">
        <w:rPr>
          <w:rFonts w:eastAsia="Times-Roman"/>
          <w:lang w:val="id-ID" w:eastAsia="en-ID"/>
        </w:rPr>
        <w:instrText>ADDIN CSL_CITATION {"citationItems":[{"id":"ITEM-1","itemData":{"ISSN":"1781782X","PMID":"25675664","abstract":"PROBLEM/OBJECTIVE: We compared the effects of preincisional peritonsillar infiltration of 5 ml levobupivacaine hydrochloride (50 mg/10 ml) on bleeding during surgery and pain after tonsillectomy in patients aged 16 years or older.\nMETHODOLOGY: The study was conducted in 44 adult patients who underwent tonsillectomy. These patients were randomized to either the study group (SG) who received levobupivacaine infiltration to the peritonsillary fossae prior to surgery, or a control group (CG) treated with 0.9% sodium chloride infiltration to the peritonsillary fossae prior to incision. The volume of intraoperative bleeding was recorded. Pain was evaluated using a visual analogue scale (VAS). The first pain score was assessed immediately after arriving in the postoperative care unit. VAS scores were subsequently re-assessed 2, 4, 8, 12, and 24 hours postoperatively. The first analgesic requirement was assessed 24 hours postoperatively.\nRESULTS: The pain relieving effect in the levobupivacaine group was statistically significant 2, 4, 12, and 24 hours postoperatively (p ≤ 0.05), but there was no difference in VAS scores between groups at the first and 8-hour postoperative assessments. There were no differences between the two groups regarding analgesic requirements. The difference between the mean intraoperative blood loss in the SG and CG was statistically significant (p ≤ 0.05). No serious complications were observed in either group.\nCONCLUSION: Preincisional levobupivacaine infiltration seems to be a safe and easily applied medication for postoperative pain control, and decreased the volume of intraoperative blood loss in adult patients after tonsillectomy.","author":[{"dropping-particle":"","family":"Erdogan","given":"B. A.","non-dropping-particle":"","parse-names":false,"suffix":""},{"dropping-particle":"","family":"Aydin","given":"S.","non-dropping-particle":"","parse-names":false,"suffix":""},{"dropping-particle":"","family":"Paksoy","given":"M.","non-dropping-particle":"","parse-names":false,"suffix":""},{"dropping-particle":"","family":"Sanli","given":"A.","non-dropping-particle":"","parse-names":false,"suffix":""},{"dropping-particle":"","family":"Sevim","given":"S.","non-dropping-particle":"","parse-names":false,"suffix":""}],"container-title":"B-Ent","id":"ITEM-1","issue":"3","issued":{"date-parts":[["2014"]]},"page":"193-197","title":"Efficacy of preincisional levobupivacaine for adult tonsillectomy patients","type":"article-journal","volume":"10"},"uris":["http://www.mendeley.com/documents/?uuid=c8bd2668-449e-4d53-961d-d4d121f00973"]}],"mendeley":{"formattedCitation":"&lt;sup&gt;69&lt;/sup&gt;","plainTextFormattedCitation":"69","previouslyFormattedCitation":"&lt;sup&gt;69&lt;/sup&gt;"},"properties":{"noteIndex":0},"schema":"https://github.com/citation-style-language/schema/raw/master/csl-citation.json"}</w:instrText>
      </w:r>
      <w:r w:rsidR="00D745CF" w:rsidRPr="00D745CF">
        <w:rPr>
          <w:rFonts w:eastAsia="Times-Roman"/>
          <w:lang w:val="id-ID" w:eastAsia="en-ID"/>
        </w:rPr>
        <w:fldChar w:fldCharType="separate"/>
      </w:r>
      <w:r w:rsidR="00D745CF" w:rsidRPr="00D745CF">
        <w:rPr>
          <w:rFonts w:eastAsia="Times-Roman"/>
          <w:noProof/>
          <w:vertAlign w:val="superscript"/>
          <w:lang w:val="id-ID" w:eastAsia="en-ID"/>
        </w:rPr>
        <w:t>69</w:t>
      </w:r>
      <w:r w:rsidR="00D745CF" w:rsidRPr="00D745CF">
        <w:rPr>
          <w:rFonts w:eastAsia="Times-Roman"/>
          <w:lang w:val="id-ID" w:eastAsia="en-ID"/>
        </w:rPr>
        <w:fldChar w:fldCharType="end"/>
      </w:r>
      <w:r w:rsidR="00D745CF" w:rsidRPr="00D745CF">
        <w:rPr>
          <w:rFonts w:eastAsia="Times-Roman"/>
          <w:lang w:val="id-ID" w:eastAsia="en-ID"/>
        </w:rPr>
        <w:t xml:space="preserve"> Pada penelitian Cicekci </w:t>
      </w:r>
      <w:r w:rsidR="00D745CF" w:rsidRPr="00D745CF">
        <w:rPr>
          <w:rFonts w:eastAsia="Times-Roman"/>
          <w:i/>
          <w:iCs/>
          <w:lang w:val="id-ID" w:eastAsia="en-ID"/>
        </w:rPr>
        <w:t>et al</w:t>
      </w:r>
      <w:r w:rsidR="00D745CF" w:rsidRPr="00D745CF">
        <w:rPr>
          <w:rFonts w:eastAsia="Times-Roman"/>
          <w:lang w:val="id-ID" w:eastAsia="en-ID"/>
        </w:rPr>
        <w:t xml:space="preserve">., infiltrasi </w:t>
      </w:r>
      <w:r w:rsidR="00D745CF" w:rsidRPr="00D745CF">
        <w:t>peritonsil</w:t>
      </w:r>
      <w:r w:rsidR="00D745CF" w:rsidRPr="00F426C1">
        <w:rPr>
          <w:lang w:val="id-ID"/>
        </w:rPr>
        <w:t>e</w:t>
      </w:r>
      <w:r w:rsidR="00D745CF" w:rsidRPr="00D745CF">
        <w:t xml:space="preserve">r </w:t>
      </w:r>
      <w:r w:rsidR="00D745CF" w:rsidRPr="00D745CF">
        <w:rPr>
          <w:color w:val="000000" w:themeColor="text1"/>
          <w:lang w:val="id-ID"/>
        </w:rPr>
        <w:t>levo</w:t>
      </w:r>
      <w:r w:rsidR="00D745CF" w:rsidRPr="00D745CF">
        <w:rPr>
          <w:color w:val="000000" w:themeColor="text1"/>
        </w:rPr>
        <w:t>bupiva</w:t>
      </w:r>
      <w:r w:rsidR="00D745CF" w:rsidRPr="00D745CF">
        <w:rPr>
          <w:color w:val="000000" w:themeColor="text1"/>
          <w:lang w:val="id-ID"/>
        </w:rPr>
        <w:t>ca</w:t>
      </w:r>
      <w:r w:rsidR="00D745CF" w:rsidRPr="00D745CF">
        <w:rPr>
          <w:color w:val="000000" w:themeColor="text1"/>
        </w:rPr>
        <w:t>ine</w:t>
      </w:r>
      <w:r w:rsidR="00D745CF" w:rsidRPr="00D745CF">
        <w:t xml:space="preserve"> isobarik 0,</w:t>
      </w:r>
      <w:r w:rsidR="00D745CF" w:rsidRPr="00D745CF">
        <w:rPr>
          <w:lang w:val="id-ID"/>
        </w:rPr>
        <w:t>5</w:t>
      </w:r>
      <w:r w:rsidR="00D745CF" w:rsidRPr="00D745CF">
        <w:t>%</w:t>
      </w:r>
      <w:r w:rsidR="00D745CF" w:rsidRPr="00D745CF">
        <w:rPr>
          <w:rFonts w:eastAsia="Times-Roman"/>
          <w:lang w:val="id-ID" w:eastAsia="en-ID"/>
        </w:rPr>
        <w:t xml:space="preserve"> pada pasien anak diperoleh durasi kebutuhan analgesik selama 350 menit pascabedah.</w:t>
      </w:r>
      <w:r w:rsidR="00D745CF">
        <w:rPr>
          <w:rFonts w:eastAsia="Times-Roman"/>
          <w:lang w:val="id-ID" w:eastAsia="en-ID"/>
        </w:rPr>
        <w:fldChar w:fldCharType="begin" w:fldLock="1"/>
      </w:r>
      <w:r w:rsidR="00D745CF">
        <w:rPr>
          <w:rFonts w:eastAsia="Times-Roman"/>
          <w:lang w:val="id-ID" w:eastAsia="en-ID"/>
        </w:rPr>
        <w:instrText>ADDIN CSL_CITATION {"citationItems":[{"id":"ITEM-1","itemData":{"DOI":"10.1155/2017/8431823","ISSN":"12036765","PMID":"28912639","abstract":"Objectives. We aimed to assess the effects of levobupivacaine and of levobupivacaine + adrenaline administered during pediatric tonsillectomy on the postoperative period. Methods. A total of 90 patients between the ages of five and twelve were divided randomly into two groups before tonsillectomy: Levobupivacaine only (0.5%) 0.4 mg·kg-1 or levobupivacaine (0.5%) 0.4 mg·kg-1 + adrenaline (1: 200.000) administered by means of peritonsillar infiltration. Primary outcomes were postoperative pain scores recorded at various intervals until 24 hours postoperatively. Secondary outcomes included postoperative nausea and vomiting (PONV), time to first oral intake, time to the first administration of analgesics and total consumption of analgesics, and the amount of bleeding for all children. Results. In both groups, patients had the same postoperative pain scores and PONV rates, and equal amounts of analgesics were consumed up to 24 hours postoperatively. The two groups also had the same time until first oral intake, recovery time and time to the first analgesic request, and amount of bleeding. Conclusions. Perioperative levobupivacaine infiltration on its own is a valid alternative to the combination of levobupivacaine + adrenaline for perioperative and postoperative effectiveness in pediatric tonsillectomy. This trial is registered with Australian New Zealand Clinical Trial Registry ACTRN: ACTRN12617001167358.","author":[{"dropping-particle":"","family":"Cicekci","given":"Faruk","non-dropping-particle":"","parse-names":false,"suffix":""},{"dropping-particle":"","family":"Sizer","given":"Cigdem","non-dropping-particle":"","parse-names":false,"suffix":""},{"dropping-particle":"","family":"Atici","given":"Sait Selcuk","non-dropping-particle":"","parse-names":false,"suffix":""},{"dropping-particle":"","family":"Arican","given":"Sule","non-dropping-particle":"","parse-names":false,"suffix":""},{"dropping-particle":"","family":"Karaibrahimoglu","given":"Adnan","non-dropping-particle":"","parse-names":false,"suffix":""},{"dropping-particle":"","family":"Kara","given":"Inci","non-dropping-particle":"","parse-names":false,"suffix":""}],"container-title":"Pain Research and Management","id":"ITEM-1","issue":"d","issued":{"date-parts":[["2017"]]},"title":"Comparison of the Perioperative and Postoperative Effects of Levobupivacaine and of Levobupivacaine + Adrenaline in Pediatric Tonsillectomy: A Double-Blind Randomized Study","type":"article-journal","volume":"2017"},"uris":["http://www.mendeley.com/documents/?uuid=6d72a6e7-59c9-47bd-aa75-520951e0741a"]}],"mendeley":{"formattedCitation":"&lt;sup&gt;72&lt;/sup&gt;","plainTextFormattedCitation":"72","previouslyFormattedCitation":"&lt;sup&gt;72&lt;/sup&gt;"},"properties":{"noteIndex":0},"schema":"https://github.com/citation-style-language/schema/raw/master/csl-citation.json"}</w:instrText>
      </w:r>
      <w:r w:rsidR="00D745CF">
        <w:rPr>
          <w:rFonts w:eastAsia="Times-Roman"/>
          <w:lang w:val="id-ID" w:eastAsia="en-ID"/>
        </w:rPr>
        <w:fldChar w:fldCharType="separate"/>
      </w:r>
      <w:r w:rsidR="00D745CF" w:rsidRPr="00D745CF">
        <w:rPr>
          <w:rFonts w:eastAsia="Times-Roman"/>
          <w:noProof/>
          <w:vertAlign w:val="superscript"/>
          <w:lang w:val="id-ID" w:eastAsia="en-ID"/>
        </w:rPr>
        <w:t>72</w:t>
      </w:r>
      <w:r w:rsidR="00D745CF">
        <w:rPr>
          <w:rFonts w:eastAsia="Times-Roman"/>
          <w:lang w:val="id-ID" w:eastAsia="en-ID"/>
        </w:rPr>
        <w:fldChar w:fldCharType="end"/>
      </w:r>
      <w:r w:rsidR="00D745CF" w:rsidRPr="00D745CF">
        <w:rPr>
          <w:rFonts w:eastAsia="Times-Roman"/>
          <w:lang w:val="id-ID" w:eastAsia="en-ID"/>
        </w:rPr>
        <w:t xml:space="preserve"> Pada penelitian Kasapoglu </w:t>
      </w:r>
      <w:r w:rsidR="00D745CF" w:rsidRPr="00D745CF">
        <w:rPr>
          <w:rFonts w:eastAsia="Times-Roman"/>
          <w:i/>
          <w:iCs/>
          <w:lang w:val="id-ID" w:eastAsia="en-ID"/>
        </w:rPr>
        <w:t>et al</w:t>
      </w:r>
      <w:r w:rsidR="00D745CF" w:rsidRPr="00D745CF">
        <w:rPr>
          <w:rFonts w:eastAsia="Times-Roman"/>
          <w:lang w:val="id-ID" w:eastAsia="en-ID"/>
        </w:rPr>
        <w:t xml:space="preserve">., infiltrasi </w:t>
      </w:r>
      <w:r w:rsidR="00D745CF" w:rsidRPr="00D745CF">
        <w:t>peritonsil</w:t>
      </w:r>
      <w:r w:rsidR="00D745CF" w:rsidRPr="00F426C1">
        <w:rPr>
          <w:lang w:val="id-ID"/>
        </w:rPr>
        <w:t>e</w:t>
      </w:r>
      <w:r w:rsidR="00D745CF" w:rsidRPr="00D745CF">
        <w:t xml:space="preserve">r </w:t>
      </w:r>
      <w:r w:rsidR="00D745CF" w:rsidRPr="00D745CF">
        <w:rPr>
          <w:color w:val="000000" w:themeColor="text1"/>
          <w:lang w:val="id-ID"/>
        </w:rPr>
        <w:t>levo</w:t>
      </w:r>
      <w:r w:rsidR="00D745CF" w:rsidRPr="00D745CF">
        <w:rPr>
          <w:color w:val="000000" w:themeColor="text1"/>
        </w:rPr>
        <w:t>bupiva</w:t>
      </w:r>
      <w:r w:rsidR="00D745CF" w:rsidRPr="00D745CF">
        <w:rPr>
          <w:color w:val="000000" w:themeColor="text1"/>
          <w:lang w:val="id-ID"/>
        </w:rPr>
        <w:t>ca</w:t>
      </w:r>
      <w:r w:rsidR="00D745CF" w:rsidRPr="00D745CF">
        <w:rPr>
          <w:color w:val="000000" w:themeColor="text1"/>
        </w:rPr>
        <w:t>ine</w:t>
      </w:r>
      <w:r w:rsidR="00D745CF" w:rsidRPr="00D745CF">
        <w:t xml:space="preserve"> isobarik 0,</w:t>
      </w:r>
      <w:r w:rsidR="00D745CF" w:rsidRPr="00D745CF">
        <w:rPr>
          <w:lang w:val="id-ID"/>
        </w:rPr>
        <w:t>25</w:t>
      </w:r>
      <w:r w:rsidR="00D745CF" w:rsidRPr="00D745CF">
        <w:t>%</w:t>
      </w:r>
      <w:r w:rsidR="00D745CF" w:rsidRPr="00D745CF">
        <w:rPr>
          <w:rFonts w:eastAsia="Times-Roman"/>
          <w:lang w:val="id-ID" w:eastAsia="en-ID"/>
        </w:rPr>
        <w:t xml:space="preserve"> pada pasien anak diperoleh durasi kebutuhan analgesik selama 78,3 menit pascabedah, yang lebih besar dibandingkan </w:t>
      </w:r>
      <w:r w:rsidR="00D745CF" w:rsidRPr="00D745CF">
        <w:rPr>
          <w:color w:val="000000" w:themeColor="text1"/>
        </w:rPr>
        <w:t>bupiva</w:t>
      </w:r>
      <w:r w:rsidR="00D745CF" w:rsidRPr="00D745CF">
        <w:rPr>
          <w:color w:val="000000" w:themeColor="text1"/>
          <w:lang w:val="id-ID"/>
        </w:rPr>
        <w:t>ca</w:t>
      </w:r>
      <w:r w:rsidR="00D745CF" w:rsidRPr="00D745CF">
        <w:rPr>
          <w:color w:val="000000" w:themeColor="text1"/>
        </w:rPr>
        <w:t>ine</w:t>
      </w:r>
      <w:r w:rsidR="00D745CF" w:rsidRPr="00D745CF">
        <w:t xml:space="preserve"> isobarik 0,</w:t>
      </w:r>
      <w:r w:rsidR="00D745CF" w:rsidRPr="00D745CF">
        <w:rPr>
          <w:lang w:val="id-ID"/>
        </w:rPr>
        <w:t>25</w:t>
      </w:r>
      <w:r w:rsidR="00D745CF" w:rsidRPr="00D745CF">
        <w:t>%</w:t>
      </w:r>
      <w:r w:rsidR="00D745CF" w:rsidRPr="00D745CF">
        <w:rPr>
          <w:lang w:val="id-ID"/>
        </w:rPr>
        <w:t xml:space="preserve"> sebesar 79,1 menit dan pada kontrol sebesar 67,2 menit.</w:t>
      </w:r>
      <w:r w:rsidR="00D745CF">
        <w:rPr>
          <w:lang w:val="id-ID"/>
        </w:rPr>
        <w:fldChar w:fldCharType="begin" w:fldLock="1"/>
      </w:r>
      <w:r w:rsidR="00D745CF">
        <w:rPr>
          <w:lang w:val="id-ID"/>
        </w:rPr>
        <w:instrText>ADDIN CSL_CITATION {"citationItems":[{"id":"ITEM-1","itemData":{"DOI":"10.1016/j.ijporl.2010.11.015","ISSN":"01655876","PMID":"21168923","abstract":"Objectives: To compare the effects of preincisional peritonsillar infiltration of levobupivacaine and bupivacaine on post-tonsillectomy pain in children. Methods: Sixty children undergoing elective tonsillectomy or adenotonsillectomy were randomly allocated into three groups before tonsillectomy: peritonsillar infiltrations with 0.25% levobupivacaine with 1:200,000 epinephrine (group levobupivacaine, n= 20), 0.25% bupivacaine with 1:200,000 epinephrine (group bupivacaine, n= 20), and normal saline (group saline, n= 20) were applied. Pain was evaluated by using a modified Children's Hospital of Eastern Ontario Pain Scale (mCHEOPS). Choice of additional analgesic was acetaminophen for all patients. Results: mCHEOPS values at 0th (immediately) and 30th minute after arrival the PACU were lower in both the local anesthetics groups than the saline group (p&lt; 0.001, p&lt; 0.01 for the group levobupivacaine; p&lt; 0.001, p&lt; 0.05 for the group bupivacaine, respectively). In addition, mCHEOPS values at 1st hour in the ward was lower in the group bupivacaine when compared to the group saline (p&lt; 0.05). Analgesic requirements and the time to first analgesia required, were also significantly different between the local anesthetic and saline groups (p&lt; 0.05 for both local anesthetics groups). Time to first mobilization was shorter in both local anesthetic groups when compared to the saline group (p&lt; 0.05 for both local anesthetic groups). Conclusion: Preincisional peritonsillar infiltration with levobupivacaine or bupivacaine before tonsillectomy, are effective than saline, in reducing early post-tonsillectomy pain, where as bupivacaine had slightly longer effect. Compared to saline, with both anesthetic infiltrations, lesser medication for analgesia is required. The clinical trial registration number (Research Ethics Committee of Medical Faculty, Uludag University): 2008-4/36, 19 February 2008. © 2010 Elsevier Ireland Ltd.","author":[{"dropping-particle":"","family":"Kasapoglu","given":"Fikret","non-dropping-particle":"","parse-names":false,"suffix":""},{"dropping-particle":"","family":"Kaya","given":"Fatma Nur","non-dropping-particle":"","parse-names":false,"suffix":""},{"dropping-particle":"","family":"Tuzemen","given":"Gokhan","non-dropping-particle":"","parse-names":false,"suffix":""},{"dropping-particle":"","family":"Ozmen","given":"Omer Afsin","non-dropping-particle":"","parse-names":false,"suffix":""},{"dropping-particle":"","family":"Kaya","given":"Atila","non-dropping-particle":"","parse-names":false,"suffix":""},{"dropping-particle":"","family":"Onart","given":"Selcuk","non-dropping-particle":"","parse-names":false,"suffix":""}],"container-title":"International Journal of Pediatric Otorhinolaryngology","id":"ITEM-1","issue":"3","issued":{"date-parts":[["2011"]]},"page":"322-326","publisher":"Elsevier Ireland Ltd","title":"Comparison of peritonsillar levobupivacaine and bupivacaine infiltration for post-tonsillectomy pain relief in children: Placebo-controlled clinical study","type":"article-journal","volume":"75"},"uris":["http://www.mendeley.com/documents/?uuid=f0d12eb6-fcb0-4166-964b-b766f03e22ae"]}],"mendeley":{"formattedCitation":"&lt;sup&gt;13&lt;/sup&gt;","plainTextFormattedCitation":"13"},"properties":{"noteIndex":0},"schema":"https://github.com/citation-style-language/schema/raw/master/csl-citation.json"}</w:instrText>
      </w:r>
      <w:r w:rsidR="00D745CF">
        <w:rPr>
          <w:lang w:val="id-ID"/>
        </w:rPr>
        <w:fldChar w:fldCharType="separate"/>
      </w:r>
      <w:r w:rsidR="00D745CF" w:rsidRPr="00D745CF">
        <w:rPr>
          <w:noProof/>
          <w:vertAlign w:val="superscript"/>
          <w:lang w:val="id-ID"/>
        </w:rPr>
        <w:t>13</w:t>
      </w:r>
      <w:r w:rsidR="00D745CF">
        <w:rPr>
          <w:lang w:val="id-ID"/>
        </w:rPr>
        <w:fldChar w:fldCharType="end"/>
      </w:r>
    </w:p>
    <w:p w14:paraId="683D054E" w14:textId="26A98291" w:rsidR="00086886" w:rsidRPr="00BB1331" w:rsidRDefault="00086886" w:rsidP="00086886">
      <w:pPr>
        <w:rPr>
          <w:lang w:val="id-ID"/>
        </w:rPr>
      </w:pPr>
    </w:p>
    <w:p w14:paraId="793BF17D" w14:textId="6B8E6B34" w:rsidR="00086886" w:rsidRPr="00BB1331" w:rsidRDefault="005419CE" w:rsidP="005419CE">
      <w:pPr>
        <w:pStyle w:val="Heading2"/>
        <w:spacing w:after="0"/>
        <w:rPr>
          <w:rFonts w:cs="Times New Roman"/>
          <w:color w:val="auto"/>
          <w:szCs w:val="24"/>
          <w:lang w:val="id-ID"/>
        </w:rPr>
      </w:pPr>
      <w:bookmarkStart w:id="146" w:name="_Toc158290310"/>
      <w:r>
        <w:rPr>
          <w:rFonts w:cs="Times New Roman"/>
          <w:color w:val="auto"/>
          <w:szCs w:val="24"/>
          <w:lang w:val="id-ID"/>
        </w:rPr>
        <w:t>6.4</w:t>
      </w:r>
      <w:r>
        <w:rPr>
          <w:rFonts w:cs="Times New Roman"/>
          <w:color w:val="auto"/>
          <w:szCs w:val="24"/>
          <w:lang w:val="id-ID"/>
        </w:rPr>
        <w:tab/>
        <w:t xml:space="preserve">Keterbatasan </w:t>
      </w:r>
      <w:r w:rsidR="000A4CBF">
        <w:rPr>
          <w:rFonts w:cs="Times New Roman"/>
          <w:color w:val="auto"/>
          <w:szCs w:val="24"/>
          <w:lang w:val="id-ID"/>
        </w:rPr>
        <w:t>Penelitian</w:t>
      </w:r>
      <w:bookmarkEnd w:id="146"/>
    </w:p>
    <w:p w14:paraId="320CAFE5" w14:textId="613D4300" w:rsidR="005419CE" w:rsidRPr="00F426C1" w:rsidRDefault="005419CE" w:rsidP="005419CE">
      <w:pPr>
        <w:spacing w:line="360" w:lineRule="auto"/>
        <w:ind w:firstLine="567"/>
        <w:jc w:val="both"/>
        <w:rPr>
          <w:lang w:val="id-ID"/>
        </w:rPr>
      </w:pPr>
      <w:r w:rsidRPr="00BB1331">
        <w:rPr>
          <w:rFonts w:eastAsiaTheme="minorEastAsia"/>
          <w:lang w:val="id-ID" w:eastAsia="zh-CN"/>
        </w:rPr>
        <w:t xml:space="preserve">Penelitian ini mempunyai keterbatasan yaitu hanya menggunakan satu dosis </w:t>
      </w:r>
      <w:r>
        <w:t>blok peritonsil</w:t>
      </w:r>
      <w:r w:rsidRPr="00F426C1">
        <w:rPr>
          <w:lang w:val="id-ID"/>
        </w:rPr>
        <w:t>e</w:t>
      </w:r>
      <w:r>
        <w:t xml:space="preserve">r </w:t>
      </w:r>
      <w:r w:rsidRPr="00892FD4">
        <w:rPr>
          <w:color w:val="000000" w:themeColor="text1"/>
          <w:lang w:val="id-ID"/>
        </w:rPr>
        <w:t>levo</w:t>
      </w:r>
      <w:r w:rsidRPr="00892FD4">
        <w:rPr>
          <w:color w:val="000000" w:themeColor="text1"/>
        </w:rPr>
        <w:t>bupiva</w:t>
      </w:r>
      <w:r w:rsidRPr="00892FD4">
        <w:rPr>
          <w:color w:val="000000" w:themeColor="text1"/>
          <w:lang w:val="id-ID"/>
        </w:rPr>
        <w:t>ca</w:t>
      </w:r>
      <w:r w:rsidRPr="00892FD4">
        <w:rPr>
          <w:color w:val="000000" w:themeColor="text1"/>
        </w:rPr>
        <w:t>ine</w:t>
      </w:r>
      <w:r>
        <w:t xml:space="preserve"> isobarik</w:t>
      </w:r>
      <w:r w:rsidR="009E175C" w:rsidRPr="00F426C1">
        <w:rPr>
          <w:lang w:val="id-ID"/>
        </w:rPr>
        <w:t xml:space="preserve"> 0,125%. </w:t>
      </w:r>
      <w:r w:rsidRPr="00BB1331">
        <w:rPr>
          <w:lang w:val="id-ID"/>
        </w:rPr>
        <w:t xml:space="preserve">Penelitian </w:t>
      </w:r>
      <w:r w:rsidR="009E175C" w:rsidRPr="00F426C1">
        <w:rPr>
          <w:lang w:val="id-ID"/>
        </w:rPr>
        <w:t xml:space="preserve">dengan perbandingan konsentrasi berbeda dapat memberikan informasi </w:t>
      </w:r>
      <w:r>
        <w:rPr>
          <w:lang w:val="id-ID"/>
        </w:rPr>
        <w:t xml:space="preserve">terkait </w:t>
      </w:r>
      <w:r w:rsidR="009E175C" w:rsidRPr="00F426C1">
        <w:rPr>
          <w:lang w:val="id-ID"/>
        </w:rPr>
        <w:t xml:space="preserve">komplikasi seperti </w:t>
      </w:r>
      <w:r w:rsidRPr="00BB1331">
        <w:rPr>
          <w:rFonts w:eastAsia="SimSun"/>
          <w:lang w:val="id-ID"/>
        </w:rPr>
        <w:t>serangan jantung</w:t>
      </w:r>
      <w:r>
        <w:rPr>
          <w:rFonts w:eastAsia="SimSun"/>
          <w:lang w:val="id-ID"/>
        </w:rPr>
        <w:t>,</w:t>
      </w:r>
      <w:r w:rsidRPr="00BB1331">
        <w:rPr>
          <w:rFonts w:eastAsia="SimSun"/>
          <w:lang w:val="id-ID"/>
        </w:rPr>
        <w:t xml:space="preserve"> kejang</w:t>
      </w:r>
      <w:r>
        <w:rPr>
          <w:rFonts w:eastAsia="SimSun"/>
          <w:lang w:val="id-ID"/>
        </w:rPr>
        <w:t>,</w:t>
      </w:r>
      <w:r w:rsidRPr="00BB1331">
        <w:rPr>
          <w:rFonts w:eastAsia="SimSun"/>
          <w:lang w:val="id-ID"/>
        </w:rPr>
        <w:t xml:space="preserve"> obstruksi saluran napas bagian atas</w:t>
      </w:r>
      <w:r>
        <w:rPr>
          <w:rFonts w:eastAsia="SimSun"/>
          <w:lang w:val="id-ID"/>
        </w:rPr>
        <w:t xml:space="preserve">, </w:t>
      </w:r>
      <w:r w:rsidRPr="00BB1331">
        <w:rPr>
          <w:rFonts w:eastAsia="SimSun"/>
          <w:lang w:val="id-ID"/>
        </w:rPr>
        <w:t>kelumpuhan saraf wajah, dan kelumpuhan pita suara</w:t>
      </w:r>
      <w:r>
        <w:rPr>
          <w:rFonts w:eastAsia="SimSun"/>
          <w:lang w:val="id-ID"/>
        </w:rPr>
        <w:t xml:space="preserve"> yang dapat terjadi akibat </w:t>
      </w:r>
      <w:r>
        <w:t>blok peritonsil</w:t>
      </w:r>
      <w:r w:rsidRPr="00F426C1">
        <w:rPr>
          <w:lang w:val="id-ID"/>
        </w:rPr>
        <w:t>e</w:t>
      </w:r>
      <w:r>
        <w:t>r</w:t>
      </w:r>
      <w:r>
        <w:rPr>
          <w:lang w:val="id-ID"/>
        </w:rPr>
        <w:t xml:space="preserve"> pada bedah tonsilektomi</w:t>
      </w:r>
      <w:r w:rsidR="009E175C" w:rsidRPr="00F426C1">
        <w:rPr>
          <w:lang w:val="id-ID"/>
        </w:rPr>
        <w:t>.</w:t>
      </w:r>
    </w:p>
    <w:p w14:paraId="36D2A4DC" w14:textId="05553CDD" w:rsidR="00892FD4" w:rsidRPr="005419CE" w:rsidRDefault="00892FD4" w:rsidP="005419CE">
      <w:pPr>
        <w:spacing w:line="360" w:lineRule="auto"/>
        <w:ind w:firstLine="567"/>
        <w:jc w:val="both"/>
        <w:rPr>
          <w:lang w:val="id-ID"/>
        </w:rPr>
      </w:pPr>
      <w:r>
        <w:br w:type="page"/>
      </w:r>
    </w:p>
    <w:p w14:paraId="0CFC5E51" w14:textId="30571584" w:rsidR="005419CE" w:rsidRPr="005419CE" w:rsidRDefault="005419CE" w:rsidP="005419CE">
      <w:pPr>
        <w:pStyle w:val="Heading1"/>
        <w:spacing w:after="0"/>
        <w:rPr>
          <w:sz w:val="24"/>
          <w:szCs w:val="24"/>
          <w:lang w:val="id-ID"/>
        </w:rPr>
      </w:pPr>
      <w:bookmarkStart w:id="147" w:name="_Toc158290311"/>
      <w:r w:rsidRPr="007A47B4">
        <w:rPr>
          <w:sz w:val="24"/>
          <w:szCs w:val="24"/>
        </w:rPr>
        <w:lastRenderedPageBreak/>
        <w:t>BAB VI</w:t>
      </w:r>
      <w:r>
        <w:rPr>
          <w:sz w:val="24"/>
          <w:szCs w:val="24"/>
          <w:lang w:val="id-ID"/>
        </w:rPr>
        <w:t>I</w:t>
      </w:r>
      <w:bookmarkEnd w:id="147"/>
    </w:p>
    <w:p w14:paraId="48BAF782" w14:textId="3AC07B83" w:rsidR="005419CE" w:rsidRPr="005419CE" w:rsidRDefault="005419CE" w:rsidP="005419CE">
      <w:pPr>
        <w:pStyle w:val="Heading1"/>
        <w:spacing w:after="0"/>
        <w:rPr>
          <w:lang w:val="id-ID" w:eastAsia="zh-CN"/>
        </w:rPr>
      </w:pPr>
      <w:bookmarkStart w:id="148" w:name="_Toc158290312"/>
      <w:r>
        <w:rPr>
          <w:sz w:val="24"/>
          <w:szCs w:val="24"/>
          <w:lang w:val="id-ID"/>
        </w:rPr>
        <w:t>KESIMPULAN DAN SARAN</w:t>
      </w:r>
      <w:bookmarkEnd w:id="148"/>
    </w:p>
    <w:p w14:paraId="47B604E7" w14:textId="77777777" w:rsidR="005419CE" w:rsidRPr="00F426C1" w:rsidRDefault="005419CE" w:rsidP="005419CE">
      <w:pPr>
        <w:pStyle w:val="ListParagraph"/>
        <w:numPr>
          <w:ilvl w:val="0"/>
          <w:numId w:val="29"/>
        </w:numPr>
        <w:rPr>
          <w:b/>
          <w:bCs/>
          <w:color w:val="FFFFFF" w:themeColor="background1"/>
          <w:lang w:val="id-ID" w:eastAsia="zh-CN"/>
        </w:rPr>
      </w:pPr>
      <w:r w:rsidRPr="00F426C1">
        <w:rPr>
          <w:b/>
          <w:bCs/>
          <w:color w:val="FFFFFF" w:themeColor="background1"/>
          <w:lang w:val="id-ID" w:eastAsia="zh-CN"/>
        </w:rPr>
        <w:t>A</w:t>
      </w:r>
    </w:p>
    <w:p w14:paraId="232B5751" w14:textId="52732D93" w:rsidR="005419CE" w:rsidRDefault="005419CE" w:rsidP="006F2657">
      <w:pPr>
        <w:pStyle w:val="Heading2"/>
        <w:spacing w:after="0"/>
        <w:ind w:left="567" w:hanging="567"/>
        <w:rPr>
          <w:lang w:val="id-ID" w:eastAsia="zh-CN"/>
        </w:rPr>
      </w:pPr>
      <w:bookmarkStart w:id="149" w:name="_Toc158290313"/>
      <w:r>
        <w:rPr>
          <w:lang w:val="id-ID" w:eastAsia="zh-CN"/>
        </w:rPr>
        <w:t>7.1</w:t>
      </w:r>
      <w:r>
        <w:rPr>
          <w:lang w:val="id-ID" w:eastAsia="zh-CN"/>
        </w:rPr>
        <w:tab/>
        <w:t>Kesimpulan</w:t>
      </w:r>
      <w:bookmarkEnd w:id="149"/>
    </w:p>
    <w:p w14:paraId="505DDA46" w14:textId="3148F14F" w:rsidR="006F2657" w:rsidRPr="00F426C1" w:rsidRDefault="006F2657" w:rsidP="006F2657">
      <w:pPr>
        <w:spacing w:line="360" w:lineRule="auto"/>
        <w:ind w:firstLine="567"/>
        <w:jc w:val="both"/>
        <w:rPr>
          <w:lang w:val="id-ID"/>
        </w:rPr>
      </w:pPr>
      <w:r w:rsidRPr="00BB1331">
        <w:rPr>
          <w:lang w:val="id-ID"/>
        </w:rPr>
        <w:t>Berdasarkan hasil penelitian dan pembahasan dari penelitian ini dapat disimpulkan yaitu</w:t>
      </w:r>
      <w:r w:rsidR="00E514CB" w:rsidRPr="00F426C1">
        <w:rPr>
          <w:lang w:val="id-ID"/>
        </w:rPr>
        <w:t>:</w:t>
      </w:r>
    </w:p>
    <w:p w14:paraId="292F7509" w14:textId="1826A704" w:rsidR="006F2657" w:rsidRPr="00465323" w:rsidRDefault="006F2657" w:rsidP="006F2657">
      <w:pPr>
        <w:pStyle w:val="ListParagraph"/>
        <w:numPr>
          <w:ilvl w:val="3"/>
          <w:numId w:val="13"/>
        </w:numPr>
        <w:spacing w:line="360" w:lineRule="auto"/>
        <w:ind w:left="426"/>
        <w:jc w:val="both"/>
        <w:rPr>
          <w:lang w:val="id-ID" w:eastAsia="zh-CN"/>
        </w:rPr>
      </w:pPr>
      <w:r w:rsidRPr="006F2657">
        <w:rPr>
          <w:lang w:val="id-ID"/>
        </w:rPr>
        <w:t>P</w:t>
      </w:r>
      <w:r w:rsidRPr="00F426C1">
        <w:rPr>
          <w:lang w:val="id-ID"/>
        </w:rPr>
        <w:t xml:space="preserve">emberian </w:t>
      </w:r>
      <w:r>
        <w:t>blok peritonsil</w:t>
      </w:r>
      <w:r w:rsidRPr="00F426C1">
        <w:rPr>
          <w:lang w:val="id-ID"/>
        </w:rPr>
        <w:t>e</w:t>
      </w:r>
      <w:r>
        <w:t xml:space="preserve">r </w:t>
      </w:r>
      <w:r w:rsidR="00DD59D6" w:rsidRPr="00F426C1">
        <w:rPr>
          <w:lang w:val="id-ID"/>
        </w:rPr>
        <w:t xml:space="preserve">pascabedah tonsilektomi dengan menggunakan </w:t>
      </w:r>
      <w:r w:rsidRPr="00892FD4">
        <w:rPr>
          <w:color w:val="000000" w:themeColor="text1"/>
          <w:lang w:val="id-ID"/>
        </w:rPr>
        <w:t>levo</w:t>
      </w:r>
      <w:r w:rsidRPr="00892FD4">
        <w:rPr>
          <w:color w:val="000000" w:themeColor="text1"/>
        </w:rPr>
        <w:t>bupiva</w:t>
      </w:r>
      <w:r w:rsidRPr="00892FD4">
        <w:rPr>
          <w:color w:val="000000" w:themeColor="text1"/>
          <w:lang w:val="id-ID"/>
        </w:rPr>
        <w:t>ca</w:t>
      </w:r>
      <w:r w:rsidRPr="00892FD4">
        <w:rPr>
          <w:color w:val="000000" w:themeColor="text1"/>
        </w:rPr>
        <w:t>ine</w:t>
      </w:r>
      <w:r>
        <w:t xml:space="preserve"> isobarik 0,125%</w:t>
      </w:r>
      <w:r w:rsidRPr="006F2657">
        <w:rPr>
          <w:lang w:val="id-ID"/>
        </w:rPr>
        <w:t xml:space="preserve"> dapat </w:t>
      </w:r>
      <w:r w:rsidRPr="00F426C1">
        <w:rPr>
          <w:lang w:val="id-ID"/>
        </w:rPr>
        <w:t xml:space="preserve">menurunkan intensitas nyeri </w:t>
      </w:r>
      <w:r w:rsidR="00465323" w:rsidRPr="00F426C1">
        <w:rPr>
          <w:lang w:val="id-ID"/>
        </w:rPr>
        <w:t xml:space="preserve">pada jam ke 2 sampai jam ke-8 pascabedah tonsilektomi tergantung durasi obat anestesi lokal. </w:t>
      </w:r>
    </w:p>
    <w:p w14:paraId="2DFE0104" w14:textId="7181384C" w:rsidR="00465323" w:rsidRDefault="00465323" w:rsidP="006F2657">
      <w:pPr>
        <w:pStyle w:val="ListParagraph"/>
        <w:numPr>
          <w:ilvl w:val="3"/>
          <w:numId w:val="13"/>
        </w:numPr>
        <w:spacing w:line="360" w:lineRule="auto"/>
        <w:ind w:left="426"/>
        <w:jc w:val="both"/>
        <w:rPr>
          <w:lang w:val="id-ID" w:eastAsia="zh-CN"/>
        </w:rPr>
      </w:pPr>
      <w:r w:rsidRPr="006F2657">
        <w:rPr>
          <w:lang w:val="id-ID"/>
        </w:rPr>
        <w:t>P</w:t>
      </w:r>
      <w:r w:rsidRPr="00F426C1">
        <w:rPr>
          <w:lang w:val="id-ID"/>
        </w:rPr>
        <w:t xml:space="preserve">emberian </w:t>
      </w:r>
      <w:r>
        <w:t>blok peritonsil</w:t>
      </w:r>
      <w:r w:rsidRPr="00F426C1">
        <w:rPr>
          <w:lang w:val="id-ID"/>
        </w:rPr>
        <w:t>e</w:t>
      </w:r>
      <w:r>
        <w:t xml:space="preserve">r </w:t>
      </w:r>
      <w:r w:rsidR="00DD59D6" w:rsidRPr="00F426C1">
        <w:rPr>
          <w:lang w:val="id-ID"/>
        </w:rPr>
        <w:t xml:space="preserve">pascabedah tonsilektomi dengan menggunakan </w:t>
      </w:r>
      <w:r w:rsidRPr="00892FD4">
        <w:rPr>
          <w:color w:val="000000" w:themeColor="text1"/>
          <w:lang w:val="id-ID"/>
        </w:rPr>
        <w:t>levo</w:t>
      </w:r>
      <w:r w:rsidRPr="00892FD4">
        <w:rPr>
          <w:color w:val="000000" w:themeColor="text1"/>
        </w:rPr>
        <w:t>bupiva</w:t>
      </w:r>
      <w:r w:rsidRPr="00892FD4">
        <w:rPr>
          <w:color w:val="000000" w:themeColor="text1"/>
          <w:lang w:val="id-ID"/>
        </w:rPr>
        <w:t>ca</w:t>
      </w:r>
      <w:r w:rsidRPr="00892FD4">
        <w:rPr>
          <w:color w:val="000000" w:themeColor="text1"/>
        </w:rPr>
        <w:t>ine</w:t>
      </w:r>
      <w:r>
        <w:t xml:space="preserve"> isobarik 0,125%</w:t>
      </w:r>
      <w:r w:rsidRPr="00F426C1">
        <w:rPr>
          <w:lang w:val="id-ID"/>
        </w:rPr>
        <w:t xml:space="preserve"> mempercepat </w:t>
      </w:r>
      <w:r w:rsidRPr="00F426C1">
        <w:rPr>
          <w:i/>
          <w:iCs/>
          <w:lang w:val="id-ID"/>
        </w:rPr>
        <w:t>intake</w:t>
      </w:r>
      <w:r w:rsidRPr="00F426C1">
        <w:rPr>
          <w:lang w:val="id-ID"/>
        </w:rPr>
        <w:t xml:space="preserve"> oral pascabedah.</w:t>
      </w:r>
    </w:p>
    <w:p w14:paraId="1F1E196F" w14:textId="5D397B4F" w:rsidR="00465323" w:rsidRPr="006F2657" w:rsidRDefault="00465323" w:rsidP="00465323">
      <w:pPr>
        <w:pStyle w:val="ListParagraph"/>
        <w:numPr>
          <w:ilvl w:val="3"/>
          <w:numId w:val="13"/>
        </w:numPr>
        <w:spacing w:line="360" w:lineRule="auto"/>
        <w:ind w:left="426"/>
        <w:jc w:val="both"/>
        <w:rPr>
          <w:lang w:val="id-ID" w:eastAsia="zh-CN"/>
        </w:rPr>
      </w:pPr>
      <w:r w:rsidRPr="006F2657">
        <w:rPr>
          <w:lang w:val="id-ID"/>
        </w:rPr>
        <w:t>P</w:t>
      </w:r>
      <w:r w:rsidRPr="00F426C1">
        <w:rPr>
          <w:lang w:val="id-ID"/>
        </w:rPr>
        <w:t xml:space="preserve">emberian </w:t>
      </w:r>
      <w:r>
        <w:t>blok peritonsil</w:t>
      </w:r>
      <w:r w:rsidRPr="00F426C1">
        <w:rPr>
          <w:lang w:val="id-ID"/>
        </w:rPr>
        <w:t>e</w:t>
      </w:r>
      <w:r>
        <w:t>r</w:t>
      </w:r>
      <w:r w:rsidR="00DD59D6" w:rsidRPr="00F426C1">
        <w:rPr>
          <w:lang w:val="id-ID"/>
        </w:rPr>
        <w:t xml:space="preserve"> pascabedah tonsilektomi dengan menggunakan</w:t>
      </w:r>
      <w:r>
        <w:t xml:space="preserve"> </w:t>
      </w:r>
      <w:r w:rsidRPr="00892FD4">
        <w:rPr>
          <w:color w:val="000000" w:themeColor="text1"/>
          <w:lang w:val="id-ID"/>
        </w:rPr>
        <w:t>levo</w:t>
      </w:r>
      <w:r w:rsidRPr="00892FD4">
        <w:rPr>
          <w:color w:val="000000" w:themeColor="text1"/>
        </w:rPr>
        <w:t>bupiva</w:t>
      </w:r>
      <w:r w:rsidRPr="00892FD4">
        <w:rPr>
          <w:color w:val="000000" w:themeColor="text1"/>
          <w:lang w:val="id-ID"/>
        </w:rPr>
        <w:t>ca</w:t>
      </w:r>
      <w:r w:rsidRPr="00892FD4">
        <w:rPr>
          <w:color w:val="000000" w:themeColor="text1"/>
        </w:rPr>
        <w:t>ine</w:t>
      </w:r>
      <w:r>
        <w:t xml:space="preserve"> isobarik 0,125%</w:t>
      </w:r>
      <w:r w:rsidRPr="006F2657">
        <w:rPr>
          <w:lang w:val="id-ID"/>
        </w:rPr>
        <w:t xml:space="preserve"> dapat </w:t>
      </w:r>
      <w:r w:rsidRPr="00F426C1">
        <w:rPr>
          <w:lang w:val="id-ID"/>
        </w:rPr>
        <w:t xml:space="preserve">menurunkan perubahan </w:t>
      </w:r>
      <w:r>
        <w:rPr>
          <w:lang w:val="id-ID"/>
        </w:rPr>
        <w:t>kadar IL-6</w:t>
      </w:r>
      <w:r w:rsidRPr="006F2657">
        <w:rPr>
          <w:lang w:val="id-ID"/>
        </w:rPr>
        <w:t xml:space="preserve"> </w:t>
      </w:r>
      <w:r>
        <w:rPr>
          <w:lang w:val="id-ID"/>
        </w:rPr>
        <w:t>pada</w:t>
      </w:r>
      <w:r w:rsidRPr="006F2657">
        <w:rPr>
          <w:lang w:val="id-ID"/>
        </w:rPr>
        <w:t xml:space="preserve"> </w:t>
      </w:r>
      <w:r>
        <w:rPr>
          <w:lang w:val="id-ID"/>
        </w:rPr>
        <w:t>12 jam</w:t>
      </w:r>
      <w:r w:rsidRPr="006F2657">
        <w:rPr>
          <w:lang w:val="id-ID"/>
        </w:rPr>
        <w:t xml:space="preserve"> pasca</w:t>
      </w:r>
      <w:r>
        <w:rPr>
          <w:lang w:val="id-ID"/>
        </w:rPr>
        <w:t>bedah tonsilektomi tanpa dipengaruhi oleh ukuran tonsil.</w:t>
      </w:r>
    </w:p>
    <w:p w14:paraId="1D4A72F2" w14:textId="013C77BF" w:rsidR="006F2657" w:rsidRDefault="006F2657" w:rsidP="006F2657">
      <w:pPr>
        <w:pStyle w:val="ListParagraph"/>
        <w:numPr>
          <w:ilvl w:val="3"/>
          <w:numId w:val="13"/>
        </w:numPr>
        <w:spacing w:line="360" w:lineRule="auto"/>
        <w:ind w:left="426"/>
        <w:jc w:val="both"/>
        <w:rPr>
          <w:lang w:val="id-ID" w:eastAsia="zh-CN"/>
        </w:rPr>
      </w:pPr>
      <w:r w:rsidRPr="006F2657">
        <w:rPr>
          <w:lang w:val="id-ID"/>
        </w:rPr>
        <w:t>P</w:t>
      </w:r>
      <w:r w:rsidRPr="00F426C1">
        <w:rPr>
          <w:lang w:val="id-ID"/>
        </w:rPr>
        <w:t xml:space="preserve">emberian </w:t>
      </w:r>
      <w:r>
        <w:t>blok peritonsil</w:t>
      </w:r>
      <w:r w:rsidRPr="00F426C1">
        <w:rPr>
          <w:lang w:val="id-ID"/>
        </w:rPr>
        <w:t>e</w:t>
      </w:r>
      <w:r>
        <w:t xml:space="preserve">r </w:t>
      </w:r>
      <w:r w:rsidR="00DD59D6" w:rsidRPr="00F426C1">
        <w:rPr>
          <w:lang w:val="id-ID"/>
        </w:rPr>
        <w:t xml:space="preserve">pascabedah tonsilektomi dengan menggunakan </w:t>
      </w:r>
      <w:r w:rsidRPr="00892FD4">
        <w:rPr>
          <w:color w:val="000000" w:themeColor="text1"/>
          <w:lang w:val="id-ID"/>
        </w:rPr>
        <w:t>levo</w:t>
      </w:r>
      <w:r w:rsidRPr="00892FD4">
        <w:rPr>
          <w:color w:val="000000" w:themeColor="text1"/>
        </w:rPr>
        <w:t>bupiva</w:t>
      </w:r>
      <w:r w:rsidRPr="00892FD4">
        <w:rPr>
          <w:color w:val="000000" w:themeColor="text1"/>
          <w:lang w:val="id-ID"/>
        </w:rPr>
        <w:t>ca</w:t>
      </w:r>
      <w:r w:rsidRPr="00892FD4">
        <w:rPr>
          <w:color w:val="000000" w:themeColor="text1"/>
        </w:rPr>
        <w:t>ine</w:t>
      </w:r>
      <w:r>
        <w:t xml:space="preserve"> isobarik 0,125%</w:t>
      </w:r>
      <w:r w:rsidRPr="006F2657">
        <w:rPr>
          <w:lang w:val="id-ID"/>
        </w:rPr>
        <w:t xml:space="preserve"> </w:t>
      </w:r>
      <w:r>
        <w:rPr>
          <w:lang w:val="id-ID"/>
        </w:rPr>
        <w:t xml:space="preserve">tidak memberikan efek samping PONV dan sakit kepala </w:t>
      </w:r>
      <w:r w:rsidR="009E175C" w:rsidRPr="00F426C1">
        <w:rPr>
          <w:lang w:val="id-ID"/>
        </w:rPr>
        <w:t xml:space="preserve">maupun </w:t>
      </w:r>
      <w:r w:rsidR="009E175C">
        <w:rPr>
          <w:lang w:val="id-ID"/>
        </w:rPr>
        <w:t xml:space="preserve">berbagai komplikasi seperti </w:t>
      </w:r>
      <w:r w:rsidR="009E175C" w:rsidRPr="00BB1331">
        <w:rPr>
          <w:rFonts w:eastAsia="SimSun"/>
          <w:lang w:val="id-ID"/>
        </w:rPr>
        <w:t>serangan jantung</w:t>
      </w:r>
      <w:r w:rsidR="009E175C">
        <w:rPr>
          <w:rFonts w:eastAsia="SimSun"/>
          <w:lang w:val="id-ID"/>
        </w:rPr>
        <w:t>,</w:t>
      </w:r>
      <w:r w:rsidR="009E175C" w:rsidRPr="00BB1331">
        <w:rPr>
          <w:rFonts w:eastAsia="SimSun"/>
          <w:lang w:val="id-ID"/>
        </w:rPr>
        <w:t xml:space="preserve"> kejang</w:t>
      </w:r>
      <w:r w:rsidR="009E175C">
        <w:rPr>
          <w:rFonts w:eastAsia="SimSun"/>
          <w:lang w:val="id-ID"/>
        </w:rPr>
        <w:t>,</w:t>
      </w:r>
      <w:r w:rsidR="009E175C" w:rsidRPr="00BB1331">
        <w:rPr>
          <w:rFonts w:eastAsia="SimSun"/>
          <w:lang w:val="id-ID"/>
        </w:rPr>
        <w:t xml:space="preserve"> obstruksi saluran napas bagian atas</w:t>
      </w:r>
      <w:r w:rsidR="009E175C">
        <w:rPr>
          <w:rFonts w:eastAsia="SimSun"/>
          <w:lang w:val="id-ID"/>
        </w:rPr>
        <w:t xml:space="preserve">, </w:t>
      </w:r>
      <w:r w:rsidR="009E175C" w:rsidRPr="00BB1331">
        <w:rPr>
          <w:rFonts w:eastAsia="SimSun"/>
          <w:lang w:val="id-ID"/>
        </w:rPr>
        <w:t>kelumpuhan saraf wajah, dan kelumpuhan pita suara</w:t>
      </w:r>
      <w:r w:rsidR="009E175C">
        <w:rPr>
          <w:rFonts w:eastAsia="SimSun"/>
          <w:lang w:val="id-ID"/>
        </w:rPr>
        <w:t xml:space="preserve"> yang dapat terjadi akibat </w:t>
      </w:r>
      <w:r w:rsidR="009E175C">
        <w:t>blok peritonsil</w:t>
      </w:r>
      <w:r w:rsidR="009E175C" w:rsidRPr="00F426C1">
        <w:rPr>
          <w:lang w:val="id-ID"/>
        </w:rPr>
        <w:t>e</w:t>
      </w:r>
      <w:r w:rsidR="009E175C">
        <w:t>r</w:t>
      </w:r>
      <w:r w:rsidR="009E175C">
        <w:rPr>
          <w:lang w:val="id-ID"/>
        </w:rPr>
        <w:t xml:space="preserve"> pada bedah tonsilektomi.</w:t>
      </w:r>
      <w:r>
        <w:rPr>
          <w:lang w:val="id-ID"/>
        </w:rPr>
        <w:t>pasca 24 jam bedah tonsilektomi</w:t>
      </w:r>
      <w:r w:rsidR="00C75FBE" w:rsidRPr="00F426C1">
        <w:rPr>
          <w:lang w:val="id-ID"/>
        </w:rPr>
        <w:t>.</w:t>
      </w:r>
    </w:p>
    <w:p w14:paraId="29AF97C3" w14:textId="77777777" w:rsidR="006F2657" w:rsidRPr="005419CE" w:rsidRDefault="006F2657" w:rsidP="005419CE">
      <w:pPr>
        <w:spacing w:line="360" w:lineRule="auto"/>
        <w:rPr>
          <w:lang w:val="id-ID" w:eastAsia="zh-CN"/>
        </w:rPr>
      </w:pPr>
    </w:p>
    <w:p w14:paraId="01269CCA" w14:textId="77777777" w:rsidR="006F2657" w:rsidRDefault="005419CE" w:rsidP="005419CE">
      <w:pPr>
        <w:pStyle w:val="Heading2"/>
        <w:spacing w:after="0"/>
        <w:ind w:left="567" w:hanging="567"/>
        <w:rPr>
          <w:lang w:val="id-ID" w:eastAsia="zh-CN"/>
        </w:rPr>
      </w:pPr>
      <w:bookmarkStart w:id="150" w:name="_Toc158290314"/>
      <w:r>
        <w:rPr>
          <w:lang w:val="id-ID" w:eastAsia="zh-CN"/>
        </w:rPr>
        <w:t>7.2</w:t>
      </w:r>
      <w:r>
        <w:rPr>
          <w:lang w:val="id-ID" w:eastAsia="zh-CN"/>
        </w:rPr>
        <w:tab/>
        <w:t>Saran</w:t>
      </w:r>
      <w:bookmarkEnd w:id="150"/>
    </w:p>
    <w:p w14:paraId="150DE6EF" w14:textId="7253054D" w:rsidR="00BD5B19" w:rsidRPr="00BD5B19" w:rsidRDefault="00465323" w:rsidP="006F2657">
      <w:pPr>
        <w:pStyle w:val="ListParagraph"/>
        <w:widowControl w:val="0"/>
        <w:numPr>
          <w:ilvl w:val="6"/>
          <w:numId w:val="13"/>
        </w:numPr>
        <w:tabs>
          <w:tab w:val="left" w:pos="7920"/>
        </w:tabs>
        <w:autoSpaceDE w:val="0"/>
        <w:autoSpaceDN w:val="0"/>
        <w:spacing w:before="1" w:line="360" w:lineRule="auto"/>
        <w:ind w:left="426" w:right="-72"/>
        <w:jc w:val="both"/>
      </w:pPr>
      <w:r w:rsidRPr="00F426C1">
        <w:rPr>
          <w:lang w:val="id-ID"/>
        </w:rPr>
        <w:t xml:space="preserve">Disarankan untuk menggunakan blok peritonsiler dengan levobupivacaine isobaric 0,125% pada pasien yang menjalani bedah tonsilektomi untuk menurunkan nyeri pascabedah serta mempercepat </w:t>
      </w:r>
      <w:r w:rsidRPr="00F426C1">
        <w:rPr>
          <w:i/>
          <w:iCs/>
          <w:lang w:val="id-ID"/>
        </w:rPr>
        <w:t>intake</w:t>
      </w:r>
      <w:r w:rsidRPr="00F426C1">
        <w:rPr>
          <w:lang w:val="id-ID"/>
        </w:rPr>
        <w:t xml:space="preserve"> oral.</w:t>
      </w:r>
    </w:p>
    <w:p w14:paraId="35AD0E23" w14:textId="77777777" w:rsidR="006B03E5" w:rsidRPr="006B03E5" w:rsidRDefault="006F2657" w:rsidP="006F2657">
      <w:pPr>
        <w:pStyle w:val="ListParagraph"/>
        <w:widowControl w:val="0"/>
        <w:numPr>
          <w:ilvl w:val="6"/>
          <w:numId w:val="13"/>
        </w:numPr>
        <w:tabs>
          <w:tab w:val="left" w:pos="7920"/>
        </w:tabs>
        <w:autoSpaceDE w:val="0"/>
        <w:autoSpaceDN w:val="0"/>
        <w:spacing w:before="1" w:line="360" w:lineRule="auto"/>
        <w:ind w:left="426" w:right="-72"/>
        <w:jc w:val="both"/>
        <w:rPr>
          <w:lang w:eastAsia="zh-CN"/>
        </w:rPr>
      </w:pPr>
      <w:r w:rsidRPr="006F2657">
        <w:rPr>
          <w:lang w:eastAsia="zh-CN"/>
        </w:rPr>
        <w:t xml:space="preserve">Perlu penelitian lainnya untuk mengetahui efek </w:t>
      </w:r>
      <w:r>
        <w:rPr>
          <w:lang w:eastAsia="zh-CN"/>
        </w:rPr>
        <w:t>blok peritonsil</w:t>
      </w:r>
      <w:r>
        <w:rPr>
          <w:lang w:val="en-US" w:eastAsia="zh-CN"/>
        </w:rPr>
        <w:t>e</w:t>
      </w:r>
      <w:r>
        <w:rPr>
          <w:lang w:eastAsia="zh-CN"/>
        </w:rPr>
        <w:t xml:space="preserve">r </w:t>
      </w:r>
      <w:r w:rsidR="00BD5B19">
        <w:rPr>
          <w:lang w:val="en-US" w:eastAsia="zh-CN"/>
        </w:rPr>
        <w:t xml:space="preserve">dengan </w:t>
      </w:r>
      <w:proofErr w:type="spellStart"/>
      <w:r w:rsidR="00BD5B19">
        <w:rPr>
          <w:lang w:val="en-US" w:eastAsia="zh-CN"/>
        </w:rPr>
        <w:t>menggunakan</w:t>
      </w:r>
      <w:proofErr w:type="spellEnd"/>
      <w:r w:rsidR="00BD5B19">
        <w:rPr>
          <w:lang w:val="en-US" w:eastAsia="zh-CN"/>
        </w:rPr>
        <w:t xml:space="preserve"> </w:t>
      </w:r>
      <w:r w:rsidRPr="00892FD4">
        <w:rPr>
          <w:color w:val="000000" w:themeColor="text1"/>
          <w:lang w:val="id-ID" w:eastAsia="zh-CN"/>
        </w:rPr>
        <w:t>levo</w:t>
      </w:r>
      <w:r w:rsidRPr="00892FD4">
        <w:rPr>
          <w:color w:val="000000" w:themeColor="text1"/>
          <w:lang w:eastAsia="zh-CN"/>
        </w:rPr>
        <w:t>bupiva</w:t>
      </w:r>
      <w:r w:rsidRPr="00892FD4">
        <w:rPr>
          <w:color w:val="000000" w:themeColor="text1"/>
          <w:lang w:val="id-ID" w:eastAsia="zh-CN"/>
        </w:rPr>
        <w:t>ca</w:t>
      </w:r>
      <w:r w:rsidRPr="00892FD4">
        <w:rPr>
          <w:color w:val="000000" w:themeColor="text1"/>
          <w:lang w:eastAsia="zh-CN"/>
        </w:rPr>
        <w:t>ine</w:t>
      </w:r>
      <w:r>
        <w:rPr>
          <w:lang w:eastAsia="zh-CN"/>
        </w:rPr>
        <w:t xml:space="preserve"> isobarik</w:t>
      </w:r>
      <w:r w:rsidR="006B03E5">
        <w:rPr>
          <w:lang w:val="en-US" w:eastAsia="zh-CN"/>
        </w:rPr>
        <w:t xml:space="preserve"> dengan</w:t>
      </w:r>
      <w:r w:rsidR="009E175C">
        <w:rPr>
          <w:lang w:val="en-US" w:eastAsia="zh-CN"/>
        </w:rPr>
        <w:t xml:space="preserve"> </w:t>
      </w:r>
      <w:proofErr w:type="spellStart"/>
      <w:r w:rsidR="009E175C">
        <w:rPr>
          <w:lang w:val="en-US" w:eastAsia="zh-CN"/>
        </w:rPr>
        <w:t>berbagai</w:t>
      </w:r>
      <w:proofErr w:type="spellEnd"/>
      <w:r w:rsidR="009E175C">
        <w:rPr>
          <w:lang w:val="en-US" w:eastAsia="zh-CN"/>
        </w:rPr>
        <w:t xml:space="preserve"> </w:t>
      </w:r>
      <w:proofErr w:type="spellStart"/>
      <w:r w:rsidR="009E175C">
        <w:rPr>
          <w:lang w:val="en-US" w:eastAsia="zh-CN"/>
        </w:rPr>
        <w:t>konsentrasi</w:t>
      </w:r>
      <w:proofErr w:type="spellEnd"/>
      <w:r>
        <w:rPr>
          <w:lang w:val="id-ID" w:eastAsia="zh-CN"/>
        </w:rPr>
        <w:t xml:space="preserve"> </w:t>
      </w:r>
      <w:r w:rsidR="006B03E5">
        <w:rPr>
          <w:lang w:val="en-US" w:eastAsia="zh-CN"/>
        </w:rPr>
        <w:t xml:space="preserve">untuk </w:t>
      </w:r>
      <w:proofErr w:type="spellStart"/>
      <w:r w:rsidR="006B03E5">
        <w:rPr>
          <w:lang w:val="en-US" w:eastAsia="zh-CN"/>
        </w:rPr>
        <w:t>menilai</w:t>
      </w:r>
      <w:proofErr w:type="spellEnd"/>
      <w:r w:rsidR="006B03E5">
        <w:rPr>
          <w:lang w:val="en-US" w:eastAsia="zh-CN"/>
        </w:rPr>
        <w:t xml:space="preserve"> </w:t>
      </w:r>
      <w:proofErr w:type="spellStart"/>
      <w:r w:rsidR="006B03E5">
        <w:rPr>
          <w:lang w:val="en-US" w:eastAsia="zh-CN"/>
        </w:rPr>
        <w:t>intensitas</w:t>
      </w:r>
      <w:proofErr w:type="spellEnd"/>
      <w:r w:rsidR="006B03E5">
        <w:rPr>
          <w:lang w:val="en-US" w:eastAsia="zh-CN"/>
        </w:rPr>
        <w:t xml:space="preserve"> </w:t>
      </w:r>
      <w:proofErr w:type="spellStart"/>
      <w:r w:rsidR="006B03E5">
        <w:rPr>
          <w:lang w:val="en-US" w:eastAsia="zh-CN"/>
        </w:rPr>
        <w:t>nyeri</w:t>
      </w:r>
      <w:proofErr w:type="spellEnd"/>
      <w:r w:rsidR="006B03E5">
        <w:rPr>
          <w:lang w:val="en-US" w:eastAsia="zh-CN"/>
        </w:rPr>
        <w:t xml:space="preserve"> dan </w:t>
      </w:r>
      <w:proofErr w:type="spellStart"/>
      <w:r w:rsidR="006B03E5">
        <w:rPr>
          <w:lang w:val="en-US" w:eastAsia="zh-CN"/>
        </w:rPr>
        <w:t>potensi</w:t>
      </w:r>
      <w:proofErr w:type="spellEnd"/>
      <w:r w:rsidR="006B03E5">
        <w:rPr>
          <w:lang w:val="en-US" w:eastAsia="zh-CN"/>
        </w:rPr>
        <w:t xml:space="preserve"> </w:t>
      </w:r>
      <w:r>
        <w:rPr>
          <w:lang w:val="id-ID" w:eastAsia="zh-CN"/>
        </w:rPr>
        <w:t xml:space="preserve">komplikasi </w:t>
      </w:r>
      <w:r w:rsidR="006B03E5">
        <w:rPr>
          <w:lang w:val="en-US" w:eastAsia="zh-CN"/>
        </w:rPr>
        <w:t xml:space="preserve">dan </w:t>
      </w:r>
      <w:proofErr w:type="spellStart"/>
      <w:r w:rsidR="006B03E5">
        <w:rPr>
          <w:lang w:val="en-US" w:eastAsia="zh-CN"/>
        </w:rPr>
        <w:t>efek</w:t>
      </w:r>
      <w:proofErr w:type="spellEnd"/>
      <w:r w:rsidR="006B03E5">
        <w:rPr>
          <w:lang w:val="en-US" w:eastAsia="zh-CN"/>
        </w:rPr>
        <w:t xml:space="preserve"> </w:t>
      </w:r>
      <w:proofErr w:type="spellStart"/>
      <w:r w:rsidR="006B03E5">
        <w:rPr>
          <w:lang w:val="en-US" w:eastAsia="zh-CN"/>
        </w:rPr>
        <w:t>samping</w:t>
      </w:r>
      <w:proofErr w:type="spellEnd"/>
      <w:r w:rsidR="006B03E5">
        <w:rPr>
          <w:lang w:val="en-US" w:eastAsia="zh-CN"/>
        </w:rPr>
        <w:t xml:space="preserve"> yang </w:t>
      </w:r>
      <w:proofErr w:type="spellStart"/>
      <w:r w:rsidR="006B03E5">
        <w:rPr>
          <w:lang w:val="en-US" w:eastAsia="zh-CN"/>
        </w:rPr>
        <w:t>mungkin</w:t>
      </w:r>
      <w:proofErr w:type="spellEnd"/>
      <w:r w:rsidR="006B03E5">
        <w:rPr>
          <w:lang w:val="en-US" w:eastAsia="zh-CN"/>
        </w:rPr>
        <w:t xml:space="preserve"> </w:t>
      </w:r>
      <w:proofErr w:type="spellStart"/>
      <w:r w:rsidR="006B03E5">
        <w:rPr>
          <w:lang w:val="en-US" w:eastAsia="zh-CN"/>
        </w:rPr>
        <w:t>terjadi</w:t>
      </w:r>
      <w:proofErr w:type="spellEnd"/>
      <w:r w:rsidR="006B03E5">
        <w:rPr>
          <w:lang w:val="en-US" w:eastAsia="zh-CN"/>
        </w:rPr>
        <w:t>.</w:t>
      </w:r>
    </w:p>
    <w:p w14:paraId="2FF305E1" w14:textId="30C59FD5" w:rsidR="006B03E5" w:rsidRPr="006B03E5" w:rsidRDefault="006B03E5" w:rsidP="006F2657">
      <w:pPr>
        <w:pStyle w:val="ListParagraph"/>
        <w:widowControl w:val="0"/>
        <w:numPr>
          <w:ilvl w:val="6"/>
          <w:numId w:val="13"/>
        </w:numPr>
        <w:tabs>
          <w:tab w:val="left" w:pos="7920"/>
        </w:tabs>
        <w:autoSpaceDE w:val="0"/>
        <w:autoSpaceDN w:val="0"/>
        <w:spacing w:before="1" w:line="360" w:lineRule="auto"/>
        <w:ind w:left="426" w:right="-72"/>
        <w:jc w:val="both"/>
        <w:rPr>
          <w:lang w:eastAsia="zh-CN"/>
        </w:rPr>
      </w:pPr>
      <w:r w:rsidRPr="006F2657">
        <w:rPr>
          <w:lang w:eastAsia="zh-CN"/>
        </w:rPr>
        <w:t xml:space="preserve">Perlu penelitian lainnya untuk mengetahui efek </w:t>
      </w:r>
      <w:r>
        <w:rPr>
          <w:lang w:eastAsia="zh-CN"/>
        </w:rPr>
        <w:t>blok peritonsil</w:t>
      </w:r>
      <w:r>
        <w:rPr>
          <w:lang w:val="en-US" w:eastAsia="zh-CN"/>
        </w:rPr>
        <w:t>e</w:t>
      </w:r>
      <w:r>
        <w:rPr>
          <w:lang w:eastAsia="zh-CN"/>
        </w:rPr>
        <w:t xml:space="preserve">r </w:t>
      </w:r>
      <w:r>
        <w:rPr>
          <w:lang w:val="en-US" w:eastAsia="zh-CN"/>
        </w:rPr>
        <w:t xml:space="preserve">prabedah dengan </w:t>
      </w:r>
      <w:proofErr w:type="spellStart"/>
      <w:r>
        <w:rPr>
          <w:lang w:val="en-US" w:eastAsia="zh-CN"/>
        </w:rPr>
        <w:t>menggunakan</w:t>
      </w:r>
      <w:proofErr w:type="spellEnd"/>
      <w:r>
        <w:rPr>
          <w:lang w:val="en-US" w:eastAsia="zh-CN"/>
        </w:rPr>
        <w:t xml:space="preserve"> </w:t>
      </w:r>
      <w:r w:rsidRPr="00892FD4">
        <w:rPr>
          <w:color w:val="000000" w:themeColor="text1"/>
          <w:lang w:val="id-ID" w:eastAsia="zh-CN"/>
        </w:rPr>
        <w:t>levo</w:t>
      </w:r>
      <w:r w:rsidRPr="00892FD4">
        <w:rPr>
          <w:color w:val="000000" w:themeColor="text1"/>
          <w:lang w:eastAsia="zh-CN"/>
        </w:rPr>
        <w:t>bupiva</w:t>
      </w:r>
      <w:r w:rsidRPr="00892FD4">
        <w:rPr>
          <w:color w:val="000000" w:themeColor="text1"/>
          <w:lang w:val="id-ID" w:eastAsia="zh-CN"/>
        </w:rPr>
        <w:t>ca</w:t>
      </w:r>
      <w:r w:rsidRPr="00892FD4">
        <w:rPr>
          <w:color w:val="000000" w:themeColor="text1"/>
          <w:lang w:eastAsia="zh-CN"/>
        </w:rPr>
        <w:t>ine</w:t>
      </w:r>
      <w:r>
        <w:rPr>
          <w:lang w:eastAsia="zh-CN"/>
        </w:rPr>
        <w:t xml:space="preserve"> isobarik</w:t>
      </w:r>
      <w:r>
        <w:rPr>
          <w:lang w:val="en-US" w:eastAsia="zh-CN"/>
        </w:rPr>
        <w:t xml:space="preserve"> dengan </w:t>
      </w:r>
      <w:proofErr w:type="spellStart"/>
      <w:r>
        <w:rPr>
          <w:lang w:val="en-US" w:eastAsia="zh-CN"/>
        </w:rPr>
        <w:t>berbagai</w:t>
      </w:r>
      <w:proofErr w:type="spellEnd"/>
      <w:r>
        <w:rPr>
          <w:lang w:val="en-US" w:eastAsia="zh-CN"/>
        </w:rPr>
        <w:t xml:space="preserve"> </w:t>
      </w:r>
      <w:proofErr w:type="spellStart"/>
      <w:r>
        <w:rPr>
          <w:lang w:val="en-US" w:eastAsia="zh-CN"/>
        </w:rPr>
        <w:t>konsentrasi</w:t>
      </w:r>
      <w:proofErr w:type="spellEnd"/>
      <w:r>
        <w:rPr>
          <w:lang w:val="en-US" w:eastAsia="zh-CN"/>
        </w:rPr>
        <w:t>.</w:t>
      </w:r>
    </w:p>
    <w:p w14:paraId="0DFF0F58" w14:textId="0A0E2B29" w:rsidR="005419CE" w:rsidRPr="006F2657" w:rsidRDefault="005419CE" w:rsidP="006F2657">
      <w:pPr>
        <w:pStyle w:val="ListParagraph"/>
        <w:widowControl w:val="0"/>
        <w:numPr>
          <w:ilvl w:val="6"/>
          <w:numId w:val="13"/>
        </w:numPr>
        <w:tabs>
          <w:tab w:val="left" w:pos="7920"/>
        </w:tabs>
        <w:autoSpaceDE w:val="0"/>
        <w:autoSpaceDN w:val="0"/>
        <w:spacing w:before="1" w:line="360" w:lineRule="auto"/>
        <w:ind w:left="426" w:right="-72"/>
        <w:jc w:val="both"/>
        <w:rPr>
          <w:lang w:eastAsia="zh-CN"/>
        </w:rPr>
      </w:pPr>
      <w:r w:rsidRPr="006F2657">
        <w:rPr>
          <w:lang w:eastAsia="zh-CN"/>
        </w:rPr>
        <w:br w:type="page"/>
      </w:r>
    </w:p>
    <w:p w14:paraId="6802A370" w14:textId="59402CAF" w:rsidR="003B79BC" w:rsidRDefault="00000000">
      <w:pPr>
        <w:pStyle w:val="Heading1"/>
        <w:rPr>
          <w:sz w:val="24"/>
          <w:szCs w:val="24"/>
          <w:lang w:val="en-US" w:eastAsia="zh-CN"/>
        </w:rPr>
      </w:pPr>
      <w:bookmarkStart w:id="151" w:name="_Toc158290315"/>
      <w:r>
        <w:rPr>
          <w:sz w:val="24"/>
          <w:szCs w:val="24"/>
        </w:rPr>
        <w:lastRenderedPageBreak/>
        <w:t>DAFTAR</w:t>
      </w:r>
      <w:r>
        <w:rPr>
          <w:rStyle w:val="Heading1Char"/>
          <w:bCs/>
          <w:sz w:val="24"/>
          <w:szCs w:val="24"/>
        </w:rPr>
        <w:t xml:space="preserve"> </w:t>
      </w:r>
      <w:r>
        <w:rPr>
          <w:rStyle w:val="Heading1Char"/>
          <w:b/>
          <w:sz w:val="24"/>
          <w:szCs w:val="24"/>
        </w:rPr>
        <w:t>PUSTAKA</w:t>
      </w:r>
      <w:bookmarkEnd w:id="151"/>
    </w:p>
    <w:p w14:paraId="49490783" w14:textId="68A558D5" w:rsidR="00D745CF" w:rsidRPr="00D745CF" w:rsidRDefault="00000000" w:rsidP="003C78FE">
      <w:pPr>
        <w:widowControl w:val="0"/>
        <w:autoSpaceDE w:val="0"/>
        <w:autoSpaceDN w:val="0"/>
        <w:adjustRightInd w:val="0"/>
        <w:spacing w:line="360" w:lineRule="auto"/>
        <w:ind w:left="640" w:hanging="640"/>
        <w:jc w:val="both"/>
        <w:rPr>
          <w:noProof/>
        </w:rPr>
      </w:pPr>
      <w:r>
        <w:rPr>
          <w:b/>
          <w:bCs/>
          <w:lang w:val="id-ID"/>
        </w:rPr>
        <w:fldChar w:fldCharType="begin" w:fldLock="1"/>
      </w:r>
      <w:r>
        <w:rPr>
          <w:b/>
          <w:bCs/>
          <w:lang w:val="id-ID"/>
        </w:rPr>
        <w:instrText xml:space="preserve">ADDIN Mendeley Bibliography CSL_BIBLIOGRAPHY </w:instrText>
      </w:r>
      <w:r>
        <w:rPr>
          <w:b/>
          <w:bCs/>
          <w:lang w:val="id-ID"/>
        </w:rPr>
        <w:fldChar w:fldCharType="separate"/>
      </w:r>
      <w:bookmarkStart w:id="152" w:name="_Hlk137876318"/>
      <w:bookmarkStart w:id="153" w:name="_Hlk138244774"/>
      <w:r w:rsidR="00D745CF" w:rsidRPr="00D745CF">
        <w:rPr>
          <w:noProof/>
        </w:rPr>
        <w:t xml:space="preserve">1. </w:t>
      </w:r>
      <w:r w:rsidR="00D745CF" w:rsidRPr="00D745CF">
        <w:rPr>
          <w:noProof/>
        </w:rPr>
        <w:tab/>
        <w:t xml:space="preserve">Mitchell RB, Archer SM, Ishman SL, Rosenfeld RM, Coles S, Finestone SA, et al. Clinical Practice Guideline: Tonsillectomy in Children (Update). Otolaryngol - Head Neck Surg (United States). 2019;160(1_suppl):S1–42. </w:t>
      </w:r>
    </w:p>
    <w:p w14:paraId="11B1F8F2"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2. </w:t>
      </w:r>
      <w:r w:rsidRPr="00D745CF">
        <w:rPr>
          <w:noProof/>
        </w:rPr>
        <w:tab/>
        <w:t xml:space="preserve">Nazish GE, Afridi A, Inam A, Sanawar M, Akhtar M, Arshad W. Evaluation of Perioperative Pain Treatment of Tonsillectomy Patients Using Prospect Recommendations in Tertiary Hospitals. Pakistan J Med Heal Sci. 2022;16(11):358–60. </w:t>
      </w:r>
    </w:p>
    <w:p w14:paraId="73A812E9"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3. </w:t>
      </w:r>
      <w:r w:rsidRPr="00D745CF">
        <w:rPr>
          <w:noProof/>
        </w:rPr>
        <w:tab/>
        <w:t xml:space="preserve">Rakesh B., Bharathi M., Thanzeemunisa U, Kumar S De, Aggarwal N. Local Bupivacaine Infiltration to Reduce Pain after Tonsillectomy: A Low Cost Approach. Bengal J Otolaryngol Head Neck Surg. 2021;28(3):228–33. </w:t>
      </w:r>
    </w:p>
    <w:p w14:paraId="11EA5AED"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4. </w:t>
      </w:r>
      <w:r w:rsidRPr="00D745CF">
        <w:rPr>
          <w:noProof/>
        </w:rPr>
        <w:tab/>
        <w:t xml:space="preserve">Brown EN, Pavone KJ, Naranjo M. Multimodal general anesthesia: Theory and practice. Anesth Analg. 2018;127(5):1246–58. </w:t>
      </w:r>
    </w:p>
    <w:p w14:paraId="66AEE753"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5. </w:t>
      </w:r>
      <w:r w:rsidRPr="00D745CF">
        <w:rPr>
          <w:noProof/>
        </w:rPr>
        <w:tab/>
        <w:t>DeHart AN, Potter J, Anderson J, Russo-Menna I, Lee JH, Chapman DA, et al. Perioperative interdisciplinary approach for reduction of opioid use in pediatric tonsillectomy: Protocol using dexmedetomidine and bupivicaine as adjunct agents. Am J Otolaryngol - Head Neck Med Surg [Internet]. 2019;40(3):382–8. Tersedia pada: https://doi.org/10.1016/j.amjoto.2019.02.007</w:t>
      </w:r>
    </w:p>
    <w:p w14:paraId="5EED41F4"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6. </w:t>
      </w:r>
      <w:r w:rsidRPr="00D745CF">
        <w:rPr>
          <w:noProof/>
        </w:rPr>
        <w:tab/>
        <w:t xml:space="preserve">Thomas J, Bhatnagar A, Satav A V, Kancherla S, Prasad S, Pareek R, et al. To Study the Effect of Pre-incisional Infiltration of Ropivacaine for Post-tonsillectomy Pain Relief. An Int J Otorhinolaryngol Clin. 2023;14(3):79–81. </w:t>
      </w:r>
    </w:p>
    <w:p w14:paraId="4F080F92"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7. </w:t>
      </w:r>
      <w:r w:rsidRPr="00D745CF">
        <w:rPr>
          <w:noProof/>
        </w:rPr>
        <w:tab/>
        <w:t xml:space="preserve">Lahane PV, Nandanvankar NK, Pradeep MS, Memon NY, Yennawar SD. A Comparative study of intraoperative peritonsillar infiltration versus intravenous dexemedetomidine for perioperative analgesia in tonsillectomy. Asian J Med Sci. 2020;11(6):89–95. </w:t>
      </w:r>
    </w:p>
    <w:p w14:paraId="034A3D64"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8. </w:t>
      </w:r>
      <w:r w:rsidRPr="00D745CF">
        <w:rPr>
          <w:noProof/>
        </w:rPr>
        <w:tab/>
        <w:t xml:space="preserve">Bangera A. Anaesthesia for adenotonsillectomy: An update. Indian J Anaesth. 2017;61(2):103–9. </w:t>
      </w:r>
    </w:p>
    <w:p w14:paraId="5221E7A4"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9. </w:t>
      </w:r>
      <w:r w:rsidRPr="00D745CF">
        <w:rPr>
          <w:noProof/>
        </w:rPr>
        <w:tab/>
        <w:t xml:space="preserve">Lee S. Dexmedetomidine: Present and future directions. Korean J Anesthesiol. 2019;72(4):323–30. </w:t>
      </w:r>
    </w:p>
    <w:p w14:paraId="79C04EE7"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10. </w:t>
      </w:r>
      <w:r w:rsidRPr="00D745CF">
        <w:rPr>
          <w:noProof/>
        </w:rPr>
        <w:tab/>
        <w:t xml:space="preserve">Aldamluji N, Burgess A, Pogatzki-Zahn E, Raeder J, Beloeil H, Albrecht E, et al. PROSPECT guideline for tonsillectomy: systematic review and procedure-specific postoperative pain management recommendations. Anaesthesia. 2021;76(7):947–61. </w:t>
      </w:r>
    </w:p>
    <w:p w14:paraId="619FD9F8"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11. </w:t>
      </w:r>
      <w:r w:rsidRPr="00D745CF">
        <w:rPr>
          <w:noProof/>
        </w:rPr>
        <w:tab/>
        <w:t xml:space="preserve">Murto KT, Chen W, Katz SL, Schwengel DA, Elden LM, Belani KG, et al. Research needs assessment for children with obstructive sleep apnea undergoing diagnostic or surgical procedures. Anesth Analg. 2018;127(1):198–201. </w:t>
      </w:r>
    </w:p>
    <w:p w14:paraId="4C79E838"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lastRenderedPageBreak/>
        <w:t xml:space="preserve">12. </w:t>
      </w:r>
      <w:r w:rsidRPr="00D745CF">
        <w:rPr>
          <w:noProof/>
        </w:rPr>
        <w:tab/>
        <w:t>Ankle NR, Yeramalla V, Havaldar RR. Role of Pre-incisional Bupivacaine Infiltration in Post-tonsillectomy Analgesia. Indian J Otolaryngol Head Neck Surg [Internet]. 2022;74(October 2021):5296–300. Tersedia pada: https://doi.org/10.1007/s12070-020-02252-7</w:t>
      </w:r>
    </w:p>
    <w:p w14:paraId="7BCE801C"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13. </w:t>
      </w:r>
      <w:r w:rsidRPr="00D745CF">
        <w:rPr>
          <w:noProof/>
        </w:rPr>
        <w:tab/>
        <w:t>Kasapoglu F, Kaya FN, Tuzemen G, Ozmen OA, Kaya A, Onart S. Comparison of peritonsillar levobupivacaine and bupivacaine infiltration for post-tonsillectomy pain relief in children: Placebo-controlled clinical study. Int J Pediatr Otorhinolaryngol [Internet]. 2011;75(3):322–6. Tersedia pada: http://dx.doi.org/10.1016/j.ijporl.2010.11.015</w:t>
      </w:r>
    </w:p>
    <w:p w14:paraId="3C15B539"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14. </w:t>
      </w:r>
      <w:r w:rsidRPr="00D745CF">
        <w:rPr>
          <w:noProof/>
        </w:rPr>
        <w:tab/>
        <w:t xml:space="preserve">Sathyanarayana LA, Heggeri VM, Simha PP, Narasimaiah S, Narasimaiah M, Subbarao BK. Comparison of epidural bupivacaine, levobupivacaine and dexmedetomidine in patients undergoing vascular surgery. J Clin Diagnostic Res. 2016;10(1):UC13–7. </w:t>
      </w:r>
    </w:p>
    <w:p w14:paraId="27D619B6"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15. </w:t>
      </w:r>
      <w:r w:rsidRPr="00D745CF">
        <w:rPr>
          <w:noProof/>
        </w:rPr>
        <w:tab/>
        <w:t>Athar M, Ahmed SM, Ali S, Doley K, Varshney A, Siddiqi MMH. Levobupivacaine or ropivacaine: A randomised double blind controlled trial using equipotent doses in spinal anaesthesia. Colomb J Anesthesiol [Internet]. 2016;44(2):97–104. Tersedia pada: http://dx.doi.org/10.1016/j.rcae.2016.02.012</w:t>
      </w:r>
    </w:p>
    <w:p w14:paraId="5BA511F7"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16. </w:t>
      </w:r>
      <w:r w:rsidRPr="00D745CF">
        <w:rPr>
          <w:noProof/>
        </w:rPr>
        <w:tab/>
        <w:t>Lin R, Ansermino JM. Dexmedetomidine in paediatric anaesthesia. BJA Educ [Internet]. 2020;20(10):348–53. Tersedia pada: https://doi.org/10.1016/j.bjae.2020.05.004</w:t>
      </w:r>
    </w:p>
    <w:p w14:paraId="66AF0912"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17. </w:t>
      </w:r>
      <w:r w:rsidRPr="00D745CF">
        <w:rPr>
          <w:noProof/>
        </w:rPr>
        <w:tab/>
        <w:t xml:space="preserve">Abo Elfadl GM, Abdelrady MM, Osman HM, Gad MO, Abd El-Rady NM, Ali WN. Efficacy of Levobupivacaine Versus Levobupivacaine Plus Dexmedetomidine Infiltration for Post-Tonsillectomy Analgesia: A Randomized Controlled Trial. Pain Res Manag. 2022;2022. </w:t>
      </w:r>
    </w:p>
    <w:p w14:paraId="63FBD74C"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18. </w:t>
      </w:r>
      <w:r w:rsidRPr="00D745CF">
        <w:rPr>
          <w:noProof/>
        </w:rPr>
        <w:tab/>
        <w:t xml:space="preserve">Sebba A. Pain: A review of interleukin-6 and its roles in the pain of rheumatoid arthritis. Open Access Rheumatol Res Rev. 2021;13:31–43. </w:t>
      </w:r>
    </w:p>
    <w:p w14:paraId="4F7F5DB1"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19. </w:t>
      </w:r>
      <w:r w:rsidRPr="00D745CF">
        <w:rPr>
          <w:noProof/>
        </w:rPr>
        <w:tab/>
        <w:t>Zhou YQ, Liu Z, Liu ZH, Chen SP, Li M, Shahveranov A, et al. Interleukin-6: an emerging regulator of pathological pain. J Neuroinflammation [Internet]. 2016;13(1):1–9. Tersedia pada: http://dx.doi.org/10.1186/s12974-016-0607-6</w:t>
      </w:r>
    </w:p>
    <w:p w14:paraId="643A3C65"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20. </w:t>
      </w:r>
      <w:r w:rsidRPr="00D745CF">
        <w:rPr>
          <w:noProof/>
        </w:rPr>
        <w:tab/>
        <w:t xml:space="preserve">Bi YH, Cui XG, Zhang RQ, Song CY, Zhang YZ. Low dose of dexmedetomidine as an adjuvant to bupivacaine in cesarean surgery provides better intraoperative somato-visceral sensory block characteristcs and postoperative analgesia. Oncotarget. 2017;8(38):63587–95. </w:t>
      </w:r>
    </w:p>
    <w:p w14:paraId="292BDA84"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21. </w:t>
      </w:r>
      <w:r w:rsidRPr="00D745CF">
        <w:rPr>
          <w:noProof/>
        </w:rPr>
        <w:tab/>
        <w:t xml:space="preserve">Masters KG, Zezoff D, Lasrado S. Anatomy, Head and Neck, Tonsils. StatPearls Publ LLC. 2022; </w:t>
      </w:r>
    </w:p>
    <w:p w14:paraId="126ABC0B"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22. </w:t>
      </w:r>
      <w:r w:rsidRPr="00D745CF">
        <w:rPr>
          <w:noProof/>
        </w:rPr>
        <w:tab/>
        <w:t xml:space="preserve">Arambula A, Brown JR, Neff L. Anatomy and physiology of the palatine tonsils, </w:t>
      </w:r>
      <w:r w:rsidRPr="00D745CF">
        <w:rPr>
          <w:noProof/>
        </w:rPr>
        <w:lastRenderedPageBreak/>
        <w:t>adenoids, and lingual tonsils. World J Otorhinolaryngol - Head Neck Surg [Internet]. 2021;7(3):155–60. Tersedia pada: https://doi.org/10.1016/j.wjorl.2021.04.003</w:t>
      </w:r>
    </w:p>
    <w:p w14:paraId="23BCAD6B"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23. </w:t>
      </w:r>
      <w:r w:rsidRPr="00D745CF">
        <w:rPr>
          <w:noProof/>
        </w:rPr>
        <w:tab/>
        <w:t xml:space="preserve">Anmolsingh R, Ali A, Edmiston R, Mirza O, Rocke J, Ranganathan B, et al. Tonsillectomy and Adenoidectomy: Indications, Complications and their Management. J Surg Open Access. 2018;4(4):1–7. </w:t>
      </w:r>
    </w:p>
    <w:p w14:paraId="185596EC"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24. </w:t>
      </w:r>
      <w:r w:rsidRPr="00D745CF">
        <w:rPr>
          <w:noProof/>
        </w:rPr>
        <w:tab/>
        <w:t>Carrillo‑Ballesteros FJ, Oregon‑Romero E, Franco‑Topete RA, Govea‑Camacho LH, Cruz A, Mu</w:t>
      </w:r>
      <w:r w:rsidRPr="00D745CF">
        <w:rPr>
          <w:rFonts w:ascii="Tahoma" w:hAnsi="Tahoma" w:cs="Tahoma"/>
          <w:noProof/>
        </w:rPr>
        <w:t>�</w:t>
      </w:r>
      <w:r w:rsidRPr="00D745CF">
        <w:rPr>
          <w:noProof/>
        </w:rPr>
        <w:t xml:space="preserve">oz‑Valle JF, et al. B‑cell activating factor receptor expression is associated with germinal center B‑cell maintenance. Exp Ther Med. 2019;2053–60. </w:t>
      </w:r>
    </w:p>
    <w:p w14:paraId="268BA64A"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25. </w:t>
      </w:r>
      <w:r w:rsidRPr="00D745CF">
        <w:rPr>
          <w:noProof/>
        </w:rPr>
        <w:tab/>
        <w:t xml:space="preserve">Açar G. Surgical Anatomy of the Tonsils. IntechOpen; 2020. </w:t>
      </w:r>
    </w:p>
    <w:p w14:paraId="56773475"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26. </w:t>
      </w:r>
      <w:r w:rsidRPr="00D745CF">
        <w:rPr>
          <w:noProof/>
        </w:rPr>
        <w:tab/>
        <w:t xml:space="preserve">Niedzielski A, Chmielik LP, Mielnik-Niedzielska G, Kasprzyk A, Bogusławska J. Adenoid hypertrophy in children: A narrative review of pathogenesis and clinical relevance. BMJ Paediatr Open. 2023;7(1). </w:t>
      </w:r>
    </w:p>
    <w:p w14:paraId="36244299"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27. </w:t>
      </w:r>
      <w:r w:rsidRPr="00D745CF">
        <w:rPr>
          <w:noProof/>
        </w:rPr>
        <w:tab/>
        <w:t xml:space="preserve">Bohr C, Shermetaro C. Tonsillectomy and Adenoidectomy. StatPearls Publ LLC\. 2022; </w:t>
      </w:r>
    </w:p>
    <w:p w14:paraId="281BB61C"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28. </w:t>
      </w:r>
      <w:r w:rsidRPr="00D745CF">
        <w:rPr>
          <w:noProof/>
        </w:rPr>
        <w:tab/>
        <w:t xml:space="preserve">Messner AH. Tonsillectomy. Oper Tech Otolaryngol - Head Neck Surg. 2005;16(4):224–8. </w:t>
      </w:r>
    </w:p>
    <w:p w14:paraId="4A26116F"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29. </w:t>
      </w:r>
      <w:r w:rsidRPr="00D745CF">
        <w:rPr>
          <w:noProof/>
        </w:rPr>
        <w:tab/>
        <w:t xml:space="preserve">Akgun D, Seymour FK, Qayyum A, Crystal R, Frosh A. Assessment of clinical improvement and quality of life before and after tonsillectomy. J Laryngol Otol. 2009;123(2):199–202. </w:t>
      </w:r>
    </w:p>
    <w:p w14:paraId="3177B12F"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30. </w:t>
      </w:r>
      <w:r w:rsidRPr="00D745CF">
        <w:rPr>
          <w:noProof/>
        </w:rPr>
        <w:tab/>
        <w:t>Stelter K. Tonsillitis and sore throat in children. GMS Curr Top Otorhinolaryngol Head Neck Surg [Internet]. 2014;13:Doc07. Tersedia pada: http://www.ncbi.nlm.nih.gov/pubmed/25587367%0Ahttp://www.pubmedcentral.nih.gov/articlerender.fcgi?artid=PMC4273168</w:t>
      </w:r>
    </w:p>
    <w:p w14:paraId="57D51417"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31. </w:t>
      </w:r>
      <w:r w:rsidRPr="00D745CF">
        <w:rPr>
          <w:noProof/>
        </w:rPr>
        <w:tab/>
        <w:t xml:space="preserve">Verma R, Verma RR, Verma RR. Tonsillectomy-Comparative Study of Various Techniques and Changing Trend. Indian J Otolaryngol Head Neck Surg. 2017;69(4):549–58. </w:t>
      </w:r>
    </w:p>
    <w:p w14:paraId="2470A327"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32. </w:t>
      </w:r>
      <w:r w:rsidRPr="00D745CF">
        <w:rPr>
          <w:noProof/>
        </w:rPr>
        <w:tab/>
        <w:t>Debasish G, Anindita S, Aryabrata D, Arunabha S. Glossopharyngeal Nerve Block with Long Acting Local Anaesthetic Agent (Bupivacaine) and It’s Effect on Early Post-operative Period in Adult Tonsillectomy: A Prospective Study. Indian J Otolaryngol Head Neck Surg [Internet]. 2019;71(s1):390–4. Tersedia pada: https://doi.org/10.1007/s12070-018-1323-6</w:t>
      </w:r>
    </w:p>
    <w:p w14:paraId="102FDF1F"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33. </w:t>
      </w:r>
      <w:r w:rsidRPr="00D745CF">
        <w:rPr>
          <w:noProof/>
        </w:rPr>
        <w:tab/>
        <w:t xml:space="preserve">Suvarna D, Fernandes S. Anesthesia management of adenotonsillectomy. Otorhinolaryngol Clin. 2015;7(1):17–21. </w:t>
      </w:r>
    </w:p>
    <w:p w14:paraId="178F5479"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34. </w:t>
      </w:r>
      <w:r w:rsidRPr="00D745CF">
        <w:rPr>
          <w:noProof/>
        </w:rPr>
        <w:tab/>
        <w:t xml:space="preserve">Treede RD. The International Association for the Study of Pain definition of pain: As valid in 2018 as in 1979, but in need of regularly updated footnotes. Pain Reports. </w:t>
      </w:r>
      <w:r w:rsidRPr="00D745CF">
        <w:rPr>
          <w:noProof/>
        </w:rPr>
        <w:lastRenderedPageBreak/>
        <w:t xml:space="preserve">2018;3(2):3–5. </w:t>
      </w:r>
    </w:p>
    <w:p w14:paraId="70A85FE0"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35. </w:t>
      </w:r>
      <w:r w:rsidRPr="00D745CF">
        <w:rPr>
          <w:noProof/>
        </w:rPr>
        <w:tab/>
        <w:t>Bonezzi C, Fornasari D, Cricelli C, Magni A, Ventriglia G. Not all pain is created equal: basic definitions and diagnostic work-up. Pain Ther [Internet]. 2020;9(s1):1–15. Tersedia pada: https://doi.org/10.1007/s40122-020-00217-w</w:t>
      </w:r>
    </w:p>
    <w:p w14:paraId="0672FDE1"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36. </w:t>
      </w:r>
      <w:r w:rsidRPr="00D745CF">
        <w:rPr>
          <w:noProof/>
        </w:rPr>
        <w:tab/>
        <w:t xml:space="preserve">Doody O, Bailey ME. Understanding pain physiology and its application to person with intellectual disability. J Intellect Disabil. 2019;23(1):5–18. </w:t>
      </w:r>
    </w:p>
    <w:p w14:paraId="04824AA1"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37. </w:t>
      </w:r>
      <w:r w:rsidRPr="00D745CF">
        <w:rPr>
          <w:noProof/>
        </w:rPr>
        <w:tab/>
        <w:t xml:space="preserve">Kersten P, White PJ, Tennant A. Is the pain visual analogue scale linear and responsive to change? An exploration using rasch analysis. PLoS One. 2014;9(6). </w:t>
      </w:r>
    </w:p>
    <w:p w14:paraId="1575A435"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38. </w:t>
      </w:r>
      <w:r w:rsidRPr="00D745CF">
        <w:rPr>
          <w:noProof/>
        </w:rPr>
        <w:tab/>
        <w:t>Mohamed RE, Amin MA, Omar HM. Computed tomography-guided celiac plexus neurolysis for intractable pain of unresectable pancreatic cancer. Egypt J Radiol Nucl Med [Internet]. 2017;48(3):627–37. Tersedia pada: https://doi.org/10.1016/j.ejrnm.2017.03.027</w:t>
      </w:r>
    </w:p>
    <w:p w14:paraId="5D29550D"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39. </w:t>
      </w:r>
      <w:r w:rsidRPr="00D745CF">
        <w:rPr>
          <w:noProof/>
        </w:rPr>
        <w:tab/>
        <w:t xml:space="preserve">Gupta A, Kaur K, Sharma S, Goyal S, Arora S, Murthy RSR. Clinical aspects of acute post-operative pain management &amp; its assessment. J Adv Pharm Technol Res. 2010;1(2):97–108. </w:t>
      </w:r>
    </w:p>
    <w:p w14:paraId="15B0BEB9"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40. </w:t>
      </w:r>
      <w:r w:rsidRPr="00D745CF">
        <w:rPr>
          <w:noProof/>
        </w:rPr>
        <w:tab/>
        <w:t xml:space="preserve">Reel B, Maani C V. Dexmedetomidine. StatPearls Publ. 2022; </w:t>
      </w:r>
    </w:p>
    <w:p w14:paraId="3891815F"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41. </w:t>
      </w:r>
      <w:r w:rsidRPr="00D745CF">
        <w:rPr>
          <w:noProof/>
        </w:rPr>
        <w:tab/>
        <w:t xml:space="preserve">Mahmoud M, Barbi E, Mason KP. Dexmedetomidine: What’s new for pediatrics? a narrative review. J Clin Med. 2020;9(9):1–23. </w:t>
      </w:r>
    </w:p>
    <w:p w14:paraId="411CDBE6"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42. </w:t>
      </w:r>
      <w:r w:rsidRPr="00D745CF">
        <w:rPr>
          <w:noProof/>
        </w:rPr>
        <w:tab/>
        <w:t xml:space="preserve">Yeo J, Park S. Effect of dexmedetomidine on the development of mechanical allodynia and central sensitization in chronic post-ischemia pain rats. J Pain Res. 2018;11:3025–30. </w:t>
      </w:r>
    </w:p>
    <w:p w14:paraId="0B2CDDDA"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43. </w:t>
      </w:r>
      <w:r w:rsidRPr="00D745CF">
        <w:rPr>
          <w:noProof/>
        </w:rPr>
        <w:tab/>
        <w:t xml:space="preserve">Chen J, Li H, Lim G, McCabe MF, Zhao W, Yang Y, et al. Different effects of dexmedetomidine and midazolam on the expression of NR2B and GABAA-α1 following peripheral nerve injury in rats. IUBMB Life. 2018;70(2):143–52. </w:t>
      </w:r>
    </w:p>
    <w:p w14:paraId="534798C2"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44. </w:t>
      </w:r>
      <w:r w:rsidRPr="00D745CF">
        <w:rPr>
          <w:noProof/>
        </w:rPr>
        <w:tab/>
        <w:t xml:space="preserve">Scully C. Perioperative Care. Scully’s Medical Problems in Dentistry E-Book; 2014. 1–16 hal. </w:t>
      </w:r>
    </w:p>
    <w:p w14:paraId="7CBC3CE4"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45. </w:t>
      </w:r>
      <w:r w:rsidRPr="00D745CF">
        <w:rPr>
          <w:noProof/>
        </w:rPr>
        <w:tab/>
        <w:t xml:space="preserve">Liaquat Z, Xu X, Zilundu PLM, Fu R, Zhou L. The current role of dexmedetomidine as neuroprotective agent: An updated review. Brain Sci. 2021;11(7). </w:t>
      </w:r>
    </w:p>
    <w:p w14:paraId="5C78DEAD"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46. </w:t>
      </w:r>
      <w:r w:rsidRPr="00D745CF">
        <w:rPr>
          <w:noProof/>
        </w:rPr>
        <w:tab/>
        <w:t xml:space="preserve">Rudikoff AG, Tieu DD, Banzali FM, Nguyen C V., Rettig RL, Nashed MM, et al. Perioperative Acetaminophen and Dexmedetomidine Eliminate Post-Operative Opioid Requirement following Pediatric Tonsillectomy. J Clin Med. 2022;11(3):1–7. </w:t>
      </w:r>
    </w:p>
    <w:p w14:paraId="240389C3"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47. </w:t>
      </w:r>
      <w:r w:rsidRPr="00D745CF">
        <w:rPr>
          <w:noProof/>
        </w:rPr>
        <w:tab/>
        <w:t>Hao J, Wu Z, Luo Z, Dong B. Addition of dexmedetomidine to ropivacaine for local infiltration anaesthesia improves analgesic efficacy after tonsillectomy and adenoidectomy: A randomized controlled trial. Int J Pediatr Otorhinolaryngol [Internet]. 2020;137:110168. Tersedia pada: https://doi.org/10.1016/j.ijporl.2020.110168</w:t>
      </w:r>
    </w:p>
    <w:p w14:paraId="36C8BB6F"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lastRenderedPageBreak/>
        <w:t xml:space="preserve">48. </w:t>
      </w:r>
      <w:r w:rsidRPr="00D745CF">
        <w:rPr>
          <w:noProof/>
        </w:rPr>
        <w:tab/>
        <w:t xml:space="preserve">Shin HW, Yoo HN, Kim DH, Lee H, Shin HJ, Lee HW. Preanesthetic dexmedetomidine 1 μg/kg single infusion is a simple, easy, and economic adjuvant for general anesthesia. Korean J Anesthesiol. 2013;65(2):114–20. </w:t>
      </w:r>
    </w:p>
    <w:p w14:paraId="4DCB50A3"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49. </w:t>
      </w:r>
      <w:r w:rsidRPr="00D745CF">
        <w:rPr>
          <w:noProof/>
        </w:rPr>
        <w:tab/>
        <w:t xml:space="preserve">Abdelnaim HE, Mohamed NN, Saleh AH, Youssef AN. Comparison between bupivacaine–dexmedetomidine mixture and bupivacaine–magnesium mixture when used for wound infiltration before skin incision in surgeries for hernia repair regarding their intraoperative and postoperative analgesic effects. Ain-Shams J Anesthesiol. 2018;10(1). </w:t>
      </w:r>
    </w:p>
    <w:p w14:paraId="0BE169B7"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50. </w:t>
      </w:r>
      <w:r w:rsidRPr="00D745CF">
        <w:rPr>
          <w:noProof/>
        </w:rPr>
        <w:tab/>
        <w:t xml:space="preserve">Cao J, Shi W, Mi W, Zhang H. Efficacy and Safety of Dexmedetomidine during Anesthesia Induction of Patients with Intracranial Tumor: A Preliminary Observational Trial. Pharmacol &amp;amp; Pharm. 2013;04(08):584–9. </w:t>
      </w:r>
    </w:p>
    <w:p w14:paraId="61A1458E"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51. </w:t>
      </w:r>
      <w:r w:rsidRPr="00D745CF">
        <w:rPr>
          <w:noProof/>
        </w:rPr>
        <w:tab/>
        <w:t>Meng Q tao, Xia Z yuan, Luo T, Wu Y, Tang L hua, Zhao B, et al. Dexmedetomidine reduces emergence agitation after tonsillectomy in children by sevoflurane anesthesia: A case-control study. Int J Pediatr Otorhinolaryngol [Internet]. 2012;76(7):1036–41. Tersedia pada: http://dx.doi.org/10.1016/j.ijporl.2012.03.028</w:t>
      </w:r>
    </w:p>
    <w:p w14:paraId="02F63BA5"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52. </w:t>
      </w:r>
      <w:r w:rsidRPr="00D745CF">
        <w:rPr>
          <w:noProof/>
        </w:rPr>
        <w:tab/>
        <w:t>Panda BK, Singh P, Marne S, Pawar A, Keniya V, Ladi S, et al. A comparison study of Dexmedetomidine Vs Clonidine for sympathoadrenal response, Perioperative drug requirements and cost analysis. Asian Pacific J Trop Dis [Internet]. 2012;2(SUPPL2):S815–21. Tersedia pada: http://dx.doi.org/10.1016/S2222-1808(12)60271-0</w:t>
      </w:r>
    </w:p>
    <w:p w14:paraId="3B5AE15D"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53. </w:t>
      </w:r>
      <w:r w:rsidRPr="00D745CF">
        <w:rPr>
          <w:noProof/>
        </w:rPr>
        <w:tab/>
        <w:t xml:space="preserve">Turunen H, Jakob SM, Ruokonen E, Kaukonen KM, Sarapohja T, Apajasalo M, et al. Dexmedetomidine versus standard care sedation with propofol or midazolam in intensive care: An economic evaluation. Crit Care. 2015;19(1):1–10. </w:t>
      </w:r>
    </w:p>
    <w:p w14:paraId="28847E03"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54. </w:t>
      </w:r>
      <w:r w:rsidRPr="00D745CF">
        <w:rPr>
          <w:noProof/>
        </w:rPr>
        <w:tab/>
        <w:t xml:space="preserve">Bajwa SJS, Kaur J. Clinical profile of levobupivacaine in regional anesthesia: A systematic review. J Anaesthesiol Clin Pharmacol. 2013;29(4):530–9. </w:t>
      </w:r>
    </w:p>
    <w:p w14:paraId="7DE2FFAB"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55. </w:t>
      </w:r>
      <w:r w:rsidRPr="00D745CF">
        <w:rPr>
          <w:noProof/>
        </w:rPr>
        <w:tab/>
        <w:t xml:space="preserve">Athar M, Ahmed S, Ali S, Siddiqi O. Levobupivacaine: A safer alternative. J Curr Res Sci Med. 2016;2(1):3. </w:t>
      </w:r>
    </w:p>
    <w:p w14:paraId="08774760"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56. </w:t>
      </w:r>
      <w:r w:rsidRPr="00D745CF">
        <w:rPr>
          <w:noProof/>
        </w:rPr>
        <w:tab/>
        <w:t xml:space="preserve">Shafiei FT, McAllister RK, Lopez. J. Bupivacaine. StatPearls Publ LLC. 2022; </w:t>
      </w:r>
    </w:p>
    <w:p w14:paraId="62F9D1EA"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57. </w:t>
      </w:r>
      <w:r w:rsidRPr="00D745CF">
        <w:rPr>
          <w:noProof/>
        </w:rPr>
        <w:tab/>
        <w:t xml:space="preserve">Uta D, Koga K, Furue H, Imoto K, Yoshimura M. L-bupivacaine Inhibition of Nociceptive Transmission in Rat Peripheral and Dorsal Horn Neurons. Anesthesiology. 2021;134(1):88–102. </w:t>
      </w:r>
    </w:p>
    <w:p w14:paraId="24F6E603"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58. </w:t>
      </w:r>
      <w:r w:rsidRPr="00D745CF">
        <w:rPr>
          <w:noProof/>
        </w:rPr>
        <w:tab/>
        <w:t xml:space="preserve">Sanford M, Keating GM. Levobupivacaine: A review of its use in regional anaesthesia and pain management. Drugs. 2010;70(6):761–91. </w:t>
      </w:r>
    </w:p>
    <w:p w14:paraId="2EE2B910"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59. </w:t>
      </w:r>
      <w:r w:rsidRPr="00D745CF">
        <w:rPr>
          <w:noProof/>
        </w:rPr>
        <w:tab/>
        <w:t xml:space="preserve">Aysenur D, Mine C, Ozgur Y, Ahmet AH, Fuat EA, Ilker I, et al. Pre-emptive peritonsillar dexamethasone vs. levobupivacaine infiltration for relief of post-adenotonsillectomy pain </w:t>
      </w:r>
      <w:r w:rsidRPr="00D745CF">
        <w:rPr>
          <w:noProof/>
        </w:rPr>
        <w:lastRenderedPageBreak/>
        <w:t xml:space="preserve">in children: A controlled clinical study. Int J Pediatr Otorhinolaryngol. 2014;78(9):1467–71. </w:t>
      </w:r>
    </w:p>
    <w:p w14:paraId="4AE26896"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60. </w:t>
      </w:r>
      <w:r w:rsidRPr="00D745CF">
        <w:rPr>
          <w:noProof/>
        </w:rPr>
        <w:tab/>
        <w:t xml:space="preserve">Süay Özmen M, Özmen ÖA, Kasapoǧlu F. Effects of bupivacaine versus bupivacaine infiltration on postoperative analgesia in pediatric tonsillectomy patients. Ann Otol Rhinol Laryngol. 2011;120(7):489–93. </w:t>
      </w:r>
    </w:p>
    <w:p w14:paraId="6AD33129"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61. </w:t>
      </w:r>
      <w:r w:rsidRPr="00D745CF">
        <w:rPr>
          <w:noProof/>
        </w:rPr>
        <w:tab/>
        <w:t xml:space="preserve">Basuni AS, Ezz HAA, Albirmawy OA. Preoperative peritonsillar infiltration of dexamethasone and levobupivacaine reduces pediatric post-tonsillectomy pain: A double-blind prospective randomized clinical trial. J Anesth. 2013;27(6):844–9. </w:t>
      </w:r>
    </w:p>
    <w:p w14:paraId="4311D699"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62. </w:t>
      </w:r>
      <w:r w:rsidRPr="00D745CF">
        <w:rPr>
          <w:noProof/>
        </w:rPr>
        <w:tab/>
        <w:t>Alotaibi AA, Carpenter D, Asdaq SMB. Critical review on the efficacy and safety of levobupivacaine peritonsillar infiltration. Saudi J Biol Sci [Internet]. 2022;29(4):2056–62. Tersedia pada: https://doi.org/10.1016/j.sjbs.2022.01.010</w:t>
      </w:r>
    </w:p>
    <w:p w14:paraId="1E628A38"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63. </w:t>
      </w:r>
      <w:r w:rsidRPr="00D745CF">
        <w:rPr>
          <w:noProof/>
        </w:rPr>
        <w:tab/>
        <w:t xml:space="preserve">Ferrer SER, Campillo M, García N. Infiltration with Lidocaine 2%, Dexmedetomidine + Levobupivacaine 5% for Post Tonsillectomy Analgesia. J Anesth Crit Care Open Access. 2015;3(1):5–6. </w:t>
      </w:r>
    </w:p>
    <w:p w14:paraId="455D49A1"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64. </w:t>
      </w:r>
      <w:r w:rsidRPr="00D745CF">
        <w:rPr>
          <w:noProof/>
        </w:rPr>
        <w:tab/>
        <w:t xml:space="preserve">Hayes SMS, Atef H, El HM. Efficacy of peritonsillar infiltration of levobupivacaine- dexamethasone versus levobupivacaine-dexmedetomidine in children undergoing tonsillectomy surgery : a prospective , randomized double-blind study. 2022;310–20. </w:t>
      </w:r>
    </w:p>
    <w:p w14:paraId="26DE83AD"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65. </w:t>
      </w:r>
      <w:r w:rsidRPr="00D745CF">
        <w:rPr>
          <w:noProof/>
        </w:rPr>
        <w:tab/>
        <w:t>Kummer KK, Zeidler M, Kalpachidou T, Kress M. Role of IL-6 in the regulation of neuronal development, survival and function. Cytokine [Internet]. 2021;144(4):82–9. Tersedia pada: https://doi.org/10.1016/j.cyto.2021.155582</w:t>
      </w:r>
    </w:p>
    <w:p w14:paraId="416E43B0"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66. </w:t>
      </w:r>
      <w:r w:rsidRPr="00D745CF">
        <w:rPr>
          <w:noProof/>
        </w:rPr>
        <w:tab/>
        <w:t xml:space="preserve">Maniar RN, Navaneedhan G, Ranvir S, Maniar AR, Dhiman A, Agrawal A. What Is the Normal Trajectory of Interleukin-6 and C-reactive Protein in the Hours and Days Immediately after TKA? Clin Orthop Relat Res. 2019;477(1):41–6. </w:t>
      </w:r>
    </w:p>
    <w:p w14:paraId="3E27877C"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67. </w:t>
      </w:r>
      <w:r w:rsidRPr="00D745CF">
        <w:rPr>
          <w:noProof/>
        </w:rPr>
        <w:tab/>
        <w:t xml:space="preserve">Bengisun ZK, Ekmekçi P, Akan B, Köroʇlu A, Tüzüner F. The effect of adding dexmedetomidine to levobupivacaine for interscalene block for postoperative pain management after arthroscopic shoulder surgery. Clin J Pain. 2014;30(12):1057–61. </w:t>
      </w:r>
    </w:p>
    <w:p w14:paraId="0D858401"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68. </w:t>
      </w:r>
      <w:r w:rsidRPr="00D745CF">
        <w:rPr>
          <w:noProof/>
        </w:rPr>
        <w:tab/>
        <w:t xml:space="preserve">Turhan KSC, Salviz EA, Beton S, Timuroglu ST, Catav S, Ozatamer O. Peritonsillar infiltration with levobupivacaine for posttonsillectomy pain relief: Does concentration have any effect? A double-blind randomized controlled clinical study. Eur Rev Med Pharmacol Sci. 2015;19(7):1276–84. </w:t>
      </w:r>
    </w:p>
    <w:p w14:paraId="5625D9AD"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69. </w:t>
      </w:r>
      <w:r w:rsidRPr="00D745CF">
        <w:rPr>
          <w:noProof/>
        </w:rPr>
        <w:tab/>
        <w:t xml:space="preserve">Erdogan BA, Aydin S, Paksoy M, Sanli A, Sevim S. Efficacy of preincisional levobupivacaine for adult tonsillectomy patients. B-ENT. 2014;10(3):193–7. </w:t>
      </w:r>
    </w:p>
    <w:p w14:paraId="051CAE59"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70. </w:t>
      </w:r>
      <w:r w:rsidRPr="00D745CF">
        <w:rPr>
          <w:noProof/>
        </w:rPr>
        <w:tab/>
        <w:t xml:space="preserve">Çelebi Ş. Multiparametric comparison of thermal welding versus cold knife tonsillectomy with tonsil size. J Med Updat. 2013;3(1):13–8. </w:t>
      </w:r>
    </w:p>
    <w:p w14:paraId="38594068"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lastRenderedPageBreak/>
        <w:t xml:space="preserve">71. </w:t>
      </w:r>
      <w:r w:rsidRPr="00D745CF">
        <w:rPr>
          <w:noProof/>
        </w:rPr>
        <w:tab/>
        <w:t>Kim MS, Choi HG, Park EK, Kim SY, Kim JH, Park B. Natural course of tonsillectomy pain: A prospective patient cohort study. Auris Nasus Larynx [Internet]. 2018;45(3):508–13. Tersedia pada: http://dx.doi.org/10.1016/j.anl.2017.07.018</w:t>
      </w:r>
    </w:p>
    <w:p w14:paraId="5308B8D6"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72. </w:t>
      </w:r>
      <w:r w:rsidRPr="00D745CF">
        <w:rPr>
          <w:noProof/>
        </w:rPr>
        <w:tab/>
        <w:t xml:space="preserve">Cicekci F, Sizer C, Atici SS, Arican S, Karaibrahimoglu A, Kara I. Comparison of the Perioperative and Postoperative Effects of Levobupivacaine and of Levobupivacaine + Adrenaline in Pediatric Tonsillectomy: A Double-Blind Randomized Study. Pain Res Manag. 2017;2017(d). </w:t>
      </w:r>
    </w:p>
    <w:p w14:paraId="10A7C888"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73. </w:t>
      </w:r>
      <w:r w:rsidRPr="00D745CF">
        <w:rPr>
          <w:noProof/>
        </w:rPr>
        <w:tab/>
        <w:t xml:space="preserve">Hayes SMS, Ebada HA, El Bendary HM. Efficacy of peritonsillar infiltration of levobupivacaine-dexamethasone versus levobupivacaine-dexmedetomidine in children undergoing tonsillectomy surgery: a prospective, randomized double-blind study. Res Opin Anesth Intensive Care. 2022;9(4):310–20. </w:t>
      </w:r>
    </w:p>
    <w:p w14:paraId="0FC4B445"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74. </w:t>
      </w:r>
      <w:r w:rsidRPr="00D745CF">
        <w:rPr>
          <w:noProof/>
        </w:rPr>
        <w:tab/>
        <w:t xml:space="preserve">Junaid M, Halim MS, Shiraz Onali MA, Qadeer S, Khan HU, Ali NS. Intraoperative use of analgesics in tonsillar fossa and postoperative evaluation with visual analogue scale scores—A prospective, randomized, placebo-controlled, double-blind clinical trial. Int Arch Otorhinolaryngol. 2020;24(1):E62–7. </w:t>
      </w:r>
    </w:p>
    <w:p w14:paraId="08446AA6"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75. </w:t>
      </w:r>
      <w:r w:rsidRPr="00D745CF">
        <w:rPr>
          <w:noProof/>
        </w:rPr>
        <w:tab/>
        <w:t xml:space="preserve">Kaya Z, Süren M, Arici S, Karaman S, Tapar H, Erdemir F. Prospective, randomized, double-blinded comparison of the effects of caudally administered levobupivacaine 0.25% and bupivacaine 0.25% on pain and motor block in children undergoing circumcision surgery. Eur Rev Med Pharmacol Sci. 2012;16(14):2014–20. </w:t>
      </w:r>
    </w:p>
    <w:p w14:paraId="43BC22E5"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76. </w:t>
      </w:r>
      <w:r w:rsidRPr="00D745CF">
        <w:rPr>
          <w:noProof/>
        </w:rPr>
        <w:tab/>
        <w:t xml:space="preserve">Isbul I, Ahmad MR, Gaus S, Ratnawati R, Musba AMT, Wijaya Tan C. Efek Anestesi Infiltrasi terhadap Intensitas Nyeri dan Kadar Interleukin-6 pada Pasca Seksio Sesarea. J Anestesi Obstet Indones. 2023;6(1):8–16. </w:t>
      </w:r>
    </w:p>
    <w:p w14:paraId="239374B3"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77. </w:t>
      </w:r>
      <w:r w:rsidRPr="00D745CF">
        <w:rPr>
          <w:noProof/>
        </w:rPr>
        <w:tab/>
        <w:t xml:space="preserve">Burkey DR, Carns PE. Acute Pain Management: Scientific Evidence. Vol. 6, Pain Medicine. 2005. 397–397 hal. </w:t>
      </w:r>
    </w:p>
    <w:p w14:paraId="6AF0B1C5"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78. </w:t>
      </w:r>
      <w:r w:rsidRPr="00D745CF">
        <w:rPr>
          <w:noProof/>
        </w:rPr>
        <w:tab/>
        <w:t xml:space="preserve">Darweesh M, Zwamel A. Correlation between IL-8 , IL-6 in tonsillitis patients and progressive of disease. 2020;(August). </w:t>
      </w:r>
    </w:p>
    <w:p w14:paraId="2EE0BBFE"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79. </w:t>
      </w:r>
      <w:r w:rsidRPr="00D745CF">
        <w:rPr>
          <w:noProof/>
        </w:rPr>
        <w:tab/>
        <w:t xml:space="preserve">Mahdiani S, Madiadipoera T, Sumarman I, Purwanto B. Pengaruh tonsilektomi terhadap ukuran dan ekspresi IL-6 tonsil lingualis pada pasien OSA. Oto Rhino Laryngol Indones. 2012;42(2):119–26. </w:t>
      </w:r>
    </w:p>
    <w:p w14:paraId="7E98C8A0"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80. </w:t>
      </w:r>
      <w:r w:rsidRPr="00D745CF">
        <w:rPr>
          <w:noProof/>
        </w:rPr>
        <w:tab/>
        <w:t xml:space="preserve">Ozkaya H, Saritaş TB, Saritaş ZK, Korkmaz M, Sevimli A, Mehmetoglu I, et al. Investigation of effects of levobupivacaine injection to rabbit knee joint on histopathologic changes of joint cartilage tissue and changes of serum biochemical parameters. Fundam Clin Pharmacol. 2014;28(6):627–32. </w:t>
      </w:r>
    </w:p>
    <w:p w14:paraId="46559BA9"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81. </w:t>
      </w:r>
      <w:r w:rsidRPr="00D745CF">
        <w:rPr>
          <w:noProof/>
        </w:rPr>
        <w:tab/>
        <w:t>Kang Y, Ku EJ, Jung IG, Kang MH, Choi YS, Jung HJ. Dexamethasone and post-</w:t>
      </w:r>
      <w:r w:rsidRPr="00D745CF">
        <w:rPr>
          <w:noProof/>
        </w:rPr>
        <w:lastRenderedPageBreak/>
        <w:t xml:space="preserve">adenotonsillectomy pain in children: Double-blind, randomized controlled trial. Med (United States). 2021;100(2):E24122. </w:t>
      </w:r>
    </w:p>
    <w:p w14:paraId="5D416DD9" w14:textId="77777777" w:rsidR="00D745CF" w:rsidRPr="00D745CF" w:rsidRDefault="00D745CF" w:rsidP="003C78FE">
      <w:pPr>
        <w:widowControl w:val="0"/>
        <w:autoSpaceDE w:val="0"/>
        <w:autoSpaceDN w:val="0"/>
        <w:adjustRightInd w:val="0"/>
        <w:spacing w:line="360" w:lineRule="auto"/>
        <w:ind w:left="640" w:hanging="640"/>
        <w:jc w:val="both"/>
        <w:rPr>
          <w:noProof/>
        </w:rPr>
      </w:pPr>
      <w:r w:rsidRPr="00D745CF">
        <w:rPr>
          <w:noProof/>
        </w:rPr>
        <w:t xml:space="preserve">82. </w:t>
      </w:r>
      <w:r w:rsidRPr="00D745CF">
        <w:rPr>
          <w:noProof/>
        </w:rPr>
        <w:tab/>
        <w:t xml:space="preserve">Persec J, Zupcic M, Persec Z, Kopljar M. Attenuation of systemic inflammatory stress response after preoperative analgesia with clonidine compared to levobupivacaine-a randomised clinical trial. Period Biol. 2015;117(2):267–71. </w:t>
      </w:r>
    </w:p>
    <w:p w14:paraId="321FF44D" w14:textId="77777777" w:rsidR="00D745CF" w:rsidRPr="00D745CF" w:rsidRDefault="00D745CF" w:rsidP="003C78FE">
      <w:pPr>
        <w:widowControl w:val="0"/>
        <w:autoSpaceDE w:val="0"/>
        <w:autoSpaceDN w:val="0"/>
        <w:adjustRightInd w:val="0"/>
        <w:spacing w:line="360" w:lineRule="auto"/>
        <w:ind w:left="640" w:hanging="640"/>
        <w:jc w:val="both"/>
        <w:rPr>
          <w:noProof/>
          <w:lang w:eastAsia="zh-CN"/>
        </w:rPr>
      </w:pPr>
      <w:r w:rsidRPr="00D745CF">
        <w:rPr>
          <w:noProof/>
        </w:rPr>
        <w:t xml:space="preserve">83. </w:t>
      </w:r>
      <w:r w:rsidRPr="00D745CF">
        <w:rPr>
          <w:noProof/>
        </w:rPr>
        <w:tab/>
        <w:t xml:space="preserve">Guo D, Li K, Yang M, Zhang H, Miao Y. Levobupivacaine attenuates lipopolysaccharide-induced acute lung injury. </w:t>
      </w:r>
      <w:r w:rsidRPr="00D745CF">
        <w:rPr>
          <w:noProof/>
          <w:lang w:eastAsia="zh-CN"/>
        </w:rPr>
        <w:t xml:space="preserve">Fundam Clin Pharmacol. 2016;30(4):307–15. </w:t>
      </w:r>
    </w:p>
    <w:bookmarkEnd w:id="152"/>
    <w:bookmarkEnd w:id="153"/>
    <w:p w14:paraId="79ABFDDF" w14:textId="77777777" w:rsidR="003B79BC" w:rsidRDefault="00000000" w:rsidP="003C78FE">
      <w:pPr>
        <w:tabs>
          <w:tab w:val="left" w:pos="426"/>
          <w:tab w:val="left" w:pos="993"/>
        </w:tabs>
        <w:spacing w:line="360" w:lineRule="auto"/>
        <w:ind w:left="993" w:hanging="993"/>
        <w:jc w:val="both"/>
        <w:rPr>
          <w:b/>
          <w:bCs/>
          <w:lang w:val="id-ID" w:eastAsia="zh-CN"/>
        </w:rPr>
      </w:pPr>
      <w:r>
        <w:rPr>
          <w:b/>
          <w:bCs/>
          <w:lang w:val="id-ID"/>
        </w:rPr>
        <w:fldChar w:fldCharType="end"/>
      </w:r>
    </w:p>
    <w:p w14:paraId="390E27FD" w14:textId="77777777" w:rsidR="00825F7F" w:rsidRDefault="00825F7F" w:rsidP="003C78FE">
      <w:pPr>
        <w:tabs>
          <w:tab w:val="left" w:pos="426"/>
          <w:tab w:val="left" w:pos="993"/>
        </w:tabs>
        <w:spacing w:line="360" w:lineRule="auto"/>
        <w:ind w:left="993" w:hanging="993"/>
        <w:jc w:val="both"/>
        <w:rPr>
          <w:b/>
          <w:bCs/>
          <w:lang w:val="id-ID" w:eastAsia="zh-CN"/>
        </w:rPr>
      </w:pPr>
    </w:p>
    <w:p w14:paraId="5BC7C0B1" w14:textId="77777777" w:rsidR="00825F7F" w:rsidRDefault="00825F7F" w:rsidP="003C78FE">
      <w:pPr>
        <w:tabs>
          <w:tab w:val="left" w:pos="426"/>
          <w:tab w:val="left" w:pos="993"/>
        </w:tabs>
        <w:spacing w:line="360" w:lineRule="auto"/>
        <w:ind w:left="993" w:hanging="993"/>
        <w:jc w:val="both"/>
        <w:rPr>
          <w:b/>
          <w:bCs/>
          <w:lang w:val="id-ID" w:eastAsia="zh-CN"/>
        </w:rPr>
      </w:pPr>
    </w:p>
    <w:p w14:paraId="19301703" w14:textId="77777777" w:rsidR="00825F7F" w:rsidRDefault="00825F7F" w:rsidP="003C78FE">
      <w:pPr>
        <w:tabs>
          <w:tab w:val="left" w:pos="426"/>
          <w:tab w:val="left" w:pos="993"/>
        </w:tabs>
        <w:spacing w:line="360" w:lineRule="auto"/>
        <w:ind w:left="993" w:hanging="993"/>
        <w:jc w:val="both"/>
        <w:rPr>
          <w:b/>
          <w:bCs/>
          <w:lang w:val="id-ID" w:eastAsia="zh-CN"/>
        </w:rPr>
      </w:pPr>
    </w:p>
    <w:p w14:paraId="54755BE6" w14:textId="77777777" w:rsidR="00825F7F" w:rsidRDefault="00825F7F" w:rsidP="003C78FE">
      <w:pPr>
        <w:tabs>
          <w:tab w:val="left" w:pos="426"/>
          <w:tab w:val="left" w:pos="993"/>
        </w:tabs>
        <w:spacing w:line="360" w:lineRule="auto"/>
        <w:ind w:left="993" w:hanging="993"/>
        <w:jc w:val="both"/>
        <w:rPr>
          <w:b/>
          <w:bCs/>
          <w:lang w:val="id-ID" w:eastAsia="zh-CN"/>
        </w:rPr>
      </w:pPr>
    </w:p>
    <w:p w14:paraId="610A8E57" w14:textId="77777777" w:rsidR="00D72714" w:rsidRDefault="00D72714" w:rsidP="003C78FE">
      <w:pPr>
        <w:tabs>
          <w:tab w:val="left" w:pos="426"/>
          <w:tab w:val="left" w:pos="993"/>
        </w:tabs>
        <w:spacing w:line="360" w:lineRule="auto"/>
        <w:ind w:left="993" w:hanging="993"/>
        <w:jc w:val="both"/>
        <w:rPr>
          <w:b/>
          <w:bCs/>
          <w:lang w:val="id-ID" w:eastAsia="zh-CN"/>
        </w:rPr>
      </w:pPr>
    </w:p>
    <w:p w14:paraId="3C7BB7E0" w14:textId="77777777" w:rsidR="00D72714" w:rsidRDefault="00D72714" w:rsidP="003C78FE">
      <w:pPr>
        <w:tabs>
          <w:tab w:val="left" w:pos="426"/>
          <w:tab w:val="left" w:pos="993"/>
        </w:tabs>
        <w:spacing w:line="360" w:lineRule="auto"/>
        <w:ind w:left="993" w:hanging="993"/>
        <w:jc w:val="both"/>
        <w:rPr>
          <w:b/>
          <w:bCs/>
          <w:lang w:val="id-ID" w:eastAsia="zh-CN"/>
        </w:rPr>
      </w:pPr>
    </w:p>
    <w:p w14:paraId="3A932358" w14:textId="77777777" w:rsidR="00D72714" w:rsidRDefault="00D72714" w:rsidP="003C78FE">
      <w:pPr>
        <w:tabs>
          <w:tab w:val="left" w:pos="426"/>
          <w:tab w:val="left" w:pos="993"/>
        </w:tabs>
        <w:spacing w:line="360" w:lineRule="auto"/>
        <w:ind w:left="993" w:hanging="993"/>
        <w:jc w:val="both"/>
        <w:rPr>
          <w:b/>
          <w:bCs/>
          <w:lang w:val="id-ID" w:eastAsia="zh-CN"/>
        </w:rPr>
      </w:pPr>
    </w:p>
    <w:p w14:paraId="0AB6A97F" w14:textId="77777777" w:rsidR="00D72714" w:rsidRDefault="00D72714" w:rsidP="003C78FE">
      <w:pPr>
        <w:tabs>
          <w:tab w:val="left" w:pos="426"/>
          <w:tab w:val="left" w:pos="993"/>
        </w:tabs>
        <w:spacing w:line="360" w:lineRule="auto"/>
        <w:ind w:left="993" w:hanging="993"/>
        <w:jc w:val="both"/>
        <w:rPr>
          <w:b/>
          <w:bCs/>
          <w:lang w:val="id-ID" w:eastAsia="zh-CN"/>
        </w:rPr>
      </w:pPr>
    </w:p>
    <w:p w14:paraId="07A5D61E" w14:textId="77777777" w:rsidR="00D72714" w:rsidRDefault="00D72714" w:rsidP="003C78FE">
      <w:pPr>
        <w:tabs>
          <w:tab w:val="left" w:pos="426"/>
          <w:tab w:val="left" w:pos="993"/>
        </w:tabs>
        <w:spacing w:line="360" w:lineRule="auto"/>
        <w:ind w:left="993" w:hanging="993"/>
        <w:jc w:val="both"/>
        <w:rPr>
          <w:b/>
          <w:bCs/>
          <w:lang w:val="id-ID" w:eastAsia="zh-CN"/>
        </w:rPr>
      </w:pPr>
    </w:p>
    <w:p w14:paraId="18D99A76" w14:textId="77777777" w:rsidR="00D72714" w:rsidRDefault="00D72714" w:rsidP="003C78FE">
      <w:pPr>
        <w:tabs>
          <w:tab w:val="left" w:pos="426"/>
          <w:tab w:val="left" w:pos="993"/>
        </w:tabs>
        <w:spacing w:line="360" w:lineRule="auto"/>
        <w:ind w:left="993" w:hanging="993"/>
        <w:jc w:val="both"/>
        <w:rPr>
          <w:b/>
          <w:bCs/>
          <w:lang w:val="id-ID" w:eastAsia="zh-CN"/>
        </w:rPr>
      </w:pPr>
    </w:p>
    <w:p w14:paraId="0ABC6AF3" w14:textId="77777777" w:rsidR="00D72714" w:rsidRDefault="00D72714" w:rsidP="003C78FE">
      <w:pPr>
        <w:tabs>
          <w:tab w:val="left" w:pos="426"/>
          <w:tab w:val="left" w:pos="993"/>
        </w:tabs>
        <w:spacing w:line="360" w:lineRule="auto"/>
        <w:ind w:left="993" w:hanging="993"/>
        <w:jc w:val="both"/>
        <w:rPr>
          <w:b/>
          <w:bCs/>
          <w:lang w:val="id-ID" w:eastAsia="zh-CN"/>
        </w:rPr>
      </w:pPr>
    </w:p>
    <w:p w14:paraId="66636B0E" w14:textId="77777777" w:rsidR="00D72714" w:rsidRDefault="00D72714" w:rsidP="003C78FE">
      <w:pPr>
        <w:tabs>
          <w:tab w:val="left" w:pos="426"/>
          <w:tab w:val="left" w:pos="993"/>
        </w:tabs>
        <w:spacing w:line="360" w:lineRule="auto"/>
        <w:ind w:left="993" w:hanging="993"/>
        <w:jc w:val="both"/>
        <w:rPr>
          <w:b/>
          <w:bCs/>
          <w:lang w:val="id-ID" w:eastAsia="zh-CN"/>
        </w:rPr>
      </w:pPr>
    </w:p>
    <w:p w14:paraId="4C07842D" w14:textId="77777777" w:rsidR="00D72714" w:rsidRDefault="00D72714" w:rsidP="003C78FE">
      <w:pPr>
        <w:tabs>
          <w:tab w:val="left" w:pos="426"/>
          <w:tab w:val="left" w:pos="993"/>
        </w:tabs>
        <w:spacing w:line="360" w:lineRule="auto"/>
        <w:ind w:left="993" w:hanging="993"/>
        <w:jc w:val="both"/>
        <w:rPr>
          <w:b/>
          <w:bCs/>
          <w:lang w:val="id-ID" w:eastAsia="zh-CN"/>
        </w:rPr>
      </w:pPr>
    </w:p>
    <w:p w14:paraId="093D9A73" w14:textId="77777777" w:rsidR="00D72714" w:rsidRDefault="00D72714" w:rsidP="003C78FE">
      <w:pPr>
        <w:tabs>
          <w:tab w:val="left" w:pos="426"/>
          <w:tab w:val="left" w:pos="993"/>
        </w:tabs>
        <w:spacing w:line="360" w:lineRule="auto"/>
        <w:ind w:left="993" w:hanging="993"/>
        <w:jc w:val="both"/>
        <w:rPr>
          <w:b/>
          <w:bCs/>
          <w:lang w:val="id-ID" w:eastAsia="zh-CN"/>
        </w:rPr>
      </w:pPr>
    </w:p>
    <w:p w14:paraId="5997A085" w14:textId="77777777" w:rsidR="00825F7F" w:rsidRDefault="00825F7F" w:rsidP="003C78FE">
      <w:pPr>
        <w:tabs>
          <w:tab w:val="left" w:pos="426"/>
          <w:tab w:val="left" w:pos="993"/>
        </w:tabs>
        <w:spacing w:line="360" w:lineRule="auto"/>
        <w:ind w:left="993" w:hanging="993"/>
        <w:jc w:val="both"/>
        <w:rPr>
          <w:b/>
          <w:bCs/>
          <w:lang w:val="id-ID" w:eastAsia="zh-CN"/>
        </w:rPr>
      </w:pPr>
    </w:p>
    <w:p w14:paraId="14171F5F" w14:textId="77777777" w:rsidR="00D72714" w:rsidRDefault="00D72714" w:rsidP="00D72714">
      <w:pPr>
        <w:pStyle w:val="Title"/>
        <w:spacing w:before="1" w:line="360" w:lineRule="auto"/>
        <w:jc w:val="both"/>
        <w:rPr>
          <w:lang w:eastAsia="zh-CN"/>
        </w:rPr>
      </w:pPr>
    </w:p>
    <w:p w14:paraId="6DAAD821" w14:textId="77777777" w:rsidR="00D72714" w:rsidRDefault="00D72714" w:rsidP="00D72714">
      <w:pPr>
        <w:pStyle w:val="Title"/>
        <w:spacing w:before="1" w:line="360" w:lineRule="auto"/>
        <w:jc w:val="both"/>
        <w:rPr>
          <w:lang w:eastAsia="zh-CN"/>
        </w:rPr>
      </w:pPr>
    </w:p>
    <w:p w14:paraId="7E1277B3" w14:textId="77777777" w:rsidR="00D72714" w:rsidRDefault="00D72714" w:rsidP="00D72714">
      <w:pPr>
        <w:pStyle w:val="Title"/>
        <w:spacing w:before="1" w:line="360" w:lineRule="auto"/>
        <w:jc w:val="both"/>
        <w:rPr>
          <w:lang w:eastAsia="zh-CN"/>
        </w:rPr>
      </w:pPr>
    </w:p>
    <w:p w14:paraId="4AC38D63" w14:textId="77777777" w:rsidR="00D72714" w:rsidRDefault="00D72714" w:rsidP="00D72714">
      <w:pPr>
        <w:pStyle w:val="Title"/>
        <w:spacing w:before="1" w:line="360" w:lineRule="auto"/>
        <w:jc w:val="both"/>
        <w:rPr>
          <w:lang w:eastAsia="zh-CN"/>
        </w:rPr>
      </w:pPr>
    </w:p>
    <w:p w14:paraId="57668688" w14:textId="77777777" w:rsidR="00D72714" w:rsidRDefault="00D72714" w:rsidP="00D72714">
      <w:pPr>
        <w:pStyle w:val="Title"/>
        <w:spacing w:before="1" w:line="360" w:lineRule="auto"/>
        <w:jc w:val="both"/>
        <w:rPr>
          <w:lang w:eastAsia="zh-CN"/>
        </w:rPr>
      </w:pPr>
    </w:p>
    <w:p w14:paraId="2FAB43CF" w14:textId="77777777" w:rsidR="00D72714" w:rsidRDefault="00D72714" w:rsidP="00D72714">
      <w:pPr>
        <w:pStyle w:val="Title"/>
        <w:spacing w:before="1" w:line="360" w:lineRule="auto"/>
        <w:jc w:val="both"/>
        <w:rPr>
          <w:lang w:eastAsia="zh-CN"/>
        </w:rPr>
      </w:pPr>
    </w:p>
    <w:p w14:paraId="574C17B6" w14:textId="77777777" w:rsidR="00D72714" w:rsidRDefault="00D72714" w:rsidP="00D72714">
      <w:pPr>
        <w:pStyle w:val="Title"/>
        <w:spacing w:before="1" w:line="360" w:lineRule="auto"/>
        <w:jc w:val="both"/>
        <w:rPr>
          <w:lang w:eastAsia="zh-CN"/>
        </w:rPr>
      </w:pPr>
    </w:p>
    <w:p w14:paraId="4DECBC9D" w14:textId="77777777" w:rsidR="00D72714" w:rsidRDefault="00D72714" w:rsidP="00D72714">
      <w:pPr>
        <w:pStyle w:val="Title"/>
        <w:spacing w:before="1" w:line="360" w:lineRule="auto"/>
        <w:jc w:val="both"/>
        <w:rPr>
          <w:lang w:eastAsia="zh-CN"/>
        </w:rPr>
      </w:pPr>
    </w:p>
    <w:p w14:paraId="4082CCE3" w14:textId="77777777" w:rsidR="00133A73" w:rsidRDefault="00133A73" w:rsidP="00D72714">
      <w:pPr>
        <w:pStyle w:val="Title"/>
        <w:spacing w:before="1" w:line="360" w:lineRule="auto"/>
        <w:jc w:val="both"/>
        <w:rPr>
          <w:lang w:eastAsia="zh-CN"/>
        </w:rPr>
      </w:pPr>
    </w:p>
    <w:p w14:paraId="3AC32ABD" w14:textId="77777777" w:rsidR="00133A73" w:rsidRDefault="00133A73" w:rsidP="00D72714">
      <w:pPr>
        <w:pStyle w:val="Title"/>
        <w:spacing w:before="1" w:line="360" w:lineRule="auto"/>
        <w:jc w:val="both"/>
        <w:rPr>
          <w:lang w:eastAsia="zh-CN"/>
        </w:rPr>
      </w:pPr>
    </w:p>
    <w:p w14:paraId="23D561F1" w14:textId="77777777" w:rsidR="00133A73" w:rsidRDefault="00133A73" w:rsidP="00D72714">
      <w:pPr>
        <w:pStyle w:val="Title"/>
        <w:spacing w:before="1" w:line="360" w:lineRule="auto"/>
        <w:jc w:val="both"/>
        <w:rPr>
          <w:lang w:eastAsia="zh-CN"/>
        </w:rPr>
      </w:pPr>
    </w:p>
    <w:p w14:paraId="6EE0C779" w14:textId="1D3679D6" w:rsidR="00D72714" w:rsidRDefault="00D72714" w:rsidP="00D72714">
      <w:pPr>
        <w:pStyle w:val="Title"/>
        <w:spacing w:before="1" w:line="360" w:lineRule="auto"/>
        <w:jc w:val="both"/>
        <w:rPr>
          <w:lang w:eastAsia="zh-CN"/>
        </w:rPr>
      </w:pPr>
      <w:r>
        <w:rPr>
          <w:lang w:eastAsia="zh-CN"/>
        </w:rPr>
        <w:lastRenderedPageBreak/>
        <w:t>LAMPIRAN</w:t>
      </w:r>
      <w:r>
        <w:rPr>
          <w:spacing w:val="-2"/>
          <w:lang w:eastAsia="zh-CN"/>
        </w:rPr>
        <w:t xml:space="preserve"> </w:t>
      </w:r>
      <w:r>
        <w:rPr>
          <w:lang w:eastAsia="zh-CN"/>
        </w:rPr>
        <w:t>1</w:t>
      </w:r>
    </w:p>
    <w:p w14:paraId="40516092" w14:textId="77777777" w:rsidR="00D72714" w:rsidRDefault="00D72714" w:rsidP="00D72714">
      <w:pPr>
        <w:pStyle w:val="BodyText"/>
        <w:spacing w:line="360" w:lineRule="auto"/>
        <w:rPr>
          <w:b/>
          <w:sz w:val="37"/>
          <w:lang w:eastAsia="zh-CN"/>
        </w:rPr>
      </w:pPr>
    </w:p>
    <w:p w14:paraId="0CF2A55F" w14:textId="77777777" w:rsidR="00D72714" w:rsidRDefault="00D72714" w:rsidP="00D72714">
      <w:pPr>
        <w:pStyle w:val="Title"/>
        <w:spacing w:line="360" w:lineRule="auto"/>
        <w:ind w:left="1113" w:right="1391"/>
        <w:rPr>
          <w:lang w:eastAsia="zh-CN"/>
        </w:rPr>
      </w:pPr>
      <w:r>
        <w:rPr>
          <w:lang w:eastAsia="zh-CN"/>
        </w:rPr>
        <w:t>FORMULIR</w:t>
      </w:r>
      <w:r>
        <w:rPr>
          <w:spacing w:val="-2"/>
          <w:lang w:eastAsia="zh-CN"/>
        </w:rPr>
        <w:t xml:space="preserve"> </w:t>
      </w:r>
      <w:r>
        <w:rPr>
          <w:lang w:eastAsia="zh-CN"/>
        </w:rPr>
        <w:t>PERSETUJUAN</w:t>
      </w:r>
      <w:r>
        <w:rPr>
          <w:spacing w:val="-4"/>
          <w:lang w:eastAsia="zh-CN"/>
        </w:rPr>
        <w:t xml:space="preserve"> </w:t>
      </w:r>
      <w:r>
        <w:rPr>
          <w:lang w:eastAsia="zh-CN"/>
        </w:rPr>
        <w:t>SETELAH</w:t>
      </w:r>
      <w:r>
        <w:rPr>
          <w:spacing w:val="-3"/>
          <w:lang w:eastAsia="zh-CN"/>
        </w:rPr>
        <w:t xml:space="preserve"> </w:t>
      </w:r>
      <w:r>
        <w:rPr>
          <w:lang w:eastAsia="zh-CN"/>
        </w:rPr>
        <w:t>PENJELASAN (PSP)</w:t>
      </w:r>
      <w:r>
        <w:rPr>
          <w:spacing w:val="-57"/>
          <w:lang w:eastAsia="zh-CN"/>
        </w:rPr>
        <w:t xml:space="preserve"> </w:t>
      </w:r>
      <w:r>
        <w:rPr>
          <w:lang w:eastAsia="zh-CN"/>
        </w:rPr>
        <w:t>(INFORMED</w:t>
      </w:r>
      <w:r>
        <w:rPr>
          <w:spacing w:val="-1"/>
          <w:lang w:eastAsia="zh-CN"/>
        </w:rPr>
        <w:t xml:space="preserve"> </w:t>
      </w:r>
      <w:r>
        <w:rPr>
          <w:lang w:eastAsia="zh-CN"/>
        </w:rPr>
        <w:t>CONSENT)</w:t>
      </w:r>
    </w:p>
    <w:p w14:paraId="53BEE94E" w14:textId="77777777" w:rsidR="00D72714" w:rsidRDefault="00D72714" w:rsidP="00D72714">
      <w:pPr>
        <w:pStyle w:val="BodyText"/>
        <w:spacing w:line="360" w:lineRule="auto"/>
        <w:rPr>
          <w:b/>
          <w:sz w:val="26"/>
          <w:lang w:eastAsia="zh-CN"/>
        </w:rPr>
      </w:pPr>
    </w:p>
    <w:p w14:paraId="5E092D3A" w14:textId="77777777" w:rsidR="00D72714" w:rsidRDefault="00D72714" w:rsidP="00D72714">
      <w:pPr>
        <w:pStyle w:val="BodyText"/>
        <w:spacing w:line="360" w:lineRule="auto"/>
        <w:rPr>
          <w:b/>
          <w:sz w:val="22"/>
          <w:lang w:eastAsia="zh-CN"/>
        </w:rPr>
      </w:pPr>
    </w:p>
    <w:p w14:paraId="2118E662" w14:textId="77777777" w:rsidR="00D72714" w:rsidRDefault="00D72714" w:rsidP="00D72714">
      <w:pPr>
        <w:spacing w:line="360" w:lineRule="auto"/>
        <w:ind w:right="66" w:firstLine="709"/>
        <w:jc w:val="both"/>
        <w:rPr>
          <w:lang w:val="en-US" w:eastAsia="zh-CN"/>
        </w:rPr>
      </w:pPr>
      <w:r>
        <w:rPr>
          <w:lang w:val="id-ID" w:eastAsia="zh-CN"/>
        </w:rPr>
        <w:t xml:space="preserve">Selamat pagi Ibu, saya </w:t>
      </w:r>
      <w:r>
        <w:rPr>
          <w:b/>
          <w:lang w:val="id-ID" w:eastAsia="zh-CN"/>
        </w:rPr>
        <w:t xml:space="preserve">dr. </w:t>
      </w:r>
      <w:r>
        <w:rPr>
          <w:b/>
          <w:lang w:val="en-US" w:eastAsia="zh-CN"/>
        </w:rPr>
        <w:t>Herman Mangasi Silaban</w:t>
      </w:r>
      <w:r>
        <w:rPr>
          <w:lang w:val="id-ID" w:eastAsia="zh-CN"/>
        </w:rPr>
        <w:t xml:space="preserve">, bermaksud untuk melakukan penelitian pengaruh blok peritonsiler levobupivacaine isobarik 0,125% terhadap intensitas nyeri dan </w:t>
      </w:r>
      <w:r>
        <w:rPr>
          <w:rFonts w:hint="eastAsia"/>
          <w:lang w:eastAsia="zh-CN"/>
        </w:rPr>
        <w:t xml:space="preserve">kadar interleukin 6 </w:t>
      </w:r>
      <w:r>
        <w:rPr>
          <w:lang w:val="id-ID" w:eastAsia="zh-CN"/>
        </w:rPr>
        <w:t>pada pascabedah tonsilektom</w:t>
      </w:r>
      <w:r>
        <w:rPr>
          <w:lang w:val="en-US" w:eastAsia="zh-CN"/>
        </w:rPr>
        <w:t>.</w:t>
      </w:r>
    </w:p>
    <w:p w14:paraId="534B0F0C" w14:textId="77777777" w:rsidR="00D72714" w:rsidRDefault="00D72714" w:rsidP="00D72714">
      <w:pPr>
        <w:spacing w:line="360" w:lineRule="auto"/>
        <w:ind w:right="66" w:firstLine="709"/>
        <w:jc w:val="both"/>
        <w:rPr>
          <w:color w:val="000000" w:themeColor="text1"/>
          <w:lang w:val="en-US"/>
        </w:rPr>
      </w:pPr>
      <w:proofErr w:type="spellStart"/>
      <w:r>
        <w:rPr>
          <w:bCs/>
          <w:lang w:val="en-US"/>
        </w:rPr>
        <w:t>Penelitian</w:t>
      </w:r>
      <w:proofErr w:type="spellEnd"/>
      <w:r>
        <w:rPr>
          <w:bCs/>
          <w:lang w:val="en-US"/>
        </w:rPr>
        <w:t xml:space="preserve"> ini </w:t>
      </w:r>
      <w:proofErr w:type="spellStart"/>
      <w:r>
        <w:rPr>
          <w:bCs/>
          <w:lang w:val="en-US"/>
        </w:rPr>
        <w:t>bertujuan</w:t>
      </w:r>
      <w:proofErr w:type="spellEnd"/>
      <w:r>
        <w:rPr>
          <w:bCs/>
          <w:lang w:val="en-US"/>
        </w:rPr>
        <w:t xml:space="preserve"> untuk </w:t>
      </w:r>
      <w:proofErr w:type="spellStart"/>
      <w:r>
        <w:rPr>
          <w:bCs/>
          <w:lang w:val="en-US"/>
        </w:rPr>
        <w:t>mengetahui</w:t>
      </w:r>
      <w:proofErr w:type="spellEnd"/>
      <w:r>
        <w:rPr>
          <w:bCs/>
          <w:lang w:val="en-US"/>
        </w:rPr>
        <w:t xml:space="preserve"> </w:t>
      </w:r>
      <w:proofErr w:type="spellStart"/>
      <w:r>
        <w:rPr>
          <w:bCs/>
          <w:lang w:val="en-US"/>
        </w:rPr>
        <w:t>pengaruh</w:t>
      </w:r>
      <w:proofErr w:type="spellEnd"/>
      <w:r>
        <w:rPr>
          <w:bCs/>
          <w:lang w:val="en-US"/>
        </w:rPr>
        <w:t xml:space="preserve"> </w:t>
      </w:r>
      <w:proofErr w:type="spellStart"/>
      <w:r>
        <w:rPr>
          <w:bCs/>
          <w:lang w:val="en-US"/>
        </w:rPr>
        <w:t>blok</w:t>
      </w:r>
      <w:proofErr w:type="spellEnd"/>
      <w:r>
        <w:rPr>
          <w:bCs/>
          <w:lang w:val="en-US"/>
        </w:rPr>
        <w:t xml:space="preserve"> </w:t>
      </w:r>
      <w:proofErr w:type="spellStart"/>
      <w:r>
        <w:rPr>
          <w:bCs/>
          <w:lang w:val="en-US"/>
        </w:rPr>
        <w:t>peritonsiler</w:t>
      </w:r>
      <w:proofErr w:type="spellEnd"/>
      <w:r>
        <w:rPr>
          <w:bCs/>
          <w:lang w:val="en-US"/>
        </w:rPr>
        <w:t xml:space="preserve"> levobupivacaine </w:t>
      </w:r>
      <w:proofErr w:type="spellStart"/>
      <w:r>
        <w:rPr>
          <w:bCs/>
          <w:lang w:val="en-US"/>
        </w:rPr>
        <w:t>isobarik</w:t>
      </w:r>
      <w:proofErr w:type="spellEnd"/>
      <w:r>
        <w:rPr>
          <w:bCs/>
          <w:lang w:val="en-US"/>
        </w:rPr>
        <w:t xml:space="preserve"> 0,125% terhadap </w:t>
      </w:r>
      <w:proofErr w:type="spellStart"/>
      <w:r>
        <w:rPr>
          <w:bCs/>
          <w:lang w:val="en-US"/>
        </w:rPr>
        <w:t>intensitas</w:t>
      </w:r>
      <w:proofErr w:type="spellEnd"/>
      <w:r>
        <w:rPr>
          <w:bCs/>
          <w:lang w:val="en-US"/>
        </w:rPr>
        <w:t xml:space="preserve"> </w:t>
      </w:r>
      <w:proofErr w:type="spellStart"/>
      <w:r>
        <w:rPr>
          <w:bCs/>
          <w:lang w:val="en-US"/>
        </w:rPr>
        <w:t>nyeri</w:t>
      </w:r>
      <w:proofErr w:type="spellEnd"/>
      <w:r>
        <w:rPr>
          <w:bCs/>
          <w:lang w:val="en-US"/>
        </w:rPr>
        <w:t xml:space="preserve"> dan </w:t>
      </w:r>
      <w:proofErr w:type="spellStart"/>
      <w:r>
        <w:rPr>
          <w:bCs/>
          <w:lang w:val="en-US"/>
        </w:rPr>
        <w:t>kadar</w:t>
      </w:r>
      <w:proofErr w:type="spellEnd"/>
      <w:r>
        <w:rPr>
          <w:bCs/>
          <w:lang w:val="en-US"/>
        </w:rPr>
        <w:t xml:space="preserve"> interleukin 6 pada </w:t>
      </w:r>
      <w:proofErr w:type="spellStart"/>
      <w:r>
        <w:rPr>
          <w:bCs/>
          <w:lang w:val="en-US"/>
        </w:rPr>
        <w:t>pascabedah</w:t>
      </w:r>
      <w:proofErr w:type="spellEnd"/>
      <w:r>
        <w:rPr>
          <w:bCs/>
          <w:lang w:val="en-US"/>
        </w:rPr>
        <w:t xml:space="preserve"> </w:t>
      </w:r>
      <w:proofErr w:type="spellStart"/>
      <w:r>
        <w:rPr>
          <w:bCs/>
          <w:lang w:val="en-US"/>
        </w:rPr>
        <w:t>tonsilektomi</w:t>
      </w:r>
      <w:proofErr w:type="spellEnd"/>
      <w:r>
        <w:rPr>
          <w:bCs/>
          <w:lang w:val="en-US"/>
        </w:rPr>
        <w:t xml:space="preserve">. Adapun </w:t>
      </w:r>
      <w:proofErr w:type="spellStart"/>
      <w:r>
        <w:rPr>
          <w:bCs/>
          <w:lang w:val="en-US"/>
        </w:rPr>
        <w:t>manfaat</w:t>
      </w:r>
      <w:proofErr w:type="spellEnd"/>
      <w:r>
        <w:rPr>
          <w:bCs/>
          <w:lang w:val="en-US"/>
        </w:rPr>
        <w:t xml:space="preserve"> </w:t>
      </w:r>
      <w:proofErr w:type="spellStart"/>
      <w:r>
        <w:rPr>
          <w:bCs/>
          <w:lang w:val="en-US"/>
        </w:rPr>
        <w:t>penelitian</w:t>
      </w:r>
      <w:proofErr w:type="spellEnd"/>
      <w:r>
        <w:rPr>
          <w:bCs/>
          <w:lang w:val="en-US"/>
        </w:rPr>
        <w:t xml:space="preserve"> ini </w:t>
      </w:r>
      <w:proofErr w:type="spellStart"/>
      <w:r>
        <w:rPr>
          <w:color w:val="000000" w:themeColor="text1"/>
          <w:lang w:val="en-US"/>
        </w:rPr>
        <w:t>jika</w:t>
      </w:r>
      <w:proofErr w:type="spellEnd"/>
      <w:r>
        <w:rPr>
          <w:color w:val="000000" w:themeColor="text1"/>
          <w:lang w:val="en-US"/>
        </w:rPr>
        <w:t xml:space="preserve"> </w:t>
      </w:r>
      <w:proofErr w:type="spellStart"/>
      <w:r>
        <w:rPr>
          <w:color w:val="000000" w:themeColor="text1"/>
          <w:lang w:val="en-US"/>
        </w:rPr>
        <w:t>terbukti</w:t>
      </w:r>
      <w:proofErr w:type="spellEnd"/>
      <w:r>
        <w:rPr>
          <w:color w:val="000000" w:themeColor="text1"/>
          <w:lang w:val="en-US"/>
        </w:rPr>
        <w:t xml:space="preserve"> </w:t>
      </w:r>
      <w:proofErr w:type="spellStart"/>
      <w:r>
        <w:rPr>
          <w:color w:val="000000" w:themeColor="text1"/>
          <w:lang w:val="en-US"/>
        </w:rPr>
        <w:t>bermakna</w:t>
      </w:r>
      <w:proofErr w:type="spellEnd"/>
      <w:r>
        <w:rPr>
          <w:color w:val="000000" w:themeColor="text1"/>
          <w:lang w:val="en-US"/>
        </w:rPr>
        <w:t xml:space="preserve">, </w:t>
      </w:r>
      <w:proofErr w:type="spellStart"/>
      <w:r>
        <w:rPr>
          <w:color w:val="000000" w:themeColor="text1"/>
          <w:lang w:val="en-US"/>
        </w:rPr>
        <w:t>blok</w:t>
      </w:r>
      <w:proofErr w:type="spellEnd"/>
      <w:r>
        <w:rPr>
          <w:color w:val="000000" w:themeColor="text1"/>
          <w:lang w:val="en-US"/>
        </w:rPr>
        <w:t xml:space="preserve"> </w:t>
      </w:r>
      <w:proofErr w:type="spellStart"/>
      <w:r>
        <w:rPr>
          <w:color w:val="000000" w:themeColor="text1"/>
          <w:lang w:val="en-US"/>
        </w:rPr>
        <w:t>peritonsiler</w:t>
      </w:r>
      <w:proofErr w:type="spellEnd"/>
      <w:r>
        <w:rPr>
          <w:color w:val="000000" w:themeColor="text1"/>
          <w:lang w:val="en-US"/>
        </w:rPr>
        <w:t xml:space="preserve"> levobupivacaine </w:t>
      </w:r>
      <w:proofErr w:type="spellStart"/>
      <w:r>
        <w:rPr>
          <w:color w:val="000000" w:themeColor="text1"/>
          <w:lang w:val="en-US"/>
        </w:rPr>
        <w:t>isobarik</w:t>
      </w:r>
      <w:proofErr w:type="spellEnd"/>
      <w:r>
        <w:rPr>
          <w:color w:val="000000" w:themeColor="text1"/>
          <w:lang w:val="en-US"/>
        </w:rPr>
        <w:t xml:space="preserve"> 0,125% dapat </w:t>
      </w:r>
      <w:proofErr w:type="spellStart"/>
      <w:r>
        <w:rPr>
          <w:color w:val="000000" w:themeColor="text1"/>
          <w:lang w:val="en-US"/>
        </w:rPr>
        <w:t>digunakan</w:t>
      </w:r>
      <w:proofErr w:type="spellEnd"/>
      <w:r>
        <w:rPr>
          <w:color w:val="000000" w:themeColor="text1"/>
          <w:lang w:val="en-US"/>
        </w:rPr>
        <w:t xml:space="preserve"> </w:t>
      </w:r>
      <w:proofErr w:type="spellStart"/>
      <w:r>
        <w:rPr>
          <w:color w:val="000000" w:themeColor="text1"/>
          <w:lang w:val="en-US"/>
        </w:rPr>
        <w:t>sebagai</w:t>
      </w:r>
      <w:proofErr w:type="spellEnd"/>
      <w:r>
        <w:rPr>
          <w:color w:val="000000" w:themeColor="text1"/>
          <w:lang w:val="en-US"/>
        </w:rPr>
        <w:t xml:space="preserve"> </w:t>
      </w:r>
      <w:proofErr w:type="spellStart"/>
      <w:r>
        <w:rPr>
          <w:color w:val="000000" w:themeColor="text1"/>
          <w:lang w:val="en-US"/>
        </w:rPr>
        <w:t>manajemen</w:t>
      </w:r>
      <w:proofErr w:type="spellEnd"/>
      <w:r>
        <w:rPr>
          <w:color w:val="000000" w:themeColor="text1"/>
          <w:lang w:val="en-US"/>
        </w:rPr>
        <w:t xml:space="preserve"> </w:t>
      </w:r>
      <w:proofErr w:type="spellStart"/>
      <w:r>
        <w:rPr>
          <w:color w:val="000000" w:themeColor="text1"/>
          <w:lang w:val="en-US"/>
        </w:rPr>
        <w:t>nyeri</w:t>
      </w:r>
      <w:proofErr w:type="spellEnd"/>
      <w:r>
        <w:rPr>
          <w:color w:val="000000" w:themeColor="text1"/>
          <w:lang w:val="en-US"/>
        </w:rPr>
        <w:t xml:space="preserve"> </w:t>
      </w:r>
      <w:proofErr w:type="spellStart"/>
      <w:r>
        <w:rPr>
          <w:color w:val="000000" w:themeColor="text1"/>
          <w:lang w:val="en-US"/>
        </w:rPr>
        <w:t>pascabedah</w:t>
      </w:r>
      <w:proofErr w:type="spellEnd"/>
      <w:r>
        <w:rPr>
          <w:color w:val="000000" w:themeColor="text1"/>
          <w:lang w:val="en-US"/>
        </w:rPr>
        <w:t xml:space="preserve"> </w:t>
      </w:r>
      <w:proofErr w:type="spellStart"/>
      <w:r>
        <w:rPr>
          <w:color w:val="000000" w:themeColor="text1"/>
          <w:lang w:val="en-US"/>
        </w:rPr>
        <w:t>tonsilektomi</w:t>
      </w:r>
      <w:proofErr w:type="spellEnd"/>
      <w:r>
        <w:rPr>
          <w:color w:val="000000" w:themeColor="text1"/>
          <w:lang w:val="en-US"/>
        </w:rPr>
        <w:t xml:space="preserve"> untuk </w:t>
      </w:r>
      <w:proofErr w:type="spellStart"/>
      <w:r>
        <w:rPr>
          <w:color w:val="000000" w:themeColor="text1"/>
          <w:lang w:val="en-US"/>
        </w:rPr>
        <w:t>kemajuan</w:t>
      </w:r>
      <w:proofErr w:type="spellEnd"/>
      <w:r>
        <w:rPr>
          <w:color w:val="000000" w:themeColor="text1"/>
          <w:lang w:val="en-US"/>
        </w:rPr>
        <w:t xml:space="preserve"> </w:t>
      </w:r>
      <w:proofErr w:type="spellStart"/>
      <w:r>
        <w:rPr>
          <w:color w:val="000000" w:themeColor="text1"/>
          <w:lang w:val="en-US"/>
        </w:rPr>
        <w:t>pelayanan</w:t>
      </w:r>
      <w:proofErr w:type="spellEnd"/>
      <w:r>
        <w:rPr>
          <w:color w:val="000000" w:themeColor="text1"/>
          <w:lang w:val="en-US"/>
        </w:rPr>
        <w:t xml:space="preserve"> </w:t>
      </w:r>
      <w:proofErr w:type="spellStart"/>
      <w:r>
        <w:rPr>
          <w:color w:val="000000" w:themeColor="text1"/>
          <w:lang w:val="en-US"/>
        </w:rPr>
        <w:t>anestesi</w:t>
      </w:r>
      <w:proofErr w:type="spellEnd"/>
      <w:r>
        <w:rPr>
          <w:color w:val="000000" w:themeColor="text1"/>
          <w:lang w:val="en-US"/>
        </w:rPr>
        <w:t xml:space="preserve"> di masa yang </w:t>
      </w:r>
      <w:proofErr w:type="spellStart"/>
      <w:r>
        <w:rPr>
          <w:color w:val="000000" w:themeColor="text1"/>
          <w:lang w:val="en-US"/>
        </w:rPr>
        <w:t>akan</w:t>
      </w:r>
      <w:proofErr w:type="spellEnd"/>
      <w:r>
        <w:rPr>
          <w:color w:val="000000" w:themeColor="text1"/>
          <w:lang w:val="en-US"/>
        </w:rPr>
        <w:t xml:space="preserve"> </w:t>
      </w:r>
      <w:proofErr w:type="spellStart"/>
      <w:r>
        <w:rPr>
          <w:color w:val="000000" w:themeColor="text1"/>
          <w:lang w:val="en-US"/>
        </w:rPr>
        <w:t>datang</w:t>
      </w:r>
      <w:proofErr w:type="spellEnd"/>
      <w:r>
        <w:rPr>
          <w:color w:val="000000" w:themeColor="text1"/>
          <w:lang w:val="en-US"/>
        </w:rPr>
        <w:t>.</w:t>
      </w:r>
    </w:p>
    <w:p w14:paraId="018D2A36" w14:textId="77777777" w:rsidR="00D72714" w:rsidRDefault="00D72714" w:rsidP="00D72714">
      <w:pPr>
        <w:spacing w:line="360" w:lineRule="auto"/>
        <w:ind w:right="66" w:firstLine="709"/>
        <w:jc w:val="both"/>
        <w:rPr>
          <w:bCs/>
          <w:lang w:val="en-US"/>
        </w:rPr>
      </w:pPr>
      <w:r>
        <w:rPr>
          <w:lang w:val="id-ID"/>
        </w:rPr>
        <w:t xml:space="preserve">Pada penelitian ini terdapat 2 kelompok yang masing-masing berjumlah </w:t>
      </w:r>
      <w:r>
        <w:rPr>
          <w:lang w:val="en-US"/>
        </w:rPr>
        <w:t>15</w:t>
      </w:r>
      <w:r>
        <w:rPr>
          <w:lang w:val="id-ID"/>
        </w:rPr>
        <w:t xml:space="preserve"> orang yang akan ditentukan secara acak menjadi kelompok I: kelompok yang mendapatkan </w:t>
      </w:r>
      <w:proofErr w:type="spellStart"/>
      <w:r>
        <w:rPr>
          <w:color w:val="000000" w:themeColor="text1"/>
          <w:lang w:val="en-US"/>
        </w:rPr>
        <w:t>blok</w:t>
      </w:r>
      <w:proofErr w:type="spellEnd"/>
      <w:r>
        <w:rPr>
          <w:color w:val="000000" w:themeColor="text1"/>
          <w:lang w:val="en-US"/>
        </w:rPr>
        <w:t xml:space="preserve"> </w:t>
      </w:r>
      <w:proofErr w:type="spellStart"/>
      <w:r>
        <w:rPr>
          <w:color w:val="000000" w:themeColor="text1"/>
          <w:lang w:val="en-US"/>
        </w:rPr>
        <w:t>peritonsiler</w:t>
      </w:r>
      <w:proofErr w:type="spellEnd"/>
      <w:r>
        <w:rPr>
          <w:color w:val="000000" w:themeColor="text1"/>
          <w:lang w:val="en-US"/>
        </w:rPr>
        <w:t xml:space="preserve"> levobupivacaine </w:t>
      </w:r>
      <w:proofErr w:type="spellStart"/>
      <w:r>
        <w:rPr>
          <w:color w:val="000000" w:themeColor="text1"/>
          <w:lang w:val="en-US"/>
        </w:rPr>
        <w:t>isobarik</w:t>
      </w:r>
      <w:proofErr w:type="spellEnd"/>
      <w:r>
        <w:rPr>
          <w:color w:val="000000" w:themeColor="text1"/>
          <w:lang w:val="en-US"/>
        </w:rPr>
        <w:t xml:space="preserve"> 0,125%</w:t>
      </w:r>
      <w:r>
        <w:rPr>
          <w:lang w:val="id-ID"/>
        </w:rPr>
        <w:t xml:space="preserve">, dan kelompok </w:t>
      </w:r>
      <w:r>
        <w:rPr>
          <w:lang w:val="en-US"/>
        </w:rPr>
        <w:t>K</w:t>
      </w:r>
      <w:r>
        <w:rPr>
          <w:lang w:val="id-ID"/>
        </w:rPr>
        <w:t xml:space="preserve">: kelompok yang </w:t>
      </w:r>
      <w:r>
        <w:rPr>
          <w:lang w:val="en-US"/>
        </w:rPr>
        <w:t xml:space="preserve">tidak </w:t>
      </w:r>
      <w:proofErr w:type="spellStart"/>
      <w:r>
        <w:rPr>
          <w:lang w:val="en-US"/>
        </w:rPr>
        <w:t>mendapat</w:t>
      </w:r>
      <w:proofErr w:type="spellEnd"/>
      <w:r>
        <w:rPr>
          <w:lang w:val="en-US"/>
        </w:rPr>
        <w:t xml:space="preserve"> </w:t>
      </w:r>
      <w:proofErr w:type="spellStart"/>
      <w:r>
        <w:rPr>
          <w:lang w:val="en-US"/>
        </w:rPr>
        <w:t>blok</w:t>
      </w:r>
      <w:proofErr w:type="spellEnd"/>
      <w:r>
        <w:rPr>
          <w:lang w:val="en-US"/>
        </w:rPr>
        <w:t>.</w:t>
      </w:r>
    </w:p>
    <w:p w14:paraId="1F990DD8" w14:textId="77777777" w:rsidR="00D72714" w:rsidRDefault="00D72714" w:rsidP="00D72714">
      <w:pPr>
        <w:spacing w:line="360" w:lineRule="auto"/>
        <w:ind w:right="66" w:firstLine="709"/>
        <w:jc w:val="both"/>
        <w:rPr>
          <w:bCs/>
          <w:lang w:val="en-US"/>
        </w:rPr>
      </w:pPr>
      <w:r>
        <w:rPr>
          <w:lang w:val="id-ID"/>
        </w:rPr>
        <w:t>Semua pasien dilakukan anamnesis, pemeriksaan fisik dan penunjang untuk menentukan status fisik dan rencana anestesi. Pasien yang memenuhi kriteria inklusi dikumpulkan sesuai urutan kedatangan sampai jumlah sampel terpenuhi. Peneliti memberikan penjelasan tujuan dan manfaat penelitian. Semua pasien</w:t>
      </w:r>
      <w:r>
        <w:rPr>
          <w:lang w:val="en-US"/>
        </w:rPr>
        <w:t>/</w:t>
      </w:r>
      <w:proofErr w:type="spellStart"/>
      <w:r>
        <w:rPr>
          <w:lang w:val="en-US"/>
        </w:rPr>
        <w:t>wali</w:t>
      </w:r>
      <w:proofErr w:type="spellEnd"/>
      <w:r>
        <w:rPr>
          <w:lang w:val="en-US"/>
        </w:rPr>
        <w:t xml:space="preserve"> pasien</w:t>
      </w:r>
      <w:r>
        <w:rPr>
          <w:lang w:val="id-ID"/>
        </w:rPr>
        <w:t xml:space="preserve"> menandatangani </w:t>
      </w:r>
      <w:r>
        <w:rPr>
          <w:i/>
          <w:lang w:val="id-ID"/>
        </w:rPr>
        <w:t>informed consent</w:t>
      </w:r>
      <w:r>
        <w:rPr>
          <w:lang w:val="id-ID"/>
        </w:rPr>
        <w:t xml:space="preserve">. </w:t>
      </w:r>
      <w:r>
        <w:rPr>
          <w:color w:val="202124"/>
          <w:spacing w:val="-1"/>
          <w:lang w:val="id-ID"/>
        </w:rPr>
        <w:t>Jika</w:t>
      </w:r>
      <w:r>
        <w:rPr>
          <w:color w:val="202124"/>
          <w:spacing w:val="-14"/>
          <w:lang w:val="id-ID"/>
        </w:rPr>
        <w:t xml:space="preserve"> </w:t>
      </w:r>
      <w:r w:rsidRPr="00F426C1">
        <w:rPr>
          <w:color w:val="202124"/>
          <w:spacing w:val="-1"/>
          <w:lang w:val="id-ID"/>
        </w:rPr>
        <w:t>pasien/wali pasien</w:t>
      </w:r>
      <w:r>
        <w:rPr>
          <w:color w:val="202124"/>
          <w:spacing w:val="-1"/>
          <w:lang w:val="id-ID"/>
        </w:rPr>
        <w:t xml:space="preserve"> setuju</w:t>
      </w:r>
      <w:r>
        <w:rPr>
          <w:color w:val="202124"/>
          <w:spacing w:val="-14"/>
          <w:lang w:val="id-ID"/>
        </w:rPr>
        <w:t xml:space="preserve"> </w:t>
      </w:r>
      <w:r>
        <w:rPr>
          <w:color w:val="202124"/>
          <w:spacing w:val="-1"/>
          <w:lang w:val="id-ID"/>
        </w:rPr>
        <w:t>untuk</w:t>
      </w:r>
      <w:r>
        <w:rPr>
          <w:color w:val="202124"/>
          <w:spacing w:val="-14"/>
          <w:lang w:val="id-ID"/>
        </w:rPr>
        <w:t xml:space="preserve"> </w:t>
      </w:r>
      <w:r>
        <w:rPr>
          <w:color w:val="202124"/>
          <w:lang w:val="id-ID"/>
        </w:rPr>
        <w:t>berpartisipasi</w:t>
      </w:r>
      <w:r>
        <w:rPr>
          <w:color w:val="202124"/>
          <w:spacing w:val="-14"/>
          <w:lang w:val="id-ID"/>
        </w:rPr>
        <w:t xml:space="preserve"> </w:t>
      </w:r>
      <w:r>
        <w:rPr>
          <w:color w:val="202124"/>
          <w:lang w:val="id-ID"/>
        </w:rPr>
        <w:t>dalam</w:t>
      </w:r>
      <w:r>
        <w:rPr>
          <w:color w:val="202124"/>
          <w:spacing w:val="-14"/>
          <w:lang w:val="id-ID"/>
        </w:rPr>
        <w:t xml:space="preserve"> </w:t>
      </w:r>
      <w:r>
        <w:rPr>
          <w:color w:val="202124"/>
          <w:lang w:val="id-ID"/>
        </w:rPr>
        <w:t>penelitian</w:t>
      </w:r>
      <w:r>
        <w:rPr>
          <w:color w:val="202124"/>
          <w:spacing w:val="-14"/>
          <w:lang w:val="id-ID"/>
        </w:rPr>
        <w:t xml:space="preserve"> </w:t>
      </w:r>
      <w:r>
        <w:rPr>
          <w:color w:val="202124"/>
          <w:lang w:val="id-ID"/>
        </w:rPr>
        <w:t>ini,</w:t>
      </w:r>
      <w:r>
        <w:rPr>
          <w:color w:val="202124"/>
          <w:spacing w:val="-14"/>
          <w:lang w:val="id-ID"/>
        </w:rPr>
        <w:t xml:space="preserve"> </w:t>
      </w:r>
      <w:r w:rsidRPr="00F426C1">
        <w:rPr>
          <w:color w:val="202124"/>
          <w:spacing w:val="-1"/>
          <w:lang w:val="id-ID"/>
        </w:rPr>
        <w:t>pasien/wali pasien</w:t>
      </w:r>
      <w:r>
        <w:rPr>
          <w:color w:val="202124"/>
          <w:lang w:val="id-ID"/>
        </w:rPr>
        <w:t xml:space="preserve"> akan</w:t>
      </w:r>
      <w:r>
        <w:rPr>
          <w:color w:val="202124"/>
          <w:spacing w:val="-14"/>
          <w:lang w:val="id-ID"/>
        </w:rPr>
        <w:t xml:space="preserve"> </w:t>
      </w:r>
      <w:r>
        <w:rPr>
          <w:color w:val="202124"/>
          <w:lang w:val="id-ID"/>
        </w:rPr>
        <w:t>diminta</w:t>
      </w:r>
      <w:r>
        <w:rPr>
          <w:color w:val="202124"/>
          <w:spacing w:val="-14"/>
          <w:lang w:val="id-ID"/>
        </w:rPr>
        <w:t xml:space="preserve"> </w:t>
      </w:r>
      <w:r>
        <w:rPr>
          <w:color w:val="202124"/>
          <w:lang w:val="id-ID"/>
        </w:rPr>
        <w:t xml:space="preserve">untuk menjalani beberapa prosedur sebelum </w:t>
      </w:r>
      <w:r w:rsidRPr="00F426C1">
        <w:rPr>
          <w:color w:val="202124"/>
          <w:lang w:val="id-ID"/>
        </w:rPr>
        <w:t xml:space="preserve">pembedahan tonsilektomi. </w:t>
      </w:r>
      <w:r>
        <w:rPr>
          <w:color w:val="000000" w:themeColor="text1"/>
          <w:lang w:val="id-ID"/>
        </w:rPr>
        <w:t xml:space="preserve">Malam sebelum operasi </w:t>
      </w:r>
      <w:r w:rsidRPr="00F426C1">
        <w:rPr>
          <w:color w:val="000000" w:themeColor="text1"/>
          <w:lang w:val="id-ID"/>
        </w:rPr>
        <w:t xml:space="preserve">pasien </w:t>
      </w:r>
      <w:r>
        <w:rPr>
          <w:color w:val="000000" w:themeColor="text1"/>
          <w:lang w:val="id-ID"/>
        </w:rPr>
        <w:t>akan diberikan obat</w:t>
      </w:r>
      <w:r w:rsidRPr="00F426C1">
        <w:rPr>
          <w:color w:val="000000" w:themeColor="text1"/>
          <w:lang w:val="id-ID"/>
        </w:rPr>
        <w:t xml:space="preserve"> oral ranitidine, dip</w:t>
      </w:r>
      <w:r>
        <w:rPr>
          <w:color w:val="000000" w:themeColor="text1"/>
          <w:lang w:val="id-ID"/>
        </w:rPr>
        <w:t>uasakan</w:t>
      </w:r>
      <w:r w:rsidRPr="00F426C1">
        <w:rPr>
          <w:color w:val="000000" w:themeColor="text1"/>
          <w:lang w:val="id-ID"/>
        </w:rPr>
        <w:t xml:space="preserve"> selama</w:t>
      </w:r>
      <w:r>
        <w:rPr>
          <w:color w:val="000000" w:themeColor="text1"/>
          <w:lang w:val="id-ID"/>
        </w:rPr>
        <w:t xml:space="preserve"> 6 jam, namun masih </w:t>
      </w:r>
      <w:r w:rsidRPr="00F426C1">
        <w:rPr>
          <w:color w:val="000000" w:themeColor="text1"/>
          <w:lang w:val="id-ID"/>
        </w:rPr>
        <w:t xml:space="preserve">diperbolehkan </w:t>
      </w:r>
      <w:r>
        <w:rPr>
          <w:color w:val="000000" w:themeColor="text1"/>
          <w:lang w:val="id-ID"/>
        </w:rPr>
        <w:t xml:space="preserve">minum </w:t>
      </w:r>
      <w:r w:rsidRPr="00F426C1">
        <w:rPr>
          <w:color w:val="000000" w:themeColor="text1"/>
          <w:lang w:val="id-ID"/>
        </w:rPr>
        <w:t xml:space="preserve">teh manis sebanyak </w:t>
      </w:r>
      <w:r>
        <w:rPr>
          <w:color w:val="000000" w:themeColor="text1"/>
          <w:lang w:val="id-ID"/>
        </w:rPr>
        <w:t xml:space="preserve">50 ml </w:t>
      </w:r>
      <w:r w:rsidRPr="00F426C1">
        <w:rPr>
          <w:color w:val="000000" w:themeColor="text1"/>
          <w:lang w:val="id-ID"/>
        </w:rPr>
        <w:t xml:space="preserve">hingga </w:t>
      </w:r>
      <w:r>
        <w:rPr>
          <w:color w:val="000000" w:themeColor="text1"/>
          <w:lang w:val="id-ID"/>
        </w:rPr>
        <w:t xml:space="preserve">2 jam </w:t>
      </w:r>
      <w:r w:rsidRPr="00F426C1">
        <w:rPr>
          <w:color w:val="000000" w:themeColor="text1"/>
          <w:lang w:val="id-ID"/>
        </w:rPr>
        <w:t>sebelum operasi</w:t>
      </w:r>
      <w:r>
        <w:rPr>
          <w:color w:val="202124"/>
          <w:lang w:val="id-ID"/>
        </w:rPr>
        <w:t xml:space="preserve">, </w:t>
      </w:r>
      <w:r w:rsidRPr="00F426C1">
        <w:rPr>
          <w:color w:val="000000" w:themeColor="text1"/>
          <w:lang w:val="id-ID"/>
        </w:rPr>
        <w:t>pasien akan disuntikkan beberapa jenis obat sebelum operasi, antibiotik profilaksis Ceftriaxone pada 1 jam sebelum operasi, anti mual/muntah</w:t>
      </w:r>
      <w:r>
        <w:rPr>
          <w:color w:val="000000" w:themeColor="text1"/>
          <w:lang w:val="id-ID"/>
        </w:rPr>
        <w:t xml:space="preserve"> ondansetron dan </w:t>
      </w:r>
      <w:r w:rsidRPr="00F426C1">
        <w:rPr>
          <w:color w:val="000000" w:themeColor="text1"/>
          <w:lang w:val="id-ID"/>
        </w:rPr>
        <w:t xml:space="preserve">deksametason serta analgesik </w:t>
      </w:r>
      <w:r>
        <w:rPr>
          <w:color w:val="000000" w:themeColor="text1"/>
          <w:lang w:val="id-ID"/>
        </w:rPr>
        <w:t>pencegahan</w:t>
      </w:r>
      <w:r w:rsidRPr="00F426C1">
        <w:rPr>
          <w:color w:val="000000" w:themeColor="text1"/>
          <w:lang w:val="id-ID"/>
        </w:rPr>
        <w:t xml:space="preserve"> berupa</w:t>
      </w:r>
      <w:r>
        <w:rPr>
          <w:color w:val="000000" w:themeColor="text1"/>
          <w:lang w:val="id-ID"/>
        </w:rPr>
        <w:t xml:space="preserve"> parasetamol </w:t>
      </w:r>
      <w:r w:rsidRPr="00F426C1">
        <w:rPr>
          <w:color w:val="000000" w:themeColor="text1"/>
          <w:lang w:val="id-ID"/>
        </w:rPr>
        <w:t xml:space="preserve">dan ibuprofen pada </w:t>
      </w:r>
      <w:r>
        <w:rPr>
          <w:color w:val="000000" w:themeColor="text1"/>
          <w:lang w:val="id-ID"/>
        </w:rPr>
        <w:t>30 menit sebelum</w:t>
      </w:r>
      <w:r w:rsidRPr="00F426C1">
        <w:rPr>
          <w:color w:val="000000" w:themeColor="text1"/>
          <w:lang w:val="id-ID"/>
        </w:rPr>
        <w:t xml:space="preserve"> pembedahan</w:t>
      </w:r>
      <w:r>
        <w:rPr>
          <w:color w:val="000000" w:themeColor="text1"/>
          <w:lang w:val="id-ID"/>
        </w:rPr>
        <w:t>.</w:t>
      </w:r>
      <w:r>
        <w:rPr>
          <w:color w:val="202124"/>
          <w:lang w:val="id-ID"/>
        </w:rPr>
        <w:t xml:space="preserve"> </w:t>
      </w:r>
      <w:r w:rsidRPr="00F426C1">
        <w:rPr>
          <w:color w:val="202124"/>
          <w:lang w:val="id-ID"/>
        </w:rPr>
        <w:t>Pasien</w:t>
      </w:r>
      <w:r w:rsidRPr="00F426C1">
        <w:rPr>
          <w:color w:val="000000" w:themeColor="text1"/>
          <w:lang w:val="id-ID"/>
        </w:rPr>
        <w:t xml:space="preserve"> akan dilakukan pembiusan umum dengan menggunakan teknik intubasi selang nafas melalui mulut. </w:t>
      </w:r>
      <w:proofErr w:type="spellStart"/>
      <w:r>
        <w:rPr>
          <w:color w:val="000000" w:themeColor="text1"/>
          <w:lang w:val="en-US"/>
        </w:rPr>
        <w:t>Pemeliharaan</w:t>
      </w:r>
      <w:proofErr w:type="spellEnd"/>
      <w:r>
        <w:rPr>
          <w:color w:val="000000" w:themeColor="text1"/>
          <w:lang w:val="en-US"/>
        </w:rPr>
        <w:t xml:space="preserve"> </w:t>
      </w:r>
      <w:proofErr w:type="spellStart"/>
      <w:r>
        <w:rPr>
          <w:color w:val="000000" w:themeColor="text1"/>
          <w:lang w:val="en-US"/>
        </w:rPr>
        <w:t>pembiusan</w:t>
      </w:r>
      <w:proofErr w:type="spellEnd"/>
      <w:r>
        <w:rPr>
          <w:color w:val="000000" w:themeColor="text1"/>
          <w:lang w:val="en-US"/>
        </w:rPr>
        <w:t xml:space="preserve"> </w:t>
      </w:r>
      <w:proofErr w:type="spellStart"/>
      <w:r>
        <w:rPr>
          <w:color w:val="000000" w:themeColor="text1"/>
          <w:lang w:val="en-US"/>
        </w:rPr>
        <w:t>dilakukan</w:t>
      </w:r>
      <w:proofErr w:type="spellEnd"/>
      <w:r>
        <w:rPr>
          <w:color w:val="000000" w:themeColor="text1"/>
          <w:lang w:val="en-US"/>
        </w:rPr>
        <w:t xml:space="preserve"> dengan </w:t>
      </w:r>
      <w:proofErr w:type="spellStart"/>
      <w:r>
        <w:rPr>
          <w:color w:val="000000" w:themeColor="text1"/>
          <w:lang w:val="en-US"/>
        </w:rPr>
        <w:t>prinsip</w:t>
      </w:r>
      <w:proofErr w:type="spellEnd"/>
      <w:r>
        <w:rPr>
          <w:color w:val="000000" w:themeColor="text1"/>
          <w:lang w:val="en-US"/>
        </w:rPr>
        <w:t xml:space="preserve"> </w:t>
      </w:r>
      <w:r>
        <w:rPr>
          <w:i/>
          <w:iCs/>
          <w:color w:val="000000" w:themeColor="text1"/>
          <w:lang w:val="en-US"/>
        </w:rPr>
        <w:t xml:space="preserve">balance </w:t>
      </w:r>
      <w:proofErr w:type="gramStart"/>
      <w:r>
        <w:rPr>
          <w:i/>
          <w:iCs/>
          <w:color w:val="000000" w:themeColor="text1"/>
          <w:lang w:val="en-US"/>
        </w:rPr>
        <w:t>anesthesia</w:t>
      </w:r>
      <w:r>
        <w:rPr>
          <w:color w:val="000000" w:themeColor="text1"/>
          <w:lang w:val="en-US"/>
        </w:rPr>
        <w:t xml:space="preserve">,  </w:t>
      </w:r>
      <w:proofErr w:type="spellStart"/>
      <w:r>
        <w:rPr>
          <w:color w:val="000000" w:themeColor="text1"/>
          <w:lang w:val="en-US"/>
        </w:rPr>
        <w:t>menggunakan</w:t>
      </w:r>
      <w:proofErr w:type="spellEnd"/>
      <w:proofErr w:type="gramEnd"/>
      <w:r>
        <w:rPr>
          <w:color w:val="000000" w:themeColor="text1"/>
          <w:lang w:val="en-US"/>
        </w:rPr>
        <w:t xml:space="preserve"> obat-obat </w:t>
      </w:r>
      <w:proofErr w:type="spellStart"/>
      <w:r>
        <w:rPr>
          <w:color w:val="000000" w:themeColor="text1"/>
          <w:lang w:val="en-US"/>
        </w:rPr>
        <w:t>sedasi</w:t>
      </w:r>
      <w:proofErr w:type="spellEnd"/>
      <w:r>
        <w:rPr>
          <w:color w:val="000000" w:themeColor="text1"/>
          <w:lang w:val="en-US"/>
        </w:rPr>
        <w:t xml:space="preserve"> dan </w:t>
      </w:r>
      <w:proofErr w:type="spellStart"/>
      <w:r>
        <w:rPr>
          <w:color w:val="000000" w:themeColor="text1"/>
          <w:lang w:val="en-US"/>
        </w:rPr>
        <w:t>analgesik</w:t>
      </w:r>
      <w:proofErr w:type="spellEnd"/>
      <w:r>
        <w:rPr>
          <w:color w:val="000000" w:themeColor="text1"/>
          <w:lang w:val="en-US"/>
        </w:rPr>
        <w:t xml:space="preserve"> </w:t>
      </w:r>
      <w:proofErr w:type="spellStart"/>
      <w:r>
        <w:rPr>
          <w:color w:val="000000" w:themeColor="text1"/>
          <w:lang w:val="en-US"/>
        </w:rPr>
        <w:t>secara</w:t>
      </w:r>
      <w:proofErr w:type="spellEnd"/>
      <w:r>
        <w:rPr>
          <w:color w:val="000000" w:themeColor="text1"/>
          <w:lang w:val="en-US"/>
        </w:rPr>
        <w:t xml:space="preserve"> </w:t>
      </w:r>
      <w:proofErr w:type="spellStart"/>
      <w:r>
        <w:rPr>
          <w:color w:val="000000" w:themeColor="text1"/>
          <w:lang w:val="en-US"/>
        </w:rPr>
        <w:t>intravena</w:t>
      </w:r>
      <w:proofErr w:type="spellEnd"/>
      <w:r>
        <w:rPr>
          <w:color w:val="000000" w:themeColor="text1"/>
          <w:lang w:val="en-US"/>
        </w:rPr>
        <w:t xml:space="preserve">. Pasien juga </w:t>
      </w:r>
      <w:proofErr w:type="spellStart"/>
      <w:r>
        <w:rPr>
          <w:color w:val="000000" w:themeColor="text1"/>
          <w:lang w:val="en-US"/>
        </w:rPr>
        <w:t>akan</w:t>
      </w:r>
      <w:proofErr w:type="spellEnd"/>
      <w:r>
        <w:rPr>
          <w:color w:val="000000" w:themeColor="text1"/>
          <w:lang w:val="en-US"/>
        </w:rPr>
        <w:t xml:space="preserve"> </w:t>
      </w:r>
      <w:proofErr w:type="spellStart"/>
      <w:r>
        <w:rPr>
          <w:color w:val="000000" w:themeColor="text1"/>
          <w:lang w:val="en-US"/>
        </w:rPr>
        <w:t>diberikan</w:t>
      </w:r>
      <w:proofErr w:type="spellEnd"/>
      <w:r>
        <w:rPr>
          <w:color w:val="000000" w:themeColor="text1"/>
          <w:lang w:val="id-ID"/>
        </w:rPr>
        <w:t xml:space="preserve"> selimut, kasur yang hangat, dan pemberian cairan intravena yang sudah dihangatkan</w:t>
      </w:r>
      <w:r>
        <w:rPr>
          <w:color w:val="000000" w:themeColor="text1"/>
          <w:lang w:val="en-US"/>
        </w:rPr>
        <w:t xml:space="preserve"> selama operasi.</w:t>
      </w:r>
      <w:r>
        <w:rPr>
          <w:color w:val="202124"/>
          <w:lang w:val="en-US"/>
        </w:rPr>
        <w:t xml:space="preserve"> </w:t>
      </w:r>
      <w:proofErr w:type="spellStart"/>
      <w:r>
        <w:rPr>
          <w:color w:val="000000" w:themeColor="text1"/>
          <w:lang w:val="en-US" w:eastAsia="zh-CN"/>
        </w:rPr>
        <w:t>Sebelum</w:t>
      </w:r>
      <w:proofErr w:type="spellEnd"/>
      <w:r>
        <w:rPr>
          <w:color w:val="000000" w:themeColor="text1"/>
          <w:lang w:val="en-US" w:eastAsia="zh-CN"/>
        </w:rPr>
        <w:t xml:space="preserve"> </w:t>
      </w:r>
      <w:proofErr w:type="spellStart"/>
      <w:r>
        <w:rPr>
          <w:color w:val="000000" w:themeColor="text1"/>
          <w:lang w:val="en-US" w:eastAsia="zh-CN"/>
        </w:rPr>
        <w:t>selang</w:t>
      </w:r>
      <w:proofErr w:type="spellEnd"/>
      <w:r>
        <w:rPr>
          <w:color w:val="000000" w:themeColor="text1"/>
          <w:lang w:val="en-US" w:eastAsia="zh-CN"/>
        </w:rPr>
        <w:t xml:space="preserve"> </w:t>
      </w:r>
      <w:proofErr w:type="spellStart"/>
      <w:r>
        <w:rPr>
          <w:color w:val="000000" w:themeColor="text1"/>
          <w:lang w:val="en-US" w:eastAsia="zh-CN"/>
        </w:rPr>
        <w:lastRenderedPageBreak/>
        <w:t>nafas</w:t>
      </w:r>
      <w:proofErr w:type="spellEnd"/>
      <w:r>
        <w:rPr>
          <w:color w:val="000000" w:themeColor="text1"/>
          <w:lang w:val="en-US" w:eastAsia="zh-CN"/>
        </w:rPr>
        <w:t xml:space="preserve"> </w:t>
      </w:r>
      <w:proofErr w:type="spellStart"/>
      <w:r>
        <w:rPr>
          <w:color w:val="000000" w:themeColor="text1"/>
          <w:lang w:val="en-US" w:eastAsia="zh-CN"/>
        </w:rPr>
        <w:t>dicabut</w:t>
      </w:r>
      <w:proofErr w:type="spellEnd"/>
      <w:r>
        <w:rPr>
          <w:color w:val="000000" w:themeColor="text1"/>
          <w:lang w:val="en-US" w:eastAsia="zh-CN"/>
        </w:rPr>
        <w:t xml:space="preserve"> (</w:t>
      </w:r>
      <w:proofErr w:type="spellStart"/>
      <w:r>
        <w:rPr>
          <w:color w:val="000000" w:themeColor="text1"/>
          <w:lang w:val="en-US" w:eastAsia="zh-CN"/>
        </w:rPr>
        <w:t>ekstubasi</w:t>
      </w:r>
      <w:proofErr w:type="spellEnd"/>
      <w:r>
        <w:rPr>
          <w:color w:val="000000" w:themeColor="text1"/>
          <w:lang w:val="en-US" w:eastAsia="zh-CN"/>
        </w:rPr>
        <w:t xml:space="preserve">), pada </w:t>
      </w:r>
      <w:r>
        <w:rPr>
          <w:color w:val="000000" w:themeColor="text1"/>
          <w:lang w:val="en-US"/>
        </w:rPr>
        <w:t xml:space="preserve">salah </w:t>
      </w:r>
      <w:proofErr w:type="spellStart"/>
      <w:r>
        <w:rPr>
          <w:color w:val="000000" w:themeColor="text1"/>
          <w:lang w:val="en-US"/>
        </w:rPr>
        <w:t>satu</w:t>
      </w:r>
      <w:proofErr w:type="spellEnd"/>
      <w:r>
        <w:rPr>
          <w:color w:val="000000" w:themeColor="text1"/>
          <w:lang w:val="en-US"/>
        </w:rPr>
        <w:t xml:space="preserve"> </w:t>
      </w:r>
      <w:proofErr w:type="spellStart"/>
      <w:r>
        <w:rPr>
          <w:color w:val="000000" w:themeColor="text1"/>
          <w:lang w:val="en-US"/>
        </w:rPr>
        <w:t>kelompok</w:t>
      </w:r>
      <w:proofErr w:type="spellEnd"/>
      <w:r>
        <w:rPr>
          <w:color w:val="000000" w:themeColor="text1"/>
          <w:lang w:val="en-US"/>
        </w:rPr>
        <w:t xml:space="preserve"> pasien </w:t>
      </w:r>
      <w:proofErr w:type="spellStart"/>
      <w:r>
        <w:rPr>
          <w:color w:val="000000" w:themeColor="text1"/>
          <w:lang w:val="en-US"/>
        </w:rPr>
        <w:t>dilakukan</w:t>
      </w:r>
      <w:proofErr w:type="spellEnd"/>
      <w:r>
        <w:rPr>
          <w:color w:val="000000" w:themeColor="text1"/>
          <w:lang w:val="en-US"/>
        </w:rPr>
        <w:t xml:space="preserve"> </w:t>
      </w:r>
      <w:proofErr w:type="spellStart"/>
      <w:r>
        <w:rPr>
          <w:color w:val="000000" w:themeColor="text1"/>
          <w:lang w:val="en-US"/>
        </w:rPr>
        <w:t>pemberian</w:t>
      </w:r>
      <w:proofErr w:type="spellEnd"/>
      <w:r>
        <w:rPr>
          <w:color w:val="000000" w:themeColor="text1"/>
          <w:lang w:val="en-US"/>
        </w:rPr>
        <w:t xml:space="preserve"> </w:t>
      </w:r>
      <w:proofErr w:type="spellStart"/>
      <w:r>
        <w:rPr>
          <w:color w:val="000000" w:themeColor="text1"/>
          <w:lang w:val="en-US"/>
        </w:rPr>
        <w:t>blok</w:t>
      </w:r>
      <w:proofErr w:type="spellEnd"/>
      <w:r>
        <w:rPr>
          <w:color w:val="000000" w:themeColor="text1"/>
          <w:lang w:val="en-US"/>
        </w:rPr>
        <w:t xml:space="preserve"> </w:t>
      </w:r>
      <w:proofErr w:type="spellStart"/>
      <w:r>
        <w:rPr>
          <w:color w:val="000000" w:themeColor="text1"/>
          <w:lang w:val="en-US"/>
        </w:rPr>
        <w:t>peritonsiler</w:t>
      </w:r>
      <w:proofErr w:type="spellEnd"/>
      <w:r>
        <w:rPr>
          <w:color w:val="000000" w:themeColor="text1"/>
          <w:lang w:val="en-US"/>
        </w:rPr>
        <w:t xml:space="preserve"> dengan </w:t>
      </w:r>
      <w:proofErr w:type="spellStart"/>
      <w:r>
        <w:rPr>
          <w:color w:val="000000" w:themeColor="text1"/>
          <w:lang w:val="en-US"/>
        </w:rPr>
        <w:t>agen</w:t>
      </w:r>
      <w:proofErr w:type="spellEnd"/>
      <w:r>
        <w:rPr>
          <w:color w:val="000000" w:themeColor="text1"/>
          <w:lang w:val="en-US"/>
        </w:rPr>
        <w:t xml:space="preserve"> levobupivacaine </w:t>
      </w:r>
      <w:proofErr w:type="spellStart"/>
      <w:r>
        <w:rPr>
          <w:color w:val="000000" w:themeColor="text1"/>
          <w:lang w:val="en-US"/>
        </w:rPr>
        <w:t>isobarik</w:t>
      </w:r>
      <w:proofErr w:type="spellEnd"/>
      <w:r>
        <w:rPr>
          <w:color w:val="000000" w:themeColor="text1"/>
          <w:lang w:val="en-US"/>
        </w:rPr>
        <w:t xml:space="preserve"> 0,125%. </w:t>
      </w:r>
      <w:proofErr w:type="spellStart"/>
      <w:r>
        <w:rPr>
          <w:color w:val="000000" w:themeColor="text1"/>
          <w:lang w:val="en-US"/>
        </w:rPr>
        <w:t>Setelah</w:t>
      </w:r>
      <w:proofErr w:type="spellEnd"/>
      <w:r>
        <w:rPr>
          <w:color w:val="000000" w:themeColor="text1"/>
          <w:lang w:val="en-US"/>
        </w:rPr>
        <w:t xml:space="preserve"> operasi </w:t>
      </w:r>
      <w:proofErr w:type="spellStart"/>
      <w:r>
        <w:rPr>
          <w:color w:val="000000" w:themeColor="text1"/>
          <w:lang w:val="en-US"/>
        </w:rPr>
        <w:t>selesai</w:t>
      </w:r>
      <w:proofErr w:type="spellEnd"/>
      <w:r>
        <w:rPr>
          <w:color w:val="000000" w:themeColor="text1"/>
          <w:lang w:val="en-US"/>
        </w:rPr>
        <w:t xml:space="preserve"> pasien </w:t>
      </w:r>
      <w:proofErr w:type="spellStart"/>
      <w:proofErr w:type="gramStart"/>
      <w:r>
        <w:rPr>
          <w:color w:val="000000" w:themeColor="text1"/>
          <w:lang w:val="en-US"/>
        </w:rPr>
        <w:t>akan</w:t>
      </w:r>
      <w:proofErr w:type="spellEnd"/>
      <w:r>
        <w:rPr>
          <w:color w:val="000000" w:themeColor="text1"/>
          <w:lang w:val="en-US"/>
        </w:rPr>
        <w:t xml:space="preserve">  </w:t>
      </w:r>
      <w:proofErr w:type="spellStart"/>
      <w:r>
        <w:rPr>
          <w:color w:val="000000" w:themeColor="text1"/>
          <w:lang w:val="en-US"/>
        </w:rPr>
        <w:t>diantar</w:t>
      </w:r>
      <w:proofErr w:type="spellEnd"/>
      <w:proofErr w:type="gramEnd"/>
      <w:r>
        <w:rPr>
          <w:color w:val="000000" w:themeColor="text1"/>
          <w:lang w:val="en-US"/>
        </w:rPr>
        <w:t xml:space="preserve"> ke </w:t>
      </w:r>
      <w:proofErr w:type="spellStart"/>
      <w:r>
        <w:rPr>
          <w:color w:val="000000" w:themeColor="text1"/>
          <w:lang w:val="en-US"/>
        </w:rPr>
        <w:t>ruangan</w:t>
      </w:r>
      <w:proofErr w:type="spellEnd"/>
      <w:r>
        <w:rPr>
          <w:color w:val="000000" w:themeColor="text1"/>
          <w:lang w:val="en-US"/>
        </w:rPr>
        <w:t xml:space="preserve"> </w:t>
      </w:r>
      <w:r>
        <w:rPr>
          <w:i/>
          <w:color w:val="000000" w:themeColor="text1"/>
          <w:lang w:val="en-US"/>
        </w:rPr>
        <w:t xml:space="preserve">Post Anesthesia Care Unit </w:t>
      </w:r>
      <w:r>
        <w:rPr>
          <w:color w:val="000000" w:themeColor="text1"/>
          <w:lang w:val="en-US"/>
        </w:rPr>
        <w:t xml:space="preserve">(PACU), </w:t>
      </w:r>
      <w:proofErr w:type="spellStart"/>
      <w:r>
        <w:rPr>
          <w:color w:val="000000" w:themeColor="text1"/>
          <w:lang w:val="en-US"/>
        </w:rPr>
        <w:t>kemudian</w:t>
      </w:r>
      <w:proofErr w:type="spellEnd"/>
      <w:r>
        <w:rPr>
          <w:color w:val="000000" w:themeColor="text1"/>
          <w:lang w:val="en-US"/>
        </w:rPr>
        <w:t xml:space="preserve"> </w:t>
      </w:r>
      <w:proofErr w:type="spellStart"/>
      <w:r>
        <w:rPr>
          <w:color w:val="000000" w:themeColor="text1"/>
          <w:lang w:val="en-US"/>
        </w:rPr>
        <w:t>dipasangkan</w:t>
      </w:r>
      <w:proofErr w:type="spellEnd"/>
      <w:r>
        <w:rPr>
          <w:color w:val="000000" w:themeColor="text1"/>
          <w:lang w:val="en-US"/>
        </w:rPr>
        <w:t xml:space="preserve"> monitor (TD, HR, EKG, SpO2, </w:t>
      </w:r>
      <w:proofErr w:type="spellStart"/>
      <w:r>
        <w:rPr>
          <w:color w:val="000000" w:themeColor="text1"/>
          <w:lang w:val="en-US"/>
        </w:rPr>
        <w:t>suhu</w:t>
      </w:r>
      <w:proofErr w:type="spellEnd"/>
      <w:r>
        <w:rPr>
          <w:color w:val="000000" w:themeColor="text1"/>
          <w:lang w:val="en-US"/>
        </w:rPr>
        <w:t xml:space="preserve">). Pasien boleh </w:t>
      </w:r>
      <w:proofErr w:type="spellStart"/>
      <w:r>
        <w:rPr>
          <w:color w:val="000000" w:themeColor="text1"/>
          <w:lang w:val="en-US"/>
        </w:rPr>
        <w:t>makan</w:t>
      </w:r>
      <w:proofErr w:type="spellEnd"/>
      <w:r>
        <w:rPr>
          <w:color w:val="000000" w:themeColor="text1"/>
          <w:lang w:val="en-US"/>
        </w:rPr>
        <w:t xml:space="preserve"> dan </w:t>
      </w:r>
      <w:proofErr w:type="spellStart"/>
      <w:r>
        <w:rPr>
          <w:color w:val="000000" w:themeColor="text1"/>
          <w:lang w:val="en-US"/>
        </w:rPr>
        <w:t>minum</w:t>
      </w:r>
      <w:proofErr w:type="spellEnd"/>
      <w:r>
        <w:rPr>
          <w:color w:val="000000" w:themeColor="text1"/>
          <w:lang w:val="en-US"/>
        </w:rPr>
        <w:t xml:space="preserve"> </w:t>
      </w:r>
      <w:proofErr w:type="spellStart"/>
      <w:r>
        <w:rPr>
          <w:color w:val="000000" w:themeColor="text1"/>
          <w:lang w:val="en-US"/>
        </w:rPr>
        <w:t>jika</w:t>
      </w:r>
      <w:proofErr w:type="spellEnd"/>
      <w:r>
        <w:rPr>
          <w:color w:val="000000" w:themeColor="text1"/>
          <w:lang w:val="en-US"/>
        </w:rPr>
        <w:t xml:space="preserve"> pasien </w:t>
      </w:r>
      <w:proofErr w:type="spellStart"/>
      <w:r>
        <w:rPr>
          <w:color w:val="000000" w:themeColor="text1"/>
          <w:lang w:val="en-US"/>
        </w:rPr>
        <w:t>sadar</w:t>
      </w:r>
      <w:proofErr w:type="spellEnd"/>
      <w:r>
        <w:rPr>
          <w:color w:val="000000" w:themeColor="text1"/>
          <w:lang w:val="en-US"/>
        </w:rPr>
        <w:t xml:space="preserve"> </w:t>
      </w:r>
      <w:proofErr w:type="spellStart"/>
      <w:r>
        <w:rPr>
          <w:color w:val="000000" w:themeColor="text1"/>
          <w:lang w:val="en-US"/>
        </w:rPr>
        <w:t>penuh</w:t>
      </w:r>
      <w:proofErr w:type="spellEnd"/>
      <w:r>
        <w:rPr>
          <w:color w:val="000000" w:themeColor="text1"/>
          <w:lang w:val="en-US"/>
        </w:rPr>
        <w:t xml:space="preserve">, tidak </w:t>
      </w:r>
      <w:proofErr w:type="spellStart"/>
      <w:r>
        <w:rPr>
          <w:color w:val="000000" w:themeColor="text1"/>
          <w:lang w:val="en-US"/>
        </w:rPr>
        <w:t>ada</w:t>
      </w:r>
      <w:proofErr w:type="spellEnd"/>
      <w:r>
        <w:rPr>
          <w:color w:val="000000" w:themeColor="text1"/>
          <w:lang w:val="en-US"/>
        </w:rPr>
        <w:t xml:space="preserve"> </w:t>
      </w:r>
      <w:proofErr w:type="spellStart"/>
      <w:r>
        <w:rPr>
          <w:color w:val="000000" w:themeColor="text1"/>
          <w:lang w:val="en-US"/>
        </w:rPr>
        <w:t>perdarahan</w:t>
      </w:r>
      <w:proofErr w:type="spellEnd"/>
      <w:r>
        <w:rPr>
          <w:color w:val="000000" w:themeColor="text1"/>
          <w:lang w:val="en-US"/>
        </w:rPr>
        <w:t xml:space="preserve">, tidak </w:t>
      </w:r>
      <w:proofErr w:type="spellStart"/>
      <w:r>
        <w:rPr>
          <w:color w:val="000000" w:themeColor="text1"/>
          <w:lang w:val="en-US"/>
        </w:rPr>
        <w:t>ada</w:t>
      </w:r>
      <w:proofErr w:type="spellEnd"/>
      <w:r>
        <w:rPr>
          <w:color w:val="000000" w:themeColor="text1"/>
          <w:lang w:val="en-US"/>
        </w:rPr>
        <w:t xml:space="preserve"> </w:t>
      </w:r>
      <w:proofErr w:type="spellStart"/>
      <w:r>
        <w:rPr>
          <w:color w:val="000000" w:themeColor="text1"/>
          <w:lang w:val="en-US"/>
        </w:rPr>
        <w:t>mual</w:t>
      </w:r>
      <w:proofErr w:type="spellEnd"/>
      <w:r>
        <w:rPr>
          <w:color w:val="000000" w:themeColor="text1"/>
          <w:lang w:val="en-US"/>
        </w:rPr>
        <w:t xml:space="preserve"> </w:t>
      </w:r>
      <w:proofErr w:type="spellStart"/>
      <w:r>
        <w:rPr>
          <w:color w:val="000000" w:themeColor="text1"/>
          <w:lang w:val="en-US"/>
        </w:rPr>
        <w:t>muntah</w:t>
      </w:r>
      <w:proofErr w:type="spellEnd"/>
      <w:r>
        <w:rPr>
          <w:color w:val="000000" w:themeColor="text1"/>
          <w:lang w:val="en-US"/>
        </w:rPr>
        <w:t xml:space="preserve"> dan </w:t>
      </w:r>
      <w:proofErr w:type="spellStart"/>
      <w:r>
        <w:rPr>
          <w:color w:val="000000" w:themeColor="text1"/>
          <w:lang w:val="en-US"/>
        </w:rPr>
        <w:t>pergerakkan</w:t>
      </w:r>
      <w:proofErr w:type="spellEnd"/>
      <w:r>
        <w:rPr>
          <w:color w:val="000000" w:themeColor="text1"/>
          <w:lang w:val="en-US"/>
        </w:rPr>
        <w:t xml:space="preserve"> usus normal.</w:t>
      </w:r>
      <w:r>
        <w:rPr>
          <w:color w:val="202124"/>
          <w:lang w:val="en-US"/>
        </w:rPr>
        <w:t xml:space="preserve"> Pasien</w:t>
      </w:r>
      <w:r>
        <w:rPr>
          <w:color w:val="000000" w:themeColor="text1"/>
          <w:lang w:val="en-US"/>
        </w:rPr>
        <w:t xml:space="preserve"> </w:t>
      </w:r>
      <w:proofErr w:type="spellStart"/>
      <w:r>
        <w:rPr>
          <w:color w:val="000000" w:themeColor="text1"/>
          <w:lang w:val="en-US"/>
        </w:rPr>
        <w:t>akan</w:t>
      </w:r>
      <w:proofErr w:type="spellEnd"/>
      <w:r>
        <w:rPr>
          <w:color w:val="000000" w:themeColor="text1"/>
          <w:lang w:val="en-US"/>
        </w:rPr>
        <w:t xml:space="preserve"> </w:t>
      </w:r>
      <w:proofErr w:type="spellStart"/>
      <w:r>
        <w:rPr>
          <w:color w:val="000000" w:themeColor="text1"/>
          <w:lang w:val="en-US"/>
        </w:rPr>
        <w:t>diberikan</w:t>
      </w:r>
      <w:proofErr w:type="spellEnd"/>
      <w:r>
        <w:rPr>
          <w:color w:val="000000" w:themeColor="text1"/>
          <w:lang w:val="en-US"/>
        </w:rPr>
        <w:t xml:space="preserve"> </w:t>
      </w:r>
      <w:proofErr w:type="spellStart"/>
      <w:r>
        <w:rPr>
          <w:color w:val="000000" w:themeColor="text1"/>
          <w:lang w:val="en-US"/>
        </w:rPr>
        <w:t>tatalaksana</w:t>
      </w:r>
      <w:proofErr w:type="spellEnd"/>
      <w:r>
        <w:rPr>
          <w:color w:val="000000" w:themeColor="text1"/>
          <w:lang w:val="en-US"/>
        </w:rPr>
        <w:t xml:space="preserve"> </w:t>
      </w:r>
      <w:proofErr w:type="spellStart"/>
      <w:r>
        <w:rPr>
          <w:color w:val="000000" w:themeColor="text1"/>
          <w:lang w:val="en-US"/>
        </w:rPr>
        <w:t>nyeri</w:t>
      </w:r>
      <w:proofErr w:type="spellEnd"/>
      <w:r>
        <w:rPr>
          <w:color w:val="000000" w:themeColor="text1"/>
          <w:lang w:val="en-US"/>
        </w:rPr>
        <w:t xml:space="preserve"> </w:t>
      </w:r>
      <w:proofErr w:type="spellStart"/>
      <w:r>
        <w:rPr>
          <w:color w:val="000000" w:themeColor="text1"/>
          <w:lang w:val="en-US"/>
        </w:rPr>
        <w:t>setelah</w:t>
      </w:r>
      <w:proofErr w:type="spellEnd"/>
      <w:r>
        <w:rPr>
          <w:color w:val="000000" w:themeColor="text1"/>
          <w:lang w:val="en-US"/>
        </w:rPr>
        <w:t xml:space="preserve"> operasi dengan paracetamol dan ibuprofen.</w:t>
      </w:r>
    </w:p>
    <w:p w14:paraId="4DB4E219" w14:textId="77777777" w:rsidR="00D72714" w:rsidRDefault="00D72714" w:rsidP="00D72714">
      <w:pPr>
        <w:spacing w:line="360" w:lineRule="auto"/>
        <w:ind w:right="66" w:firstLine="851"/>
        <w:jc w:val="both"/>
        <w:rPr>
          <w:color w:val="202124"/>
          <w:lang w:val="en-US"/>
        </w:rPr>
      </w:pPr>
      <w:r>
        <w:rPr>
          <w:color w:val="000000" w:themeColor="text1"/>
          <w:lang w:val="en-US"/>
        </w:rPr>
        <w:t xml:space="preserve">Saya </w:t>
      </w:r>
      <w:proofErr w:type="spellStart"/>
      <w:r>
        <w:rPr>
          <w:color w:val="000000" w:themeColor="text1"/>
          <w:lang w:val="en-US"/>
        </w:rPr>
        <w:t>akan</w:t>
      </w:r>
      <w:proofErr w:type="spellEnd"/>
      <w:r>
        <w:rPr>
          <w:color w:val="000000" w:themeColor="text1"/>
          <w:lang w:val="en-US"/>
        </w:rPr>
        <w:t xml:space="preserve"> </w:t>
      </w:r>
      <w:proofErr w:type="spellStart"/>
      <w:r>
        <w:rPr>
          <w:color w:val="000000" w:themeColor="text1"/>
          <w:lang w:val="en-US"/>
        </w:rPr>
        <w:t>melakukan</w:t>
      </w:r>
      <w:proofErr w:type="spellEnd"/>
      <w:r>
        <w:rPr>
          <w:color w:val="000000" w:themeColor="text1"/>
          <w:lang w:val="en-US"/>
        </w:rPr>
        <w:t xml:space="preserve"> </w:t>
      </w:r>
      <w:proofErr w:type="spellStart"/>
      <w:r>
        <w:rPr>
          <w:color w:val="000000" w:themeColor="text1"/>
          <w:lang w:val="en-US"/>
        </w:rPr>
        <w:t>pengamatan</w:t>
      </w:r>
      <w:proofErr w:type="spellEnd"/>
      <w:r>
        <w:rPr>
          <w:color w:val="000000" w:themeColor="text1"/>
          <w:lang w:val="en-US"/>
        </w:rPr>
        <w:t xml:space="preserve"> </w:t>
      </w:r>
      <w:proofErr w:type="spellStart"/>
      <w:r>
        <w:rPr>
          <w:color w:val="000000" w:themeColor="text1"/>
          <w:lang w:val="en-US"/>
        </w:rPr>
        <w:t>intensitas</w:t>
      </w:r>
      <w:proofErr w:type="spellEnd"/>
      <w:r>
        <w:rPr>
          <w:color w:val="000000" w:themeColor="text1"/>
          <w:lang w:val="en-US"/>
        </w:rPr>
        <w:t xml:space="preserve"> </w:t>
      </w:r>
      <w:proofErr w:type="spellStart"/>
      <w:r>
        <w:rPr>
          <w:color w:val="000000" w:themeColor="text1"/>
          <w:lang w:val="en-US"/>
        </w:rPr>
        <w:t>nyeri</w:t>
      </w:r>
      <w:proofErr w:type="spellEnd"/>
      <w:r>
        <w:rPr>
          <w:color w:val="000000" w:themeColor="text1"/>
          <w:lang w:val="en-US"/>
        </w:rPr>
        <w:t xml:space="preserve"> pada pasien, saat </w:t>
      </w:r>
      <w:proofErr w:type="spellStart"/>
      <w:r>
        <w:rPr>
          <w:color w:val="000000" w:themeColor="text1"/>
          <w:lang w:val="en-US"/>
        </w:rPr>
        <w:t>kondisi</w:t>
      </w:r>
      <w:proofErr w:type="spellEnd"/>
      <w:r>
        <w:rPr>
          <w:color w:val="000000" w:themeColor="text1"/>
          <w:lang w:val="en-US"/>
        </w:rPr>
        <w:t xml:space="preserve"> pasien diam dan </w:t>
      </w:r>
      <w:proofErr w:type="spellStart"/>
      <w:r>
        <w:rPr>
          <w:color w:val="000000" w:themeColor="text1"/>
          <w:lang w:val="en-US"/>
        </w:rPr>
        <w:t>bergerak</w:t>
      </w:r>
      <w:proofErr w:type="spellEnd"/>
      <w:r>
        <w:rPr>
          <w:color w:val="000000" w:themeColor="text1"/>
          <w:lang w:val="en-US"/>
        </w:rPr>
        <w:t xml:space="preserve"> pada jam ke 2, 4,</w:t>
      </w:r>
      <w:r>
        <w:rPr>
          <w:color w:val="000000" w:themeColor="text1"/>
          <w:lang w:val="id-ID"/>
        </w:rPr>
        <w:t xml:space="preserve"> 6, 8, 12, </w:t>
      </w:r>
      <w:r>
        <w:rPr>
          <w:color w:val="000000" w:themeColor="text1"/>
          <w:lang w:val="en-US"/>
        </w:rPr>
        <w:t xml:space="preserve">dan </w:t>
      </w:r>
      <w:r>
        <w:rPr>
          <w:color w:val="000000" w:themeColor="text1"/>
          <w:lang w:val="id-ID"/>
        </w:rPr>
        <w:t xml:space="preserve">24 </w:t>
      </w:r>
      <w:r>
        <w:rPr>
          <w:color w:val="000000" w:themeColor="text1"/>
          <w:lang w:val="en-US"/>
        </w:rPr>
        <w:t xml:space="preserve">jam </w:t>
      </w:r>
      <w:proofErr w:type="spellStart"/>
      <w:r>
        <w:rPr>
          <w:color w:val="000000" w:themeColor="text1"/>
          <w:lang w:val="en-US"/>
        </w:rPr>
        <w:t>setelah</w:t>
      </w:r>
      <w:proofErr w:type="spellEnd"/>
      <w:r>
        <w:rPr>
          <w:color w:val="000000" w:themeColor="text1"/>
          <w:lang w:val="en-US"/>
        </w:rPr>
        <w:t xml:space="preserve"> operasi, dengan </w:t>
      </w:r>
      <w:proofErr w:type="spellStart"/>
      <w:r>
        <w:rPr>
          <w:color w:val="000000" w:themeColor="text1"/>
          <w:lang w:val="en-US"/>
        </w:rPr>
        <w:t>menggunakan</w:t>
      </w:r>
      <w:proofErr w:type="spellEnd"/>
      <w:r>
        <w:rPr>
          <w:color w:val="000000" w:themeColor="text1"/>
          <w:lang w:val="en-US"/>
        </w:rPr>
        <w:t xml:space="preserve"> </w:t>
      </w:r>
      <w:proofErr w:type="spellStart"/>
      <w:r>
        <w:rPr>
          <w:color w:val="000000" w:themeColor="text1"/>
          <w:lang w:val="en-US"/>
        </w:rPr>
        <w:t>skala</w:t>
      </w:r>
      <w:proofErr w:type="spellEnd"/>
      <w:r>
        <w:rPr>
          <w:color w:val="000000" w:themeColor="text1"/>
          <w:lang w:val="en-US"/>
        </w:rPr>
        <w:t xml:space="preserve"> </w:t>
      </w:r>
      <w:r>
        <w:rPr>
          <w:i/>
          <w:color w:val="000000" w:themeColor="text1"/>
          <w:lang w:val="en-US"/>
        </w:rPr>
        <w:t xml:space="preserve">Numeric Rating Scale </w:t>
      </w:r>
      <w:r>
        <w:rPr>
          <w:color w:val="000000" w:themeColor="text1"/>
          <w:lang w:val="en-US"/>
        </w:rPr>
        <w:t xml:space="preserve">(NRS) dan </w:t>
      </w:r>
      <w:proofErr w:type="spellStart"/>
      <w:r>
        <w:rPr>
          <w:color w:val="000000" w:themeColor="text1"/>
          <w:lang w:val="en-US"/>
        </w:rPr>
        <w:t>hasilnya</w:t>
      </w:r>
      <w:proofErr w:type="spellEnd"/>
      <w:r>
        <w:rPr>
          <w:color w:val="000000" w:themeColor="text1"/>
          <w:lang w:val="en-US"/>
        </w:rPr>
        <w:t xml:space="preserve"> </w:t>
      </w:r>
      <w:proofErr w:type="spellStart"/>
      <w:r>
        <w:rPr>
          <w:color w:val="000000" w:themeColor="text1"/>
          <w:lang w:val="en-US"/>
        </w:rPr>
        <w:t>dicatat</w:t>
      </w:r>
      <w:proofErr w:type="spellEnd"/>
      <w:r>
        <w:rPr>
          <w:color w:val="000000" w:themeColor="text1"/>
          <w:lang w:val="en-US"/>
        </w:rPr>
        <w:t xml:space="preserve"> pada </w:t>
      </w:r>
      <w:proofErr w:type="spellStart"/>
      <w:r>
        <w:rPr>
          <w:color w:val="000000" w:themeColor="text1"/>
          <w:lang w:val="en-US"/>
        </w:rPr>
        <w:t>lembar</w:t>
      </w:r>
      <w:proofErr w:type="spellEnd"/>
      <w:r>
        <w:rPr>
          <w:color w:val="000000" w:themeColor="text1"/>
          <w:lang w:val="en-US"/>
        </w:rPr>
        <w:t xml:space="preserve"> </w:t>
      </w:r>
      <w:proofErr w:type="spellStart"/>
      <w:r>
        <w:rPr>
          <w:color w:val="000000" w:themeColor="text1"/>
          <w:lang w:val="en-US"/>
        </w:rPr>
        <w:t>observasi</w:t>
      </w:r>
      <w:proofErr w:type="spellEnd"/>
      <w:r>
        <w:rPr>
          <w:color w:val="000000" w:themeColor="text1"/>
          <w:lang w:val="en-US"/>
        </w:rPr>
        <w:t xml:space="preserve">. Nyeri yang </w:t>
      </w:r>
      <w:proofErr w:type="spellStart"/>
      <w:r>
        <w:rPr>
          <w:color w:val="000000" w:themeColor="text1"/>
          <w:lang w:val="en-US"/>
        </w:rPr>
        <w:t>dirasakan</w:t>
      </w:r>
      <w:proofErr w:type="spellEnd"/>
      <w:r>
        <w:rPr>
          <w:color w:val="000000" w:themeColor="text1"/>
          <w:lang w:val="en-US"/>
        </w:rPr>
        <w:t xml:space="preserve"> oleh pasien, Saya </w:t>
      </w:r>
      <w:proofErr w:type="spellStart"/>
      <w:r>
        <w:rPr>
          <w:color w:val="000000" w:themeColor="text1"/>
          <w:lang w:val="en-US"/>
        </w:rPr>
        <w:t>akan</w:t>
      </w:r>
      <w:proofErr w:type="spellEnd"/>
      <w:r>
        <w:rPr>
          <w:color w:val="000000" w:themeColor="text1"/>
          <w:lang w:val="en-US"/>
        </w:rPr>
        <w:t xml:space="preserve"> </w:t>
      </w:r>
      <w:proofErr w:type="spellStart"/>
      <w:r>
        <w:rPr>
          <w:color w:val="000000" w:themeColor="text1"/>
          <w:lang w:val="en-US"/>
        </w:rPr>
        <w:t>memberikan</w:t>
      </w:r>
      <w:proofErr w:type="spellEnd"/>
      <w:r>
        <w:rPr>
          <w:color w:val="000000" w:themeColor="text1"/>
          <w:lang w:val="en-US"/>
        </w:rPr>
        <w:t xml:space="preserve"> anti </w:t>
      </w:r>
      <w:proofErr w:type="spellStart"/>
      <w:r>
        <w:rPr>
          <w:color w:val="000000" w:themeColor="text1"/>
          <w:lang w:val="en-US"/>
        </w:rPr>
        <w:t>nyeri</w:t>
      </w:r>
      <w:proofErr w:type="spellEnd"/>
      <w:r>
        <w:rPr>
          <w:color w:val="000000" w:themeColor="text1"/>
          <w:lang w:val="en-US"/>
        </w:rPr>
        <w:t xml:space="preserve"> </w:t>
      </w:r>
      <w:proofErr w:type="spellStart"/>
      <w:r>
        <w:rPr>
          <w:color w:val="000000" w:themeColor="text1"/>
          <w:lang w:val="en-US"/>
        </w:rPr>
        <w:t>tambahan</w:t>
      </w:r>
      <w:proofErr w:type="spellEnd"/>
      <w:r>
        <w:rPr>
          <w:color w:val="000000" w:themeColor="text1"/>
          <w:lang w:val="en-US"/>
        </w:rPr>
        <w:t xml:space="preserve"> pada pasien </w:t>
      </w:r>
      <w:proofErr w:type="spellStart"/>
      <w:r>
        <w:rPr>
          <w:color w:val="000000" w:themeColor="text1"/>
          <w:lang w:val="en-US"/>
        </w:rPr>
        <w:t>jika</w:t>
      </w:r>
      <w:proofErr w:type="spellEnd"/>
      <w:r>
        <w:rPr>
          <w:color w:val="000000" w:themeColor="text1"/>
          <w:lang w:val="en-US"/>
        </w:rPr>
        <w:t xml:space="preserve"> </w:t>
      </w:r>
      <w:proofErr w:type="spellStart"/>
      <w:r>
        <w:rPr>
          <w:color w:val="000000" w:themeColor="text1"/>
          <w:lang w:val="en-US"/>
        </w:rPr>
        <w:t>didapatkan</w:t>
      </w:r>
      <w:proofErr w:type="spellEnd"/>
      <w:r>
        <w:rPr>
          <w:color w:val="000000" w:themeColor="text1"/>
          <w:lang w:val="en-US"/>
        </w:rPr>
        <w:t xml:space="preserve"> </w:t>
      </w:r>
      <w:proofErr w:type="spellStart"/>
      <w:r>
        <w:rPr>
          <w:color w:val="000000" w:themeColor="text1"/>
          <w:lang w:val="en-US"/>
        </w:rPr>
        <w:t>intensitas</w:t>
      </w:r>
      <w:proofErr w:type="spellEnd"/>
      <w:r>
        <w:rPr>
          <w:color w:val="000000" w:themeColor="text1"/>
          <w:lang w:val="en-US"/>
        </w:rPr>
        <w:t xml:space="preserve"> </w:t>
      </w:r>
      <w:proofErr w:type="spellStart"/>
      <w:r>
        <w:rPr>
          <w:color w:val="000000" w:themeColor="text1"/>
          <w:lang w:val="en-US"/>
        </w:rPr>
        <w:t>nyeri</w:t>
      </w:r>
      <w:proofErr w:type="spellEnd"/>
      <w:r>
        <w:rPr>
          <w:color w:val="000000" w:themeColor="text1"/>
          <w:lang w:val="en-US"/>
        </w:rPr>
        <w:t xml:space="preserve"> dengan </w:t>
      </w:r>
      <w:proofErr w:type="spellStart"/>
      <w:r>
        <w:rPr>
          <w:color w:val="000000" w:themeColor="text1"/>
          <w:lang w:val="en-US"/>
        </w:rPr>
        <w:t>nilai</w:t>
      </w:r>
      <w:proofErr w:type="spellEnd"/>
      <w:r>
        <w:rPr>
          <w:color w:val="000000" w:themeColor="text1"/>
          <w:lang w:val="en-US"/>
        </w:rPr>
        <w:t xml:space="preserve"> NRS </w:t>
      </w:r>
      <w:r>
        <w:rPr>
          <w:color w:val="000000" w:themeColor="text1"/>
          <w:u w:val="single"/>
          <w:lang w:val="en-US"/>
        </w:rPr>
        <w:t>&gt;</w:t>
      </w:r>
      <w:r>
        <w:rPr>
          <w:color w:val="000000" w:themeColor="text1"/>
          <w:lang w:val="en-US"/>
        </w:rPr>
        <w:t xml:space="preserve"> 4, </w:t>
      </w:r>
      <w:proofErr w:type="spellStart"/>
      <w:r>
        <w:rPr>
          <w:color w:val="000000" w:themeColor="text1"/>
          <w:lang w:val="en-US"/>
        </w:rPr>
        <w:t>sesuai</w:t>
      </w:r>
      <w:proofErr w:type="spellEnd"/>
      <w:r>
        <w:rPr>
          <w:color w:val="000000" w:themeColor="text1"/>
          <w:lang w:val="en-US"/>
        </w:rPr>
        <w:t xml:space="preserve"> dengan </w:t>
      </w:r>
      <w:proofErr w:type="spellStart"/>
      <w:r>
        <w:rPr>
          <w:color w:val="000000" w:themeColor="text1"/>
          <w:lang w:val="en-US"/>
        </w:rPr>
        <w:t>kebutuhan</w:t>
      </w:r>
      <w:proofErr w:type="spellEnd"/>
      <w:r>
        <w:rPr>
          <w:color w:val="000000" w:themeColor="text1"/>
          <w:lang w:val="en-US"/>
        </w:rPr>
        <w:t xml:space="preserve"> pasien dan </w:t>
      </w:r>
      <w:proofErr w:type="spellStart"/>
      <w:r>
        <w:rPr>
          <w:color w:val="000000" w:themeColor="text1"/>
          <w:lang w:val="en-US"/>
        </w:rPr>
        <w:t>dicatat</w:t>
      </w:r>
      <w:proofErr w:type="spellEnd"/>
      <w:r>
        <w:rPr>
          <w:color w:val="000000" w:themeColor="text1"/>
          <w:lang w:val="en-US"/>
        </w:rPr>
        <w:t xml:space="preserve"> </w:t>
      </w:r>
      <w:proofErr w:type="spellStart"/>
      <w:r>
        <w:rPr>
          <w:color w:val="000000" w:themeColor="text1"/>
          <w:lang w:val="en-US"/>
        </w:rPr>
        <w:t>waktu</w:t>
      </w:r>
      <w:proofErr w:type="spellEnd"/>
      <w:r>
        <w:rPr>
          <w:color w:val="000000" w:themeColor="text1"/>
          <w:lang w:val="en-US"/>
        </w:rPr>
        <w:t xml:space="preserve"> </w:t>
      </w:r>
      <w:proofErr w:type="spellStart"/>
      <w:r>
        <w:rPr>
          <w:color w:val="000000" w:themeColor="text1"/>
          <w:lang w:val="en-US"/>
        </w:rPr>
        <w:t>pertama</w:t>
      </w:r>
      <w:proofErr w:type="spellEnd"/>
      <w:r>
        <w:rPr>
          <w:color w:val="000000" w:themeColor="text1"/>
          <w:lang w:val="en-US"/>
        </w:rPr>
        <w:t xml:space="preserve"> kali </w:t>
      </w:r>
      <w:proofErr w:type="spellStart"/>
      <w:r>
        <w:rPr>
          <w:color w:val="000000" w:themeColor="text1"/>
          <w:lang w:val="en-US"/>
        </w:rPr>
        <w:t>pemberian</w:t>
      </w:r>
      <w:proofErr w:type="spellEnd"/>
      <w:r>
        <w:rPr>
          <w:color w:val="000000" w:themeColor="text1"/>
          <w:lang w:val="en-US"/>
        </w:rPr>
        <w:t xml:space="preserve"> </w:t>
      </w:r>
      <w:r>
        <w:rPr>
          <w:iCs/>
          <w:color w:val="000000" w:themeColor="text1"/>
          <w:lang w:val="en-US"/>
        </w:rPr>
        <w:t>obat</w:t>
      </w:r>
      <w:r>
        <w:rPr>
          <w:color w:val="000000" w:themeColor="text1"/>
          <w:lang w:val="en-US"/>
        </w:rPr>
        <w:t xml:space="preserve"> </w:t>
      </w:r>
      <w:proofErr w:type="spellStart"/>
      <w:r>
        <w:rPr>
          <w:color w:val="000000" w:themeColor="text1"/>
          <w:lang w:val="en-US"/>
        </w:rPr>
        <w:t>tersebut</w:t>
      </w:r>
      <w:proofErr w:type="spellEnd"/>
      <w:r>
        <w:rPr>
          <w:color w:val="000000" w:themeColor="text1"/>
          <w:lang w:val="en-US"/>
        </w:rPr>
        <w:t xml:space="preserve">. </w:t>
      </w:r>
      <w:r>
        <w:rPr>
          <w:color w:val="202124"/>
          <w:lang w:val="en-US"/>
        </w:rPr>
        <w:t xml:space="preserve"> </w:t>
      </w:r>
      <w:r>
        <w:rPr>
          <w:color w:val="000000" w:themeColor="text1"/>
          <w:lang w:val="en-US"/>
        </w:rPr>
        <w:t xml:space="preserve">Saya </w:t>
      </w:r>
      <w:proofErr w:type="spellStart"/>
      <w:r>
        <w:rPr>
          <w:color w:val="000000" w:themeColor="text1"/>
          <w:lang w:val="en-US"/>
        </w:rPr>
        <w:t>akan</w:t>
      </w:r>
      <w:proofErr w:type="spellEnd"/>
      <w:r>
        <w:rPr>
          <w:color w:val="000000" w:themeColor="text1"/>
          <w:lang w:val="en-US"/>
        </w:rPr>
        <w:t xml:space="preserve"> </w:t>
      </w:r>
      <w:proofErr w:type="spellStart"/>
      <w:r>
        <w:rPr>
          <w:color w:val="000000" w:themeColor="text1"/>
          <w:lang w:val="en-US"/>
        </w:rPr>
        <w:t>melakukan</w:t>
      </w:r>
      <w:proofErr w:type="spellEnd"/>
      <w:r>
        <w:rPr>
          <w:color w:val="000000" w:themeColor="text1"/>
          <w:lang w:val="en-US"/>
        </w:rPr>
        <w:t xml:space="preserve"> </w:t>
      </w:r>
      <w:proofErr w:type="spellStart"/>
      <w:r>
        <w:rPr>
          <w:color w:val="000000" w:themeColor="text1"/>
          <w:lang w:val="en-US"/>
        </w:rPr>
        <w:t>pengambilan</w:t>
      </w:r>
      <w:proofErr w:type="spellEnd"/>
      <w:r>
        <w:rPr>
          <w:color w:val="000000" w:themeColor="text1"/>
          <w:lang w:val="en-US"/>
        </w:rPr>
        <w:t xml:space="preserve"> </w:t>
      </w:r>
      <w:proofErr w:type="spellStart"/>
      <w:r>
        <w:rPr>
          <w:color w:val="000000" w:themeColor="text1"/>
          <w:lang w:val="en-US"/>
        </w:rPr>
        <w:t>sampel</w:t>
      </w:r>
      <w:proofErr w:type="spellEnd"/>
      <w:r>
        <w:rPr>
          <w:color w:val="000000" w:themeColor="text1"/>
          <w:lang w:val="en-US"/>
        </w:rPr>
        <w:t xml:space="preserve"> darah pada pasien </w:t>
      </w:r>
      <w:proofErr w:type="spellStart"/>
      <w:r>
        <w:rPr>
          <w:color w:val="000000" w:themeColor="text1"/>
          <w:lang w:val="en-US"/>
        </w:rPr>
        <w:t>sebanyak</w:t>
      </w:r>
      <w:proofErr w:type="spellEnd"/>
      <w:r>
        <w:rPr>
          <w:color w:val="000000" w:themeColor="text1"/>
          <w:lang w:val="en-US"/>
        </w:rPr>
        <w:t xml:space="preserve"> 2 kali untuk </w:t>
      </w:r>
      <w:proofErr w:type="spellStart"/>
      <w:r>
        <w:rPr>
          <w:color w:val="000000" w:themeColor="text1"/>
          <w:lang w:val="en-US"/>
        </w:rPr>
        <w:t>dilakukan</w:t>
      </w:r>
      <w:proofErr w:type="spellEnd"/>
      <w:r>
        <w:rPr>
          <w:color w:val="000000" w:themeColor="text1"/>
          <w:lang w:val="en-US"/>
        </w:rPr>
        <w:t xml:space="preserve"> </w:t>
      </w:r>
      <w:proofErr w:type="spellStart"/>
      <w:r>
        <w:rPr>
          <w:color w:val="000000" w:themeColor="text1"/>
          <w:lang w:val="en-US"/>
        </w:rPr>
        <w:t>pemeriksaan</w:t>
      </w:r>
      <w:proofErr w:type="spellEnd"/>
      <w:r>
        <w:rPr>
          <w:color w:val="000000" w:themeColor="text1"/>
          <w:lang w:val="en-US"/>
        </w:rPr>
        <w:t xml:space="preserve"> Interleukin-6 </w:t>
      </w:r>
      <w:proofErr w:type="spellStart"/>
      <w:r>
        <w:rPr>
          <w:color w:val="000000" w:themeColor="text1"/>
          <w:lang w:val="en-US"/>
        </w:rPr>
        <w:t>sebelum</w:t>
      </w:r>
      <w:proofErr w:type="spellEnd"/>
      <w:r>
        <w:rPr>
          <w:color w:val="000000" w:themeColor="text1"/>
          <w:lang w:val="en-US"/>
        </w:rPr>
        <w:t xml:space="preserve"> </w:t>
      </w:r>
      <w:proofErr w:type="spellStart"/>
      <w:r>
        <w:rPr>
          <w:color w:val="000000" w:themeColor="text1"/>
          <w:lang w:val="en-US"/>
        </w:rPr>
        <w:t>dilakukan</w:t>
      </w:r>
      <w:proofErr w:type="spellEnd"/>
      <w:r>
        <w:rPr>
          <w:color w:val="000000" w:themeColor="text1"/>
          <w:lang w:val="en-US"/>
        </w:rPr>
        <w:t xml:space="preserve"> </w:t>
      </w:r>
      <w:proofErr w:type="spellStart"/>
      <w:r>
        <w:rPr>
          <w:color w:val="000000" w:themeColor="text1"/>
          <w:lang w:val="en-US"/>
        </w:rPr>
        <w:t>anestesi</w:t>
      </w:r>
      <w:proofErr w:type="spellEnd"/>
      <w:r>
        <w:rPr>
          <w:color w:val="000000" w:themeColor="text1"/>
          <w:lang w:val="en-US"/>
        </w:rPr>
        <w:t xml:space="preserve"> </w:t>
      </w:r>
      <w:proofErr w:type="spellStart"/>
      <w:r>
        <w:rPr>
          <w:color w:val="000000" w:themeColor="text1"/>
          <w:lang w:val="en-US"/>
        </w:rPr>
        <w:t>umum</w:t>
      </w:r>
      <w:proofErr w:type="spellEnd"/>
      <w:r>
        <w:rPr>
          <w:color w:val="000000" w:themeColor="text1"/>
          <w:lang w:val="en-US"/>
        </w:rPr>
        <w:t xml:space="preserve"> dan   jam ke-12 </w:t>
      </w:r>
      <w:proofErr w:type="spellStart"/>
      <w:r>
        <w:rPr>
          <w:color w:val="000000" w:themeColor="text1"/>
          <w:lang w:val="en-US"/>
        </w:rPr>
        <w:t>pascabedah</w:t>
      </w:r>
      <w:proofErr w:type="spellEnd"/>
      <w:r>
        <w:rPr>
          <w:color w:val="000000" w:themeColor="text1"/>
          <w:lang w:val="en-US"/>
        </w:rPr>
        <w:t>.</w:t>
      </w:r>
    </w:p>
    <w:p w14:paraId="2F52BB21" w14:textId="77777777" w:rsidR="00D72714" w:rsidRDefault="00D72714" w:rsidP="00D72714">
      <w:pPr>
        <w:spacing w:line="360" w:lineRule="auto"/>
        <w:ind w:right="66" w:firstLine="851"/>
        <w:jc w:val="both"/>
        <w:rPr>
          <w:color w:val="202124"/>
          <w:lang w:val="id-ID"/>
        </w:rPr>
      </w:pPr>
      <w:r>
        <w:rPr>
          <w:color w:val="202124"/>
          <w:lang w:val="id-ID"/>
        </w:rPr>
        <w:t xml:space="preserve">Partisipasi </w:t>
      </w:r>
      <w:r>
        <w:rPr>
          <w:color w:val="202124"/>
          <w:lang w:val="en-US"/>
        </w:rPr>
        <w:t>pasien</w:t>
      </w:r>
      <w:r>
        <w:rPr>
          <w:color w:val="202124"/>
          <w:lang w:val="id-ID"/>
        </w:rPr>
        <w:t xml:space="preserve"> dalam penelitian ini sepenuhnya bersifat sukarela. Tidak ada</w:t>
      </w:r>
      <w:r>
        <w:rPr>
          <w:color w:val="202124"/>
          <w:spacing w:val="1"/>
          <w:lang w:val="id-ID"/>
        </w:rPr>
        <w:t xml:space="preserve"> </w:t>
      </w:r>
      <w:r>
        <w:rPr>
          <w:color w:val="202124"/>
          <w:lang w:val="id-ID"/>
        </w:rPr>
        <w:t>sanksi</w:t>
      </w:r>
      <w:r>
        <w:rPr>
          <w:color w:val="202124"/>
          <w:spacing w:val="-11"/>
          <w:lang w:val="id-ID"/>
        </w:rPr>
        <w:t xml:space="preserve"> </w:t>
      </w:r>
      <w:r>
        <w:rPr>
          <w:color w:val="202124"/>
          <w:lang w:val="id-ID"/>
        </w:rPr>
        <w:t>bagi</w:t>
      </w:r>
      <w:r>
        <w:rPr>
          <w:color w:val="202124"/>
          <w:spacing w:val="-11"/>
          <w:lang w:val="id-ID"/>
        </w:rPr>
        <w:t xml:space="preserve"> </w:t>
      </w:r>
      <w:r>
        <w:rPr>
          <w:color w:val="202124"/>
          <w:lang w:val="id-ID"/>
        </w:rPr>
        <w:t>penolakan</w:t>
      </w:r>
      <w:r>
        <w:rPr>
          <w:color w:val="202124"/>
          <w:spacing w:val="-11"/>
          <w:lang w:val="id-ID"/>
        </w:rPr>
        <w:t xml:space="preserve"> </w:t>
      </w:r>
      <w:r>
        <w:rPr>
          <w:color w:val="202124"/>
          <w:lang w:val="id-ID"/>
        </w:rPr>
        <w:t>untuk</w:t>
      </w:r>
      <w:r>
        <w:rPr>
          <w:color w:val="202124"/>
          <w:spacing w:val="-10"/>
          <w:lang w:val="id-ID"/>
        </w:rPr>
        <w:t xml:space="preserve"> </w:t>
      </w:r>
      <w:r>
        <w:rPr>
          <w:color w:val="202124"/>
          <w:lang w:val="id-ID"/>
        </w:rPr>
        <w:t>berpartisipasi.</w:t>
      </w:r>
      <w:r>
        <w:rPr>
          <w:color w:val="202124"/>
          <w:spacing w:val="-11"/>
          <w:lang w:val="id-ID"/>
        </w:rPr>
        <w:t xml:space="preserve"> </w:t>
      </w:r>
      <w:r w:rsidRPr="00F426C1">
        <w:rPr>
          <w:color w:val="202124"/>
          <w:spacing w:val="-11"/>
          <w:lang w:val="id-ID"/>
        </w:rPr>
        <w:t xml:space="preserve">Pasien </w:t>
      </w:r>
      <w:r>
        <w:rPr>
          <w:color w:val="202124"/>
          <w:lang w:val="id-ID"/>
        </w:rPr>
        <w:t>dapat</w:t>
      </w:r>
      <w:r>
        <w:rPr>
          <w:color w:val="202124"/>
          <w:spacing w:val="-11"/>
          <w:lang w:val="id-ID"/>
        </w:rPr>
        <w:t xml:space="preserve"> </w:t>
      </w:r>
      <w:r>
        <w:rPr>
          <w:color w:val="202124"/>
          <w:lang w:val="id-ID"/>
        </w:rPr>
        <w:t>memilih</w:t>
      </w:r>
      <w:r>
        <w:rPr>
          <w:color w:val="202124"/>
          <w:spacing w:val="-10"/>
          <w:lang w:val="id-ID"/>
        </w:rPr>
        <w:t xml:space="preserve"> </w:t>
      </w:r>
      <w:r>
        <w:rPr>
          <w:color w:val="202124"/>
          <w:lang w:val="id-ID"/>
        </w:rPr>
        <w:t>untuk</w:t>
      </w:r>
      <w:r>
        <w:rPr>
          <w:color w:val="202124"/>
          <w:spacing w:val="-11"/>
          <w:lang w:val="id-ID"/>
        </w:rPr>
        <w:t xml:space="preserve"> </w:t>
      </w:r>
      <w:r>
        <w:rPr>
          <w:color w:val="202124"/>
          <w:lang w:val="id-ID"/>
        </w:rPr>
        <w:t>berhenti</w:t>
      </w:r>
      <w:r>
        <w:rPr>
          <w:color w:val="202124"/>
          <w:spacing w:val="-11"/>
          <w:lang w:val="id-ID"/>
        </w:rPr>
        <w:t xml:space="preserve"> </w:t>
      </w:r>
      <w:r>
        <w:rPr>
          <w:color w:val="202124"/>
          <w:lang w:val="id-ID"/>
        </w:rPr>
        <w:t>dan</w:t>
      </w:r>
      <w:r>
        <w:rPr>
          <w:color w:val="202124"/>
          <w:spacing w:val="-57"/>
          <w:lang w:val="id-ID"/>
        </w:rPr>
        <w:t xml:space="preserve">             </w:t>
      </w:r>
      <w:r>
        <w:rPr>
          <w:color w:val="202124"/>
          <w:lang w:val="id-ID"/>
        </w:rPr>
        <w:t>menarik diri dari penelitian ini kapan saja. Data responden yang menarik diri dari</w:t>
      </w:r>
      <w:r>
        <w:rPr>
          <w:color w:val="202124"/>
          <w:spacing w:val="1"/>
          <w:lang w:val="id-ID"/>
        </w:rPr>
        <w:t xml:space="preserve"> </w:t>
      </w:r>
      <w:r>
        <w:rPr>
          <w:color w:val="202124"/>
          <w:lang w:val="id-ID"/>
        </w:rPr>
        <w:t>penelitian</w:t>
      </w:r>
      <w:r>
        <w:rPr>
          <w:color w:val="202124"/>
          <w:spacing w:val="-1"/>
          <w:lang w:val="id-ID"/>
        </w:rPr>
        <w:t xml:space="preserve"> </w:t>
      </w:r>
      <w:r>
        <w:rPr>
          <w:color w:val="202124"/>
          <w:lang w:val="id-ID"/>
        </w:rPr>
        <w:t>akan</w:t>
      </w:r>
      <w:r>
        <w:rPr>
          <w:color w:val="202124"/>
          <w:spacing w:val="-1"/>
          <w:lang w:val="id-ID"/>
        </w:rPr>
        <w:t xml:space="preserve"> </w:t>
      </w:r>
      <w:r>
        <w:rPr>
          <w:color w:val="202124"/>
          <w:lang w:val="id-ID"/>
        </w:rPr>
        <w:t>diekslusi</w:t>
      </w:r>
      <w:r>
        <w:rPr>
          <w:color w:val="202124"/>
          <w:spacing w:val="-1"/>
          <w:lang w:val="id-ID"/>
        </w:rPr>
        <w:t xml:space="preserve"> </w:t>
      </w:r>
      <w:r>
        <w:rPr>
          <w:color w:val="202124"/>
          <w:lang w:val="id-ID"/>
        </w:rPr>
        <w:t>dan dimusnahkan</w:t>
      </w:r>
      <w:r>
        <w:rPr>
          <w:color w:val="202124"/>
          <w:spacing w:val="-1"/>
          <w:lang w:val="id-ID"/>
        </w:rPr>
        <w:t xml:space="preserve"> </w:t>
      </w:r>
      <w:r>
        <w:rPr>
          <w:color w:val="202124"/>
          <w:lang w:val="id-ID"/>
        </w:rPr>
        <w:t>sesuai</w:t>
      </w:r>
      <w:r>
        <w:rPr>
          <w:color w:val="202124"/>
          <w:spacing w:val="-1"/>
          <w:lang w:val="id-ID"/>
        </w:rPr>
        <w:t xml:space="preserve"> </w:t>
      </w:r>
      <w:r>
        <w:rPr>
          <w:color w:val="202124"/>
          <w:lang w:val="id-ID"/>
        </w:rPr>
        <w:t>protokol</w:t>
      </w:r>
      <w:r>
        <w:rPr>
          <w:color w:val="202124"/>
          <w:spacing w:val="-1"/>
          <w:lang w:val="id-ID"/>
        </w:rPr>
        <w:t xml:space="preserve"> </w:t>
      </w:r>
      <w:r>
        <w:rPr>
          <w:color w:val="202124"/>
          <w:lang w:val="id-ID"/>
        </w:rPr>
        <w:t>kerahasiaan</w:t>
      </w:r>
    </w:p>
    <w:p w14:paraId="13E19B49" w14:textId="77777777" w:rsidR="00D72714" w:rsidRPr="00F426C1" w:rsidRDefault="00D72714" w:rsidP="00D72714">
      <w:pPr>
        <w:spacing w:line="360" w:lineRule="auto"/>
        <w:ind w:right="66" w:firstLine="851"/>
        <w:jc w:val="both"/>
        <w:rPr>
          <w:color w:val="000000" w:themeColor="text1"/>
          <w:u w:val="single"/>
          <w:lang w:val="id-ID"/>
        </w:rPr>
      </w:pPr>
      <w:r w:rsidRPr="00F426C1">
        <w:rPr>
          <w:color w:val="202124"/>
          <w:lang w:val="id-ID"/>
        </w:rPr>
        <w:t>Ri</w:t>
      </w:r>
      <w:r>
        <w:rPr>
          <w:color w:val="202124"/>
          <w:lang w:val="id-ID"/>
        </w:rPr>
        <w:t>siko</w:t>
      </w:r>
      <w:r>
        <w:rPr>
          <w:color w:val="202124"/>
          <w:spacing w:val="-9"/>
          <w:lang w:val="id-ID"/>
        </w:rPr>
        <w:t xml:space="preserve"> </w:t>
      </w:r>
      <w:r>
        <w:rPr>
          <w:color w:val="202124"/>
          <w:lang w:val="id-ID"/>
        </w:rPr>
        <w:t>yang</w:t>
      </w:r>
      <w:r>
        <w:rPr>
          <w:color w:val="202124"/>
          <w:spacing w:val="-10"/>
          <w:lang w:val="id-ID"/>
        </w:rPr>
        <w:t xml:space="preserve"> </w:t>
      </w:r>
      <w:r w:rsidRPr="00F426C1">
        <w:rPr>
          <w:color w:val="202124"/>
          <w:lang w:val="id-ID"/>
        </w:rPr>
        <w:t xml:space="preserve">dapat terjadi </w:t>
      </w:r>
      <w:r>
        <w:rPr>
          <w:color w:val="202124"/>
          <w:lang w:val="id-ID"/>
        </w:rPr>
        <w:t>terkait</w:t>
      </w:r>
      <w:r>
        <w:rPr>
          <w:color w:val="202124"/>
          <w:spacing w:val="-10"/>
          <w:lang w:val="id-ID"/>
        </w:rPr>
        <w:t xml:space="preserve"> </w:t>
      </w:r>
      <w:r>
        <w:rPr>
          <w:color w:val="202124"/>
          <w:lang w:val="id-ID"/>
        </w:rPr>
        <w:t>dengan</w:t>
      </w:r>
      <w:r>
        <w:rPr>
          <w:color w:val="202124"/>
          <w:spacing w:val="-9"/>
          <w:lang w:val="id-ID"/>
        </w:rPr>
        <w:t xml:space="preserve"> </w:t>
      </w:r>
      <w:r w:rsidRPr="00F426C1">
        <w:rPr>
          <w:color w:val="202124"/>
          <w:lang w:val="id-ID"/>
        </w:rPr>
        <w:t>penelitian ini dapat</w:t>
      </w:r>
      <w:r>
        <w:rPr>
          <w:color w:val="000000" w:themeColor="text1"/>
          <w:lang w:val="id-ID"/>
        </w:rPr>
        <w:t xml:space="preserve"> </w:t>
      </w:r>
      <w:r w:rsidRPr="00FB0A20">
        <w:rPr>
          <w:color w:val="000000" w:themeColor="text1"/>
          <w:u w:val="single"/>
          <w:lang w:val="id-ID"/>
        </w:rPr>
        <w:t xml:space="preserve">berupa </w:t>
      </w:r>
      <w:r w:rsidRPr="00F426C1">
        <w:rPr>
          <w:color w:val="000000" w:themeColor="text1"/>
          <w:u w:val="single"/>
          <w:lang w:val="id-ID"/>
        </w:rPr>
        <w:t>rasa tidak nyaman saat pengambilan sampel darah, keracunan</w:t>
      </w:r>
      <w:r w:rsidRPr="00FB0A20">
        <w:rPr>
          <w:color w:val="000000" w:themeColor="text1"/>
          <w:u w:val="single"/>
          <w:lang w:val="id-ID"/>
        </w:rPr>
        <w:t xml:space="preserve"> </w:t>
      </w:r>
      <w:r w:rsidRPr="00F426C1">
        <w:rPr>
          <w:color w:val="000000" w:themeColor="text1"/>
          <w:u w:val="single"/>
          <w:lang w:val="id-ID"/>
        </w:rPr>
        <w:t xml:space="preserve">obat </w:t>
      </w:r>
      <w:r w:rsidRPr="00FB0A20">
        <w:rPr>
          <w:color w:val="000000" w:themeColor="text1"/>
          <w:u w:val="single"/>
          <w:lang w:val="id-ID"/>
        </w:rPr>
        <w:t>anestesi lokal</w:t>
      </w:r>
      <w:r w:rsidRPr="00F426C1">
        <w:rPr>
          <w:color w:val="000000" w:themeColor="text1"/>
          <w:u w:val="single"/>
          <w:lang w:val="id-ID"/>
        </w:rPr>
        <w:t xml:space="preserve"> (</w:t>
      </w:r>
      <w:r w:rsidRPr="00FB0A20">
        <w:rPr>
          <w:u w:val="single"/>
        </w:rPr>
        <w:t>agitasi, perubahan pendengaran, lidah terasa seperti logam atau tiba-tiba perubahan kejiwaan), diikuti dengan kejang kemudian depresi SSP ( mengantuk, koma atau kolaps pernafasan</w:t>
      </w:r>
      <w:r w:rsidRPr="00F426C1">
        <w:rPr>
          <w:u w:val="single"/>
          <w:lang w:val="id-ID"/>
        </w:rPr>
        <w:t>)</w:t>
      </w:r>
      <w:r w:rsidRPr="00FB0A20">
        <w:rPr>
          <w:color w:val="000000" w:themeColor="text1"/>
          <w:u w:val="single"/>
          <w:lang w:val="id-ID"/>
        </w:rPr>
        <w:t xml:space="preserve">, infeksi luka, hematoma, dan </w:t>
      </w:r>
      <w:r w:rsidRPr="00F426C1">
        <w:rPr>
          <w:color w:val="000000" w:themeColor="text1"/>
          <w:u w:val="single"/>
          <w:lang w:val="id-ID"/>
        </w:rPr>
        <w:t xml:space="preserve">rasa tidak nyaman saat menelan. </w:t>
      </w:r>
    </w:p>
    <w:p w14:paraId="510EFF22" w14:textId="77777777" w:rsidR="00D72714" w:rsidRPr="00F426C1" w:rsidRDefault="00D72714" w:rsidP="00D72714">
      <w:pPr>
        <w:spacing w:line="360" w:lineRule="auto"/>
        <w:ind w:right="66" w:firstLine="851"/>
        <w:jc w:val="both"/>
        <w:rPr>
          <w:color w:val="000000" w:themeColor="text1"/>
          <w:u w:val="single"/>
          <w:lang w:val="id-ID"/>
        </w:rPr>
      </w:pPr>
      <w:r w:rsidRPr="00F426C1">
        <w:rPr>
          <w:color w:val="000000" w:themeColor="text1"/>
          <w:u w:val="single"/>
          <w:lang w:val="id-ID"/>
        </w:rPr>
        <w:t xml:space="preserve">Prosedur pengambilan sampel darah dilakukan sebanyak 2 kali, sebelum pembiusan dan 12 jam pascabedah. Sampel darah diambil dari pembuluh darah vena dengan menggunakan syringe 5 ml sebanyak </w:t>
      </w:r>
      <w:r w:rsidRPr="00F426C1">
        <w:rPr>
          <w:color w:val="000000" w:themeColor="text1"/>
          <w:lang w:val="id-ID"/>
        </w:rPr>
        <w:t>+</w:t>
      </w:r>
      <w:r w:rsidRPr="00F426C1">
        <w:rPr>
          <w:color w:val="000000" w:themeColor="text1"/>
          <w:u w:val="single"/>
          <w:lang w:val="id-ID"/>
        </w:rPr>
        <w:t xml:space="preserve"> 2 mL yang kemudian dimasukkan ke tabung vakum. </w:t>
      </w:r>
    </w:p>
    <w:p w14:paraId="475E9D5C" w14:textId="77777777" w:rsidR="00D72714" w:rsidRDefault="00D72714" w:rsidP="00D72714">
      <w:pPr>
        <w:spacing w:line="360" w:lineRule="auto"/>
        <w:ind w:right="66" w:firstLine="851"/>
        <w:jc w:val="both"/>
        <w:rPr>
          <w:color w:val="202124"/>
          <w:lang w:val="id-ID"/>
        </w:rPr>
      </w:pPr>
      <w:r w:rsidRPr="00F426C1">
        <w:rPr>
          <w:color w:val="202124"/>
          <w:lang w:val="id-ID"/>
        </w:rPr>
        <w:t>M</w:t>
      </w:r>
      <w:r>
        <w:rPr>
          <w:color w:val="202124"/>
          <w:lang w:val="id-ID"/>
        </w:rPr>
        <w:t>anfaat</w:t>
      </w:r>
      <w:r>
        <w:rPr>
          <w:color w:val="202124"/>
          <w:spacing w:val="-13"/>
          <w:lang w:val="id-ID"/>
        </w:rPr>
        <w:t xml:space="preserve"> </w:t>
      </w:r>
      <w:r>
        <w:rPr>
          <w:color w:val="202124"/>
          <w:lang w:val="id-ID"/>
        </w:rPr>
        <w:t>langsung</w:t>
      </w:r>
      <w:r>
        <w:rPr>
          <w:color w:val="202124"/>
          <w:spacing w:val="-13"/>
          <w:lang w:val="id-ID"/>
        </w:rPr>
        <w:t xml:space="preserve"> </w:t>
      </w:r>
      <w:r>
        <w:rPr>
          <w:color w:val="202124"/>
          <w:lang w:val="id-ID"/>
        </w:rPr>
        <w:t>yang</w:t>
      </w:r>
      <w:r>
        <w:rPr>
          <w:color w:val="202124"/>
          <w:spacing w:val="-13"/>
          <w:lang w:val="id-ID"/>
        </w:rPr>
        <w:t xml:space="preserve"> </w:t>
      </w:r>
      <w:r w:rsidRPr="00F426C1">
        <w:rPr>
          <w:color w:val="202124"/>
          <w:lang w:val="id-ID"/>
        </w:rPr>
        <w:t xml:space="preserve">didapatkan </w:t>
      </w:r>
      <w:r>
        <w:rPr>
          <w:color w:val="202124"/>
          <w:lang w:val="id-ID"/>
        </w:rPr>
        <w:t>terkait</w:t>
      </w:r>
      <w:r>
        <w:rPr>
          <w:color w:val="202124"/>
          <w:spacing w:val="-13"/>
          <w:lang w:val="id-ID"/>
        </w:rPr>
        <w:t xml:space="preserve"> </w:t>
      </w:r>
      <w:r>
        <w:rPr>
          <w:color w:val="202124"/>
          <w:lang w:val="id-ID"/>
        </w:rPr>
        <w:t>dengan</w:t>
      </w:r>
      <w:r>
        <w:rPr>
          <w:color w:val="202124"/>
          <w:spacing w:val="-13"/>
          <w:lang w:val="id-ID"/>
        </w:rPr>
        <w:t xml:space="preserve"> </w:t>
      </w:r>
      <w:r>
        <w:rPr>
          <w:color w:val="202124"/>
          <w:lang w:val="id-ID"/>
        </w:rPr>
        <w:t>partisipasi</w:t>
      </w:r>
      <w:r>
        <w:rPr>
          <w:color w:val="202124"/>
          <w:spacing w:val="-13"/>
          <w:lang w:val="id-ID"/>
        </w:rPr>
        <w:t xml:space="preserve"> </w:t>
      </w:r>
      <w:r>
        <w:rPr>
          <w:color w:val="202124"/>
          <w:lang w:val="id-ID"/>
        </w:rPr>
        <w:t>dalam</w:t>
      </w:r>
      <w:r>
        <w:rPr>
          <w:color w:val="202124"/>
          <w:spacing w:val="-13"/>
          <w:lang w:val="id-ID"/>
        </w:rPr>
        <w:t xml:space="preserve"> </w:t>
      </w:r>
      <w:r>
        <w:rPr>
          <w:color w:val="202124"/>
          <w:lang w:val="id-ID"/>
        </w:rPr>
        <w:t>penelitian</w:t>
      </w:r>
      <w:r>
        <w:rPr>
          <w:color w:val="202124"/>
          <w:spacing w:val="-15"/>
          <w:lang w:val="id-ID"/>
        </w:rPr>
        <w:t xml:space="preserve"> </w:t>
      </w:r>
      <w:r>
        <w:rPr>
          <w:color w:val="202124"/>
          <w:lang w:val="id-ID"/>
        </w:rPr>
        <w:t>ini</w:t>
      </w:r>
      <w:r w:rsidRPr="00F426C1">
        <w:rPr>
          <w:color w:val="202124"/>
          <w:lang w:val="id-ID"/>
        </w:rPr>
        <w:t xml:space="preserve"> adalah</w:t>
      </w:r>
      <w:r w:rsidRPr="00F426C1">
        <w:rPr>
          <w:rFonts w:eastAsiaTheme="minorHAnsi"/>
          <w:color w:val="000000" w:themeColor="text1"/>
          <w:lang w:val="id-ID"/>
        </w:rPr>
        <w:t xml:space="preserve"> kenyamanan pada pasien, mengurangi nyeri dan efek samping penggunaan opioid seperti depresi nafas, mual dan muntah, mempercepat makan dan minum dan kembalinya pasien ke fungsi normal sehari-hari. </w:t>
      </w:r>
      <w:r>
        <w:rPr>
          <w:color w:val="202124"/>
          <w:lang w:val="id-ID"/>
        </w:rPr>
        <w:t>Manfaat</w:t>
      </w:r>
      <w:r>
        <w:rPr>
          <w:color w:val="202124"/>
          <w:spacing w:val="-14"/>
          <w:lang w:val="id-ID"/>
        </w:rPr>
        <w:t xml:space="preserve"> </w:t>
      </w:r>
      <w:r>
        <w:rPr>
          <w:color w:val="202124"/>
          <w:lang w:val="id-ID"/>
        </w:rPr>
        <w:t>tidak</w:t>
      </w:r>
      <w:r>
        <w:rPr>
          <w:color w:val="202124"/>
          <w:spacing w:val="-14"/>
          <w:lang w:val="id-ID"/>
        </w:rPr>
        <w:t xml:space="preserve"> </w:t>
      </w:r>
      <w:r>
        <w:rPr>
          <w:color w:val="202124"/>
          <w:lang w:val="id-ID"/>
        </w:rPr>
        <w:t>langsung</w:t>
      </w:r>
      <w:r>
        <w:rPr>
          <w:color w:val="202124"/>
          <w:spacing w:val="-14"/>
          <w:lang w:val="id-ID"/>
        </w:rPr>
        <w:t xml:space="preserve"> </w:t>
      </w:r>
      <w:r>
        <w:rPr>
          <w:color w:val="202124"/>
          <w:lang w:val="id-ID"/>
        </w:rPr>
        <w:t>termasuk</w:t>
      </w:r>
      <w:r>
        <w:rPr>
          <w:color w:val="202124"/>
          <w:spacing w:val="-2"/>
          <w:lang w:val="id-ID"/>
        </w:rPr>
        <w:t xml:space="preserve"> memberikan informasi ilmiah yang bermanfaat mengenai blok peritonsil</w:t>
      </w:r>
      <w:r w:rsidRPr="00F426C1">
        <w:rPr>
          <w:color w:val="202124"/>
          <w:spacing w:val="-2"/>
          <w:lang w:val="id-ID"/>
        </w:rPr>
        <w:t>e</w:t>
      </w:r>
      <w:r>
        <w:rPr>
          <w:color w:val="202124"/>
          <w:spacing w:val="-2"/>
          <w:lang w:val="id-ID"/>
        </w:rPr>
        <w:t xml:space="preserve">r levobupivacaine isobarik 0,125% pascabedah </w:t>
      </w:r>
      <w:r w:rsidRPr="00F426C1">
        <w:rPr>
          <w:color w:val="202124"/>
          <w:spacing w:val="-2"/>
          <w:lang w:val="id-ID"/>
        </w:rPr>
        <w:t>terhadap</w:t>
      </w:r>
      <w:r>
        <w:rPr>
          <w:color w:val="202124"/>
          <w:spacing w:val="-2"/>
          <w:lang w:val="id-ID"/>
        </w:rPr>
        <w:t xml:space="preserve"> intensitas nyeri dan kadar interleukin 6 pada pascabedah tonsilektomi</w:t>
      </w:r>
      <w:r w:rsidRPr="00F426C1">
        <w:rPr>
          <w:color w:val="202124"/>
          <w:spacing w:val="-2"/>
          <w:lang w:val="id-ID"/>
        </w:rPr>
        <w:t xml:space="preserve">. </w:t>
      </w:r>
      <w:r>
        <w:rPr>
          <w:color w:val="202124"/>
          <w:lang w:val="id-ID"/>
        </w:rPr>
        <w:t>Hasil</w:t>
      </w:r>
      <w:r>
        <w:rPr>
          <w:color w:val="202124"/>
          <w:spacing w:val="-6"/>
          <w:lang w:val="id-ID"/>
        </w:rPr>
        <w:t xml:space="preserve"> </w:t>
      </w:r>
      <w:r>
        <w:rPr>
          <w:color w:val="202124"/>
          <w:lang w:val="id-ID"/>
        </w:rPr>
        <w:t>penelitian</w:t>
      </w:r>
      <w:r>
        <w:rPr>
          <w:color w:val="202124"/>
          <w:spacing w:val="-57"/>
          <w:lang w:val="id-ID"/>
        </w:rPr>
        <w:t xml:space="preserve"> </w:t>
      </w:r>
      <w:r w:rsidRPr="00F426C1">
        <w:rPr>
          <w:color w:val="202124"/>
          <w:spacing w:val="-57"/>
          <w:lang w:val="id-ID"/>
        </w:rPr>
        <w:t xml:space="preserve">       </w:t>
      </w:r>
      <w:r>
        <w:rPr>
          <w:color w:val="202124"/>
          <w:lang w:val="id-ID"/>
        </w:rPr>
        <w:t>ini</w:t>
      </w:r>
      <w:r>
        <w:rPr>
          <w:color w:val="202124"/>
          <w:spacing w:val="-14"/>
          <w:lang w:val="id-ID"/>
        </w:rPr>
        <w:t xml:space="preserve"> </w:t>
      </w:r>
      <w:r>
        <w:rPr>
          <w:color w:val="202124"/>
          <w:lang w:val="id-ID"/>
        </w:rPr>
        <w:t>juga</w:t>
      </w:r>
      <w:r>
        <w:rPr>
          <w:color w:val="202124"/>
          <w:spacing w:val="-13"/>
          <w:lang w:val="id-ID"/>
        </w:rPr>
        <w:t xml:space="preserve"> </w:t>
      </w:r>
      <w:r>
        <w:rPr>
          <w:color w:val="202124"/>
          <w:lang w:val="id-ID"/>
        </w:rPr>
        <w:t>diharapkan</w:t>
      </w:r>
      <w:r>
        <w:rPr>
          <w:color w:val="202124"/>
          <w:spacing w:val="-13"/>
          <w:lang w:val="id-ID"/>
        </w:rPr>
        <w:t xml:space="preserve"> </w:t>
      </w:r>
      <w:r>
        <w:rPr>
          <w:color w:val="202124"/>
          <w:lang w:val="id-ID"/>
        </w:rPr>
        <w:t>dapat</w:t>
      </w:r>
      <w:r>
        <w:rPr>
          <w:color w:val="202124"/>
          <w:spacing w:val="-13"/>
          <w:lang w:val="id-ID"/>
        </w:rPr>
        <w:t xml:space="preserve"> </w:t>
      </w:r>
      <w:r>
        <w:rPr>
          <w:color w:val="202124"/>
          <w:lang w:val="id-ID"/>
        </w:rPr>
        <w:t>digunakan</w:t>
      </w:r>
      <w:r>
        <w:rPr>
          <w:color w:val="202124"/>
          <w:spacing w:val="-13"/>
          <w:lang w:val="id-ID"/>
        </w:rPr>
        <w:t xml:space="preserve"> </w:t>
      </w:r>
      <w:r>
        <w:rPr>
          <w:color w:val="202124"/>
          <w:lang w:val="id-ID"/>
        </w:rPr>
        <w:t>sebagai</w:t>
      </w:r>
      <w:r>
        <w:rPr>
          <w:color w:val="202124"/>
          <w:spacing w:val="-14"/>
          <w:lang w:val="id-ID"/>
        </w:rPr>
        <w:t xml:space="preserve"> </w:t>
      </w:r>
      <w:r>
        <w:rPr>
          <w:color w:val="202124"/>
          <w:lang w:val="id-ID"/>
        </w:rPr>
        <w:t>landasan</w:t>
      </w:r>
      <w:r>
        <w:rPr>
          <w:color w:val="202124"/>
          <w:spacing w:val="-13"/>
          <w:lang w:val="id-ID"/>
        </w:rPr>
        <w:t xml:space="preserve"> </w:t>
      </w:r>
      <w:r>
        <w:rPr>
          <w:color w:val="202124"/>
          <w:lang w:val="id-ID"/>
        </w:rPr>
        <w:t>atau</w:t>
      </w:r>
      <w:r>
        <w:rPr>
          <w:color w:val="202124"/>
          <w:spacing w:val="-13"/>
          <w:lang w:val="id-ID"/>
        </w:rPr>
        <w:t xml:space="preserve"> </w:t>
      </w:r>
      <w:r>
        <w:rPr>
          <w:color w:val="202124"/>
          <w:lang w:val="id-ID"/>
        </w:rPr>
        <w:t>sumber</w:t>
      </w:r>
      <w:r>
        <w:rPr>
          <w:color w:val="202124"/>
          <w:spacing w:val="-13"/>
          <w:lang w:val="id-ID"/>
        </w:rPr>
        <w:t xml:space="preserve"> </w:t>
      </w:r>
      <w:r>
        <w:rPr>
          <w:color w:val="202124"/>
          <w:lang w:val="id-ID"/>
        </w:rPr>
        <w:t>pemikiran</w:t>
      </w:r>
      <w:r>
        <w:rPr>
          <w:color w:val="202124"/>
          <w:spacing w:val="-13"/>
          <w:lang w:val="id-ID"/>
        </w:rPr>
        <w:t xml:space="preserve"> </w:t>
      </w:r>
      <w:r>
        <w:rPr>
          <w:color w:val="202124"/>
          <w:lang w:val="id-ID"/>
        </w:rPr>
        <w:t>untuk</w:t>
      </w:r>
      <w:r>
        <w:rPr>
          <w:color w:val="202124"/>
          <w:spacing w:val="-58"/>
          <w:lang w:val="id-ID"/>
        </w:rPr>
        <w:t xml:space="preserve"> </w:t>
      </w:r>
      <w:r>
        <w:rPr>
          <w:color w:val="202124"/>
          <w:lang w:val="id-ID"/>
        </w:rPr>
        <w:t>penelitian</w:t>
      </w:r>
      <w:r>
        <w:rPr>
          <w:color w:val="202124"/>
          <w:spacing w:val="-1"/>
          <w:lang w:val="id-ID"/>
        </w:rPr>
        <w:t xml:space="preserve"> </w:t>
      </w:r>
      <w:r>
        <w:rPr>
          <w:color w:val="202124"/>
          <w:lang w:val="id-ID"/>
        </w:rPr>
        <w:t>dan penentuan kebijakan</w:t>
      </w:r>
      <w:r>
        <w:rPr>
          <w:color w:val="202124"/>
          <w:spacing w:val="-1"/>
          <w:lang w:val="id-ID"/>
        </w:rPr>
        <w:t xml:space="preserve"> </w:t>
      </w:r>
      <w:r>
        <w:rPr>
          <w:color w:val="202124"/>
          <w:lang w:val="id-ID"/>
        </w:rPr>
        <w:t>selanjutny</w:t>
      </w:r>
      <w:r w:rsidRPr="00F426C1">
        <w:rPr>
          <w:color w:val="202124"/>
          <w:lang w:val="id-ID"/>
        </w:rPr>
        <w:t>a</w:t>
      </w:r>
      <w:r w:rsidRPr="00F426C1">
        <w:rPr>
          <w:b/>
          <w:color w:val="202124"/>
          <w:lang w:val="id-ID"/>
        </w:rPr>
        <w:t xml:space="preserve"> </w:t>
      </w:r>
    </w:p>
    <w:p w14:paraId="13C79C61" w14:textId="77777777" w:rsidR="00D72714" w:rsidRDefault="00D72714" w:rsidP="00D72714">
      <w:pPr>
        <w:spacing w:line="360" w:lineRule="auto"/>
        <w:ind w:right="66" w:firstLine="851"/>
        <w:jc w:val="both"/>
        <w:rPr>
          <w:color w:val="202124"/>
          <w:lang w:val="id-ID"/>
        </w:rPr>
      </w:pPr>
      <w:r>
        <w:rPr>
          <w:color w:val="202124"/>
          <w:lang w:val="id-ID"/>
        </w:rPr>
        <w:lastRenderedPageBreak/>
        <w:t>Salinan elektronik dari data survei akan disimpan di jaringan komputer yang aman</w:t>
      </w:r>
      <w:r>
        <w:rPr>
          <w:color w:val="202124"/>
          <w:spacing w:val="-57"/>
          <w:lang w:val="id-ID"/>
        </w:rPr>
        <w:t xml:space="preserve"> </w:t>
      </w:r>
      <w:r w:rsidRPr="00F426C1">
        <w:rPr>
          <w:color w:val="202124"/>
          <w:spacing w:val="-57"/>
          <w:lang w:val="id-ID"/>
        </w:rPr>
        <w:t xml:space="preserve">                        </w:t>
      </w:r>
      <w:r>
        <w:rPr>
          <w:color w:val="202124"/>
          <w:lang w:val="id-ID"/>
        </w:rPr>
        <w:t xml:space="preserve">di Departemen Ilmu Anestesi, Perawatan Intensif </w:t>
      </w:r>
      <w:r w:rsidRPr="00F426C1">
        <w:rPr>
          <w:color w:val="202124"/>
          <w:lang w:val="id-ID"/>
        </w:rPr>
        <w:t>d</w:t>
      </w:r>
      <w:r>
        <w:rPr>
          <w:color w:val="202124"/>
          <w:lang w:val="id-ID"/>
        </w:rPr>
        <w:t>an Manajemen Nyeri, Fakultas</w:t>
      </w:r>
      <w:r w:rsidRPr="00F426C1">
        <w:rPr>
          <w:color w:val="202124"/>
          <w:lang w:val="id-ID"/>
        </w:rPr>
        <w:t xml:space="preserve"> </w:t>
      </w:r>
      <w:r>
        <w:rPr>
          <w:color w:val="202124"/>
          <w:spacing w:val="-57"/>
          <w:lang w:val="id-ID"/>
        </w:rPr>
        <w:t xml:space="preserve"> </w:t>
      </w:r>
      <w:r>
        <w:rPr>
          <w:color w:val="202124"/>
          <w:lang w:val="id-ID"/>
        </w:rPr>
        <w:t>Kedokteran</w:t>
      </w:r>
      <w:r>
        <w:rPr>
          <w:color w:val="202124"/>
          <w:spacing w:val="1"/>
          <w:lang w:val="id-ID"/>
        </w:rPr>
        <w:t xml:space="preserve"> </w:t>
      </w:r>
      <w:r>
        <w:rPr>
          <w:color w:val="202124"/>
          <w:lang w:val="id-ID"/>
        </w:rPr>
        <w:t>Universitas</w:t>
      </w:r>
      <w:r>
        <w:rPr>
          <w:color w:val="202124"/>
          <w:spacing w:val="1"/>
          <w:lang w:val="id-ID"/>
        </w:rPr>
        <w:t xml:space="preserve"> </w:t>
      </w:r>
      <w:r>
        <w:rPr>
          <w:color w:val="202124"/>
          <w:lang w:val="id-ID"/>
        </w:rPr>
        <w:t>Hasanuddin,</w:t>
      </w:r>
      <w:r>
        <w:rPr>
          <w:color w:val="202124"/>
          <w:spacing w:val="1"/>
          <w:lang w:val="id-ID"/>
        </w:rPr>
        <w:t xml:space="preserve"> </w:t>
      </w:r>
      <w:r>
        <w:rPr>
          <w:color w:val="202124"/>
          <w:lang w:val="id-ID"/>
        </w:rPr>
        <w:t>Makassar.</w:t>
      </w:r>
      <w:r>
        <w:rPr>
          <w:color w:val="202124"/>
          <w:spacing w:val="1"/>
          <w:lang w:val="id-ID"/>
        </w:rPr>
        <w:t xml:space="preserve"> </w:t>
      </w:r>
      <w:r>
        <w:rPr>
          <w:color w:val="202124"/>
          <w:lang w:val="id-ID"/>
        </w:rPr>
        <w:t>Informasi</w:t>
      </w:r>
      <w:r>
        <w:rPr>
          <w:color w:val="202124"/>
          <w:spacing w:val="1"/>
          <w:lang w:val="id-ID"/>
        </w:rPr>
        <w:t xml:space="preserve"> </w:t>
      </w:r>
      <w:r>
        <w:rPr>
          <w:color w:val="202124"/>
          <w:lang w:val="id-ID"/>
        </w:rPr>
        <w:t>yang</w:t>
      </w:r>
      <w:r>
        <w:rPr>
          <w:color w:val="202124"/>
          <w:spacing w:val="1"/>
          <w:lang w:val="id-ID"/>
        </w:rPr>
        <w:t xml:space="preserve"> </w:t>
      </w:r>
      <w:r>
        <w:rPr>
          <w:color w:val="202124"/>
          <w:lang w:val="id-ID"/>
        </w:rPr>
        <w:t>diperoleh</w:t>
      </w:r>
      <w:r>
        <w:rPr>
          <w:color w:val="202124"/>
          <w:spacing w:val="1"/>
          <w:lang w:val="id-ID"/>
        </w:rPr>
        <w:t xml:space="preserve"> </w:t>
      </w:r>
      <w:r>
        <w:rPr>
          <w:color w:val="202124"/>
          <w:lang w:val="id-ID"/>
        </w:rPr>
        <w:t>dari</w:t>
      </w:r>
      <w:r>
        <w:rPr>
          <w:color w:val="202124"/>
          <w:lang w:val="en-US"/>
        </w:rPr>
        <w:t xml:space="preserve"> </w:t>
      </w:r>
      <w:r>
        <w:rPr>
          <w:color w:val="202124"/>
          <w:spacing w:val="-57"/>
          <w:lang w:val="id-ID"/>
        </w:rPr>
        <w:t xml:space="preserve"> </w:t>
      </w:r>
      <w:proofErr w:type="spellStart"/>
      <w:r>
        <w:rPr>
          <w:color w:val="202124"/>
          <w:lang w:val="en-US"/>
        </w:rPr>
        <w:t>penelitian</w:t>
      </w:r>
      <w:proofErr w:type="spellEnd"/>
      <w:r>
        <w:rPr>
          <w:color w:val="202124"/>
          <w:lang w:val="en-US"/>
        </w:rPr>
        <w:t xml:space="preserve"> </w:t>
      </w:r>
      <w:r>
        <w:rPr>
          <w:color w:val="202124"/>
          <w:lang w:val="id-ID"/>
        </w:rPr>
        <w:t>ini diperlukan untuk tujuan analisis. Akses ke data akan dibatasi untuk</w:t>
      </w:r>
      <w:r>
        <w:rPr>
          <w:color w:val="202124"/>
          <w:spacing w:val="1"/>
          <w:lang w:val="id-ID"/>
        </w:rPr>
        <w:t xml:space="preserve"> </w:t>
      </w:r>
      <w:r>
        <w:rPr>
          <w:color w:val="202124"/>
          <w:lang w:val="id-ID"/>
        </w:rPr>
        <w:t>peneliti</w:t>
      </w:r>
      <w:r>
        <w:rPr>
          <w:color w:val="202124"/>
          <w:spacing w:val="-12"/>
          <w:lang w:val="id-ID"/>
        </w:rPr>
        <w:t xml:space="preserve"> </w:t>
      </w:r>
      <w:r>
        <w:rPr>
          <w:color w:val="202124"/>
          <w:lang w:val="id-ID"/>
        </w:rPr>
        <w:t>utama.</w:t>
      </w:r>
      <w:r>
        <w:rPr>
          <w:color w:val="202124"/>
          <w:spacing w:val="-11"/>
          <w:lang w:val="id-ID"/>
        </w:rPr>
        <w:t xml:space="preserve"> </w:t>
      </w:r>
      <w:r>
        <w:rPr>
          <w:color w:val="202124"/>
          <w:lang w:val="id-ID"/>
        </w:rPr>
        <w:t>Ada</w:t>
      </w:r>
      <w:r>
        <w:rPr>
          <w:color w:val="202124"/>
          <w:spacing w:val="-11"/>
          <w:lang w:val="id-ID"/>
        </w:rPr>
        <w:t xml:space="preserve"> </w:t>
      </w:r>
      <w:r>
        <w:rPr>
          <w:color w:val="202124"/>
          <w:lang w:val="id-ID"/>
        </w:rPr>
        <w:t>kemungkinan</w:t>
      </w:r>
      <w:r>
        <w:rPr>
          <w:color w:val="202124"/>
          <w:spacing w:val="-11"/>
          <w:lang w:val="id-ID"/>
        </w:rPr>
        <w:t xml:space="preserve"> </w:t>
      </w:r>
      <w:r>
        <w:rPr>
          <w:color w:val="202124"/>
          <w:lang w:val="id-ID"/>
        </w:rPr>
        <w:t>bahwa</w:t>
      </w:r>
      <w:r>
        <w:rPr>
          <w:color w:val="202124"/>
          <w:spacing w:val="-11"/>
          <w:lang w:val="id-ID"/>
        </w:rPr>
        <w:t xml:space="preserve"> </w:t>
      </w:r>
      <w:r>
        <w:rPr>
          <w:color w:val="202124"/>
          <w:lang w:val="id-ID"/>
        </w:rPr>
        <w:t>proses</w:t>
      </w:r>
      <w:r>
        <w:rPr>
          <w:color w:val="202124"/>
          <w:spacing w:val="-11"/>
          <w:lang w:val="id-ID"/>
        </w:rPr>
        <w:t xml:space="preserve"> </w:t>
      </w:r>
      <w:r>
        <w:rPr>
          <w:color w:val="202124"/>
          <w:lang w:val="id-ID"/>
        </w:rPr>
        <w:t>persetujuan</w:t>
      </w:r>
      <w:r>
        <w:rPr>
          <w:color w:val="202124"/>
          <w:spacing w:val="-11"/>
          <w:lang w:val="id-ID"/>
        </w:rPr>
        <w:t xml:space="preserve"> </w:t>
      </w:r>
      <w:r>
        <w:rPr>
          <w:color w:val="202124"/>
          <w:lang w:val="id-ID"/>
        </w:rPr>
        <w:t>dan</w:t>
      </w:r>
      <w:r>
        <w:rPr>
          <w:color w:val="202124"/>
          <w:spacing w:val="-11"/>
          <w:lang w:val="id-ID"/>
        </w:rPr>
        <w:t xml:space="preserve"> </w:t>
      </w:r>
      <w:r>
        <w:rPr>
          <w:color w:val="202124"/>
          <w:lang w:val="id-ID"/>
        </w:rPr>
        <w:t>pengumpulan</w:t>
      </w:r>
      <w:r>
        <w:rPr>
          <w:color w:val="202124"/>
          <w:spacing w:val="-11"/>
          <w:lang w:val="id-ID"/>
        </w:rPr>
        <w:t xml:space="preserve"> </w:t>
      </w:r>
      <w:r>
        <w:rPr>
          <w:color w:val="202124"/>
          <w:lang w:val="id-ID"/>
        </w:rPr>
        <w:t>data</w:t>
      </w:r>
      <w:r w:rsidRPr="00F426C1">
        <w:rPr>
          <w:color w:val="202124"/>
          <w:lang w:val="id-ID"/>
        </w:rPr>
        <w:t xml:space="preserve"> </w:t>
      </w:r>
      <w:r>
        <w:rPr>
          <w:color w:val="202124"/>
          <w:spacing w:val="-58"/>
          <w:lang w:val="id-ID"/>
        </w:rPr>
        <w:t xml:space="preserve"> </w:t>
      </w:r>
      <w:r>
        <w:rPr>
          <w:color w:val="202124"/>
          <w:lang w:val="id-ID"/>
        </w:rPr>
        <w:t>akan</w:t>
      </w:r>
      <w:r>
        <w:rPr>
          <w:color w:val="202124"/>
          <w:spacing w:val="-13"/>
          <w:lang w:val="id-ID"/>
        </w:rPr>
        <w:t xml:space="preserve"> </w:t>
      </w:r>
      <w:r>
        <w:rPr>
          <w:color w:val="202124"/>
          <w:lang w:val="id-ID"/>
        </w:rPr>
        <w:t>diamati</w:t>
      </w:r>
      <w:r>
        <w:rPr>
          <w:color w:val="202124"/>
          <w:spacing w:val="-12"/>
          <w:lang w:val="id-ID"/>
        </w:rPr>
        <w:t xml:space="preserve"> </w:t>
      </w:r>
      <w:r>
        <w:rPr>
          <w:color w:val="202124"/>
          <w:lang w:val="id-ID"/>
        </w:rPr>
        <w:t>oleh</w:t>
      </w:r>
      <w:r>
        <w:rPr>
          <w:color w:val="202124"/>
          <w:spacing w:val="-12"/>
          <w:lang w:val="id-ID"/>
        </w:rPr>
        <w:t xml:space="preserve"> </w:t>
      </w:r>
      <w:r>
        <w:rPr>
          <w:color w:val="202124"/>
          <w:lang w:val="id-ID"/>
        </w:rPr>
        <w:t>staf</w:t>
      </w:r>
      <w:r>
        <w:rPr>
          <w:color w:val="202124"/>
          <w:spacing w:val="-12"/>
          <w:lang w:val="id-ID"/>
        </w:rPr>
        <w:t xml:space="preserve"> </w:t>
      </w:r>
      <w:r>
        <w:rPr>
          <w:color w:val="202124"/>
          <w:lang w:val="id-ID"/>
        </w:rPr>
        <w:t>pengawas</w:t>
      </w:r>
      <w:r>
        <w:rPr>
          <w:color w:val="202124"/>
          <w:spacing w:val="-12"/>
          <w:lang w:val="id-ID"/>
        </w:rPr>
        <w:t xml:space="preserve"> </w:t>
      </w:r>
      <w:r>
        <w:rPr>
          <w:color w:val="202124"/>
          <w:lang w:val="id-ID"/>
        </w:rPr>
        <w:t>penelitian</w:t>
      </w:r>
      <w:r>
        <w:rPr>
          <w:color w:val="202124"/>
          <w:spacing w:val="-12"/>
          <w:lang w:val="id-ID"/>
        </w:rPr>
        <w:t xml:space="preserve"> </w:t>
      </w:r>
      <w:r>
        <w:rPr>
          <w:color w:val="202124"/>
          <w:lang w:val="id-ID"/>
        </w:rPr>
        <w:t>yang</w:t>
      </w:r>
      <w:r>
        <w:rPr>
          <w:color w:val="202124"/>
          <w:spacing w:val="-13"/>
          <w:lang w:val="id-ID"/>
        </w:rPr>
        <w:t xml:space="preserve"> </w:t>
      </w:r>
      <w:r>
        <w:rPr>
          <w:color w:val="202124"/>
          <w:lang w:val="id-ID"/>
        </w:rPr>
        <w:t>bertanggung</w:t>
      </w:r>
      <w:r>
        <w:rPr>
          <w:color w:val="202124"/>
          <w:spacing w:val="-12"/>
          <w:lang w:val="id-ID"/>
        </w:rPr>
        <w:t xml:space="preserve"> </w:t>
      </w:r>
      <w:r>
        <w:rPr>
          <w:color w:val="202124"/>
          <w:lang w:val="id-ID"/>
        </w:rPr>
        <w:t>jawab</w:t>
      </w:r>
      <w:r>
        <w:rPr>
          <w:color w:val="202124"/>
          <w:spacing w:val="-12"/>
          <w:lang w:val="id-ID"/>
        </w:rPr>
        <w:t xml:space="preserve"> </w:t>
      </w:r>
      <w:r>
        <w:rPr>
          <w:color w:val="202124"/>
          <w:lang w:val="id-ID"/>
        </w:rPr>
        <w:t>untuk</w:t>
      </w:r>
      <w:r>
        <w:rPr>
          <w:color w:val="202124"/>
          <w:spacing w:val="-12"/>
          <w:lang w:val="id-ID"/>
        </w:rPr>
        <w:t xml:space="preserve"> </w:t>
      </w:r>
      <w:r>
        <w:rPr>
          <w:color w:val="202124"/>
          <w:lang w:val="id-ID"/>
        </w:rPr>
        <w:t>menjaga</w:t>
      </w:r>
      <w:r>
        <w:rPr>
          <w:color w:val="202124"/>
          <w:spacing w:val="-58"/>
          <w:lang w:val="id-ID"/>
        </w:rPr>
        <w:t xml:space="preserve"> </w:t>
      </w:r>
      <w:r w:rsidRPr="00F426C1">
        <w:rPr>
          <w:color w:val="202124"/>
          <w:spacing w:val="-58"/>
          <w:lang w:val="id-ID"/>
        </w:rPr>
        <w:t xml:space="preserve">       </w:t>
      </w:r>
      <w:r>
        <w:rPr>
          <w:color w:val="202124"/>
          <w:lang w:val="id-ID"/>
        </w:rPr>
        <w:t xml:space="preserve">hak dan kesejahteraan </w:t>
      </w:r>
      <w:r w:rsidRPr="00F426C1">
        <w:rPr>
          <w:color w:val="202124"/>
          <w:lang w:val="id-ID"/>
        </w:rPr>
        <w:t>subjek</w:t>
      </w:r>
      <w:r>
        <w:rPr>
          <w:color w:val="202124"/>
          <w:lang w:val="id-ID"/>
        </w:rPr>
        <w:t xml:space="preserve"> yang berpartisipasi dalam penelitian. Identitas</w:t>
      </w:r>
      <w:r>
        <w:rPr>
          <w:color w:val="202124"/>
          <w:spacing w:val="1"/>
          <w:lang w:val="id-ID"/>
        </w:rPr>
        <w:t xml:space="preserve"> </w:t>
      </w:r>
      <w:r>
        <w:rPr>
          <w:color w:val="202124"/>
          <w:lang w:val="id-ID"/>
        </w:rPr>
        <w:t>pribadi yang terdapat pada data akan dihapus dan kami dapat membagikan temuan</w:t>
      </w:r>
      <w:r>
        <w:rPr>
          <w:color w:val="202124"/>
          <w:spacing w:val="-57"/>
          <w:lang w:val="id-ID"/>
        </w:rPr>
        <w:t xml:space="preserve"> </w:t>
      </w:r>
      <w:r w:rsidRPr="00F426C1">
        <w:rPr>
          <w:color w:val="202124"/>
          <w:spacing w:val="-57"/>
          <w:lang w:val="id-ID"/>
        </w:rPr>
        <w:t xml:space="preserve">  </w:t>
      </w:r>
      <w:r>
        <w:rPr>
          <w:color w:val="202124"/>
          <w:spacing w:val="-1"/>
          <w:lang w:val="id-ID"/>
        </w:rPr>
        <w:t>kami</w:t>
      </w:r>
      <w:r>
        <w:rPr>
          <w:color w:val="202124"/>
          <w:spacing w:val="-15"/>
          <w:lang w:val="id-ID"/>
        </w:rPr>
        <w:t xml:space="preserve"> </w:t>
      </w:r>
      <w:r>
        <w:rPr>
          <w:color w:val="202124"/>
          <w:spacing w:val="-1"/>
          <w:lang w:val="id-ID"/>
        </w:rPr>
        <w:t>dalam</w:t>
      </w:r>
      <w:r>
        <w:rPr>
          <w:color w:val="202124"/>
          <w:spacing w:val="-14"/>
          <w:lang w:val="id-ID"/>
        </w:rPr>
        <w:t xml:space="preserve"> </w:t>
      </w:r>
      <w:r>
        <w:rPr>
          <w:color w:val="202124"/>
          <w:spacing w:val="-1"/>
          <w:lang w:val="id-ID"/>
        </w:rPr>
        <w:t>publikasi</w:t>
      </w:r>
      <w:r>
        <w:rPr>
          <w:color w:val="202124"/>
          <w:spacing w:val="-14"/>
          <w:lang w:val="id-ID"/>
        </w:rPr>
        <w:t xml:space="preserve"> </w:t>
      </w:r>
      <w:r>
        <w:rPr>
          <w:color w:val="202124"/>
          <w:spacing w:val="-1"/>
          <w:lang w:val="id-ID"/>
        </w:rPr>
        <w:t>manuskrip,</w:t>
      </w:r>
      <w:r>
        <w:rPr>
          <w:color w:val="202124"/>
          <w:spacing w:val="-14"/>
          <w:lang w:val="id-ID"/>
        </w:rPr>
        <w:t xml:space="preserve"> </w:t>
      </w:r>
      <w:r>
        <w:rPr>
          <w:color w:val="202124"/>
          <w:lang w:val="id-ID"/>
        </w:rPr>
        <w:t>presentasi,</w:t>
      </w:r>
      <w:r>
        <w:rPr>
          <w:color w:val="202124"/>
          <w:spacing w:val="-14"/>
          <w:lang w:val="id-ID"/>
        </w:rPr>
        <w:t xml:space="preserve"> </w:t>
      </w:r>
      <w:r>
        <w:rPr>
          <w:color w:val="202124"/>
          <w:lang w:val="id-ID"/>
        </w:rPr>
        <w:t>dan</w:t>
      </w:r>
      <w:r>
        <w:rPr>
          <w:color w:val="202124"/>
          <w:spacing w:val="-14"/>
          <w:lang w:val="id-ID"/>
        </w:rPr>
        <w:t xml:space="preserve"> </w:t>
      </w:r>
      <w:r>
        <w:rPr>
          <w:color w:val="202124"/>
          <w:lang w:val="id-ID"/>
        </w:rPr>
        <w:t>konferensi.</w:t>
      </w:r>
      <w:r>
        <w:rPr>
          <w:color w:val="202124"/>
          <w:spacing w:val="-15"/>
          <w:lang w:val="id-ID"/>
        </w:rPr>
        <w:t xml:space="preserve"> </w:t>
      </w:r>
      <w:r>
        <w:rPr>
          <w:color w:val="202124"/>
          <w:lang w:val="id-ID"/>
        </w:rPr>
        <w:t>Kami</w:t>
      </w:r>
      <w:r>
        <w:rPr>
          <w:color w:val="202124"/>
          <w:spacing w:val="-14"/>
          <w:lang w:val="id-ID"/>
        </w:rPr>
        <w:t xml:space="preserve"> </w:t>
      </w:r>
      <w:r>
        <w:rPr>
          <w:color w:val="202124"/>
          <w:lang w:val="id-ID"/>
        </w:rPr>
        <w:t>akan</w:t>
      </w:r>
      <w:r>
        <w:rPr>
          <w:color w:val="202124"/>
          <w:spacing w:val="-14"/>
          <w:lang w:val="id-ID"/>
        </w:rPr>
        <w:t xml:space="preserve"> </w:t>
      </w:r>
      <w:r>
        <w:rPr>
          <w:color w:val="202124"/>
          <w:lang w:val="id-ID"/>
        </w:rPr>
        <w:t>mengambil</w:t>
      </w:r>
      <w:r>
        <w:rPr>
          <w:color w:val="202124"/>
          <w:spacing w:val="-58"/>
          <w:lang w:val="id-ID"/>
        </w:rPr>
        <w:t xml:space="preserve"> </w:t>
      </w:r>
      <w:r w:rsidRPr="00F426C1">
        <w:rPr>
          <w:color w:val="202124"/>
          <w:spacing w:val="-58"/>
          <w:lang w:val="id-ID"/>
        </w:rPr>
        <w:t xml:space="preserve">          </w:t>
      </w:r>
      <w:r>
        <w:rPr>
          <w:color w:val="202124"/>
          <w:lang w:val="id-ID"/>
        </w:rPr>
        <w:t>semua langkah yang wajar untuk melindungi identitas responden. Setiap hasil</w:t>
      </w:r>
      <w:r>
        <w:rPr>
          <w:color w:val="202124"/>
          <w:spacing w:val="1"/>
          <w:lang w:val="id-ID"/>
        </w:rPr>
        <w:t xml:space="preserve"> </w:t>
      </w:r>
      <w:r>
        <w:rPr>
          <w:color w:val="202124"/>
          <w:lang w:val="id-ID"/>
        </w:rPr>
        <w:t>tertulis</w:t>
      </w:r>
      <w:r>
        <w:rPr>
          <w:color w:val="202124"/>
          <w:spacing w:val="1"/>
          <w:lang w:val="id-ID"/>
        </w:rPr>
        <w:t xml:space="preserve"> </w:t>
      </w:r>
      <w:r>
        <w:rPr>
          <w:color w:val="202124"/>
          <w:lang w:val="id-ID"/>
        </w:rPr>
        <w:t>akan</w:t>
      </w:r>
      <w:r>
        <w:rPr>
          <w:color w:val="202124"/>
          <w:spacing w:val="1"/>
          <w:lang w:val="id-ID"/>
        </w:rPr>
        <w:t xml:space="preserve"> </w:t>
      </w:r>
      <w:r>
        <w:rPr>
          <w:color w:val="202124"/>
          <w:lang w:val="id-ID"/>
        </w:rPr>
        <w:t>membahas</w:t>
      </w:r>
      <w:r>
        <w:rPr>
          <w:color w:val="202124"/>
          <w:spacing w:val="1"/>
          <w:lang w:val="id-ID"/>
        </w:rPr>
        <w:t xml:space="preserve"> </w:t>
      </w:r>
      <w:r>
        <w:rPr>
          <w:color w:val="202124"/>
          <w:lang w:val="id-ID"/>
        </w:rPr>
        <w:t>temuan</w:t>
      </w:r>
      <w:r>
        <w:rPr>
          <w:color w:val="202124"/>
          <w:spacing w:val="1"/>
          <w:lang w:val="id-ID"/>
        </w:rPr>
        <w:t xml:space="preserve"> </w:t>
      </w:r>
      <w:r>
        <w:rPr>
          <w:color w:val="202124"/>
          <w:lang w:val="id-ID"/>
        </w:rPr>
        <w:t>kelompok</w:t>
      </w:r>
      <w:r>
        <w:rPr>
          <w:color w:val="202124"/>
          <w:spacing w:val="1"/>
          <w:lang w:val="id-ID"/>
        </w:rPr>
        <w:t xml:space="preserve"> </w:t>
      </w:r>
      <w:r>
        <w:rPr>
          <w:color w:val="202124"/>
          <w:lang w:val="id-ID"/>
        </w:rPr>
        <w:t>secara</w:t>
      </w:r>
      <w:r>
        <w:rPr>
          <w:color w:val="202124"/>
          <w:spacing w:val="1"/>
          <w:lang w:val="id-ID"/>
        </w:rPr>
        <w:t xml:space="preserve"> </w:t>
      </w:r>
      <w:r>
        <w:rPr>
          <w:color w:val="202124"/>
          <w:lang w:val="id-ID"/>
        </w:rPr>
        <w:t>agregat</w:t>
      </w:r>
      <w:r>
        <w:rPr>
          <w:color w:val="202124"/>
          <w:spacing w:val="1"/>
          <w:lang w:val="id-ID"/>
        </w:rPr>
        <w:t xml:space="preserve"> </w:t>
      </w:r>
      <w:r>
        <w:rPr>
          <w:color w:val="202124"/>
          <w:lang w:val="id-ID"/>
        </w:rPr>
        <w:t>dan</w:t>
      </w:r>
      <w:r>
        <w:rPr>
          <w:color w:val="202124"/>
          <w:spacing w:val="1"/>
          <w:lang w:val="id-ID"/>
        </w:rPr>
        <w:t xml:space="preserve"> </w:t>
      </w:r>
      <w:r>
        <w:rPr>
          <w:color w:val="202124"/>
          <w:lang w:val="id-ID"/>
        </w:rPr>
        <w:t>tidak</w:t>
      </w:r>
      <w:r>
        <w:rPr>
          <w:color w:val="202124"/>
          <w:spacing w:val="1"/>
          <w:lang w:val="id-ID"/>
        </w:rPr>
        <w:t xml:space="preserve"> </w:t>
      </w:r>
      <w:r>
        <w:rPr>
          <w:color w:val="202124"/>
          <w:lang w:val="id-ID"/>
        </w:rPr>
        <w:t>akan</w:t>
      </w:r>
      <w:r>
        <w:rPr>
          <w:color w:val="202124"/>
          <w:spacing w:val="1"/>
          <w:lang w:val="id-ID"/>
        </w:rPr>
        <w:t xml:space="preserve"> </w:t>
      </w:r>
      <w:r>
        <w:rPr>
          <w:color w:val="202124"/>
          <w:lang w:val="id-ID"/>
        </w:rPr>
        <w:t>menyertakan</w:t>
      </w:r>
      <w:r>
        <w:rPr>
          <w:color w:val="202124"/>
          <w:spacing w:val="1"/>
          <w:lang w:val="id-ID"/>
        </w:rPr>
        <w:t xml:space="preserve"> </w:t>
      </w:r>
      <w:r>
        <w:rPr>
          <w:color w:val="202124"/>
          <w:lang w:val="id-ID"/>
        </w:rPr>
        <w:t>informasi</w:t>
      </w:r>
      <w:r>
        <w:rPr>
          <w:color w:val="202124"/>
          <w:spacing w:val="1"/>
          <w:lang w:val="id-ID"/>
        </w:rPr>
        <w:t xml:space="preserve"> </w:t>
      </w:r>
      <w:r>
        <w:rPr>
          <w:color w:val="202124"/>
          <w:lang w:val="id-ID"/>
        </w:rPr>
        <w:t>yang</w:t>
      </w:r>
      <w:r>
        <w:rPr>
          <w:color w:val="202124"/>
          <w:spacing w:val="1"/>
          <w:lang w:val="id-ID"/>
        </w:rPr>
        <w:t xml:space="preserve"> </w:t>
      </w:r>
      <w:r>
        <w:rPr>
          <w:color w:val="202124"/>
          <w:lang w:val="id-ID"/>
        </w:rPr>
        <w:t>secara</w:t>
      </w:r>
      <w:r>
        <w:rPr>
          <w:color w:val="202124"/>
          <w:spacing w:val="1"/>
          <w:lang w:val="id-ID"/>
        </w:rPr>
        <w:t xml:space="preserve"> </w:t>
      </w:r>
      <w:r>
        <w:rPr>
          <w:color w:val="202124"/>
          <w:lang w:val="id-ID"/>
        </w:rPr>
        <w:t>langsung</w:t>
      </w:r>
      <w:r>
        <w:rPr>
          <w:color w:val="202124"/>
          <w:spacing w:val="1"/>
          <w:lang w:val="id-ID"/>
        </w:rPr>
        <w:t xml:space="preserve"> </w:t>
      </w:r>
      <w:r>
        <w:rPr>
          <w:color w:val="202124"/>
          <w:lang w:val="id-ID"/>
        </w:rPr>
        <w:t>atau</w:t>
      </w:r>
      <w:r>
        <w:rPr>
          <w:color w:val="202124"/>
          <w:spacing w:val="1"/>
          <w:lang w:val="id-ID"/>
        </w:rPr>
        <w:t xml:space="preserve"> </w:t>
      </w:r>
      <w:r>
        <w:rPr>
          <w:color w:val="202124"/>
          <w:lang w:val="id-ID"/>
        </w:rPr>
        <w:t>tidak</w:t>
      </w:r>
      <w:r>
        <w:rPr>
          <w:color w:val="202124"/>
          <w:spacing w:val="1"/>
          <w:lang w:val="id-ID"/>
        </w:rPr>
        <w:t xml:space="preserve"> </w:t>
      </w:r>
      <w:r>
        <w:rPr>
          <w:color w:val="202124"/>
          <w:lang w:val="id-ID"/>
        </w:rPr>
        <w:t>langsung</w:t>
      </w:r>
      <w:r>
        <w:rPr>
          <w:color w:val="202124"/>
          <w:spacing w:val="1"/>
          <w:lang w:val="id-ID"/>
        </w:rPr>
        <w:t xml:space="preserve"> </w:t>
      </w:r>
      <w:r>
        <w:rPr>
          <w:color w:val="202124"/>
          <w:lang w:val="id-ID"/>
        </w:rPr>
        <w:t>akan</w:t>
      </w:r>
      <w:r>
        <w:rPr>
          <w:color w:val="202124"/>
          <w:spacing w:val="1"/>
          <w:lang w:val="id-ID"/>
        </w:rPr>
        <w:t xml:space="preserve"> </w:t>
      </w:r>
      <w:r>
        <w:rPr>
          <w:color w:val="202124"/>
          <w:lang w:val="id-ID"/>
        </w:rPr>
        <w:t>mengidentifikasi</w:t>
      </w:r>
      <w:r>
        <w:rPr>
          <w:color w:val="202124"/>
          <w:spacing w:val="-1"/>
          <w:lang w:val="id-ID"/>
        </w:rPr>
        <w:t xml:space="preserve"> </w:t>
      </w:r>
      <w:r w:rsidRPr="00F426C1">
        <w:rPr>
          <w:color w:val="202124"/>
          <w:lang w:val="id-ID"/>
        </w:rPr>
        <w:t>Ibu</w:t>
      </w:r>
      <w:r>
        <w:rPr>
          <w:color w:val="202124"/>
          <w:lang w:val="id-ID"/>
        </w:rPr>
        <w:t>.</w:t>
      </w:r>
    </w:p>
    <w:p w14:paraId="6BC6F36D" w14:textId="77777777" w:rsidR="00D72714" w:rsidRDefault="00D72714" w:rsidP="00D72714">
      <w:pPr>
        <w:pStyle w:val="BodyText"/>
        <w:spacing w:before="1" w:line="360" w:lineRule="auto"/>
        <w:ind w:right="66" w:firstLine="709"/>
        <w:jc w:val="both"/>
        <w:rPr>
          <w:color w:val="202124"/>
          <w:lang w:val="id-ID" w:eastAsia="zh-CN"/>
        </w:rPr>
      </w:pPr>
      <w:r>
        <w:rPr>
          <w:lang w:val="id-ID"/>
        </w:rPr>
        <w:t xml:space="preserve">Jika </w:t>
      </w:r>
      <w:r w:rsidRPr="00F426C1">
        <w:rPr>
          <w:lang w:val="id-ID"/>
        </w:rPr>
        <w:t>pasien/wali pasien bersedia</w:t>
      </w:r>
      <w:r>
        <w:rPr>
          <w:lang w:val="id-ID"/>
        </w:rPr>
        <w:t xml:space="preserve"> untuk ikut serta dalam penelitian ini, kami persilakan untuk</w:t>
      </w:r>
      <w:r>
        <w:rPr>
          <w:spacing w:val="1"/>
          <w:lang w:val="id-ID"/>
        </w:rPr>
        <w:t xml:space="preserve"> </w:t>
      </w:r>
      <w:r>
        <w:rPr>
          <w:lang w:val="id-ID"/>
        </w:rPr>
        <w:t>menandatangani formulir persetujuan untuk ikut dalam penelitian ini (formulir terlampir).</w:t>
      </w:r>
      <w:r>
        <w:rPr>
          <w:spacing w:val="-57"/>
          <w:lang w:val="id-ID"/>
        </w:rPr>
        <w:t xml:space="preserve"> </w:t>
      </w:r>
      <w:r w:rsidRPr="00F426C1">
        <w:rPr>
          <w:spacing w:val="-57"/>
          <w:lang w:val="id-ID"/>
        </w:rPr>
        <w:t xml:space="preserve"> </w:t>
      </w:r>
      <w:r>
        <w:rPr>
          <w:lang w:val="id-ID"/>
        </w:rPr>
        <w:t xml:space="preserve">Namun bila </w:t>
      </w:r>
      <w:r w:rsidRPr="00F426C1">
        <w:rPr>
          <w:lang w:val="id-ID"/>
        </w:rPr>
        <w:t xml:space="preserve">pasien/wali pasien </w:t>
      </w:r>
      <w:r>
        <w:rPr>
          <w:lang w:val="id-ID"/>
        </w:rPr>
        <w:t>tidak bersedia ikut dalam penelitian ini atau mungkin</w:t>
      </w:r>
      <w:r>
        <w:rPr>
          <w:spacing w:val="1"/>
          <w:lang w:val="id-ID"/>
        </w:rPr>
        <w:t xml:space="preserve"> </w:t>
      </w:r>
      <w:r>
        <w:rPr>
          <w:lang w:val="id-ID"/>
        </w:rPr>
        <w:t>mengundurkan diri dari penelitian ini, kami tidak akan memaksakannya.</w:t>
      </w:r>
      <w:r>
        <w:rPr>
          <w:spacing w:val="1"/>
          <w:lang w:val="id-ID"/>
        </w:rPr>
        <w:t xml:space="preserve"> </w:t>
      </w:r>
      <w:r>
        <w:rPr>
          <w:lang w:val="id-ID"/>
        </w:rPr>
        <w:t>Kami</w:t>
      </w:r>
      <w:r>
        <w:rPr>
          <w:spacing w:val="1"/>
          <w:lang w:val="id-ID"/>
        </w:rPr>
        <w:t xml:space="preserve"> </w:t>
      </w:r>
      <w:r>
        <w:rPr>
          <w:lang w:val="id-ID"/>
        </w:rPr>
        <w:t>tetap</w:t>
      </w:r>
      <w:r>
        <w:rPr>
          <w:spacing w:val="1"/>
          <w:lang w:val="id-ID"/>
        </w:rPr>
        <w:t xml:space="preserve"> </w:t>
      </w:r>
      <w:r>
        <w:rPr>
          <w:lang w:val="id-ID"/>
        </w:rPr>
        <w:t>memberikan pelayanan sebagaimana mestinya sesuai dengan standar pelayanan medis</w:t>
      </w:r>
      <w:r>
        <w:rPr>
          <w:spacing w:val="1"/>
          <w:lang w:val="id-ID"/>
        </w:rPr>
        <w:t xml:space="preserve"> </w:t>
      </w:r>
      <w:r>
        <w:rPr>
          <w:lang w:val="id-ID"/>
        </w:rPr>
        <w:t>yang</w:t>
      </w:r>
      <w:r>
        <w:rPr>
          <w:spacing w:val="-1"/>
          <w:lang w:val="id-ID"/>
        </w:rPr>
        <w:t xml:space="preserve"> </w:t>
      </w:r>
      <w:r>
        <w:rPr>
          <w:lang w:val="id-ID"/>
        </w:rPr>
        <w:t>berlaku.</w:t>
      </w:r>
    </w:p>
    <w:p w14:paraId="4A7593A9" w14:textId="77777777" w:rsidR="00D72714" w:rsidRDefault="00D72714" w:rsidP="00D72714">
      <w:pPr>
        <w:pStyle w:val="BodyText"/>
        <w:spacing w:before="1" w:line="360" w:lineRule="auto"/>
        <w:ind w:right="66" w:firstLine="709"/>
        <w:jc w:val="both"/>
        <w:rPr>
          <w:lang w:val="id-ID" w:eastAsia="zh-CN"/>
        </w:rPr>
      </w:pPr>
      <w:r>
        <w:rPr>
          <w:lang w:val="id-ID"/>
        </w:rPr>
        <w:t>Dan</w:t>
      </w:r>
      <w:r>
        <w:rPr>
          <w:spacing w:val="1"/>
          <w:lang w:val="id-ID"/>
        </w:rPr>
        <w:t xml:space="preserve"> </w:t>
      </w:r>
      <w:r>
        <w:rPr>
          <w:lang w:val="id-ID"/>
        </w:rPr>
        <w:t>jika</w:t>
      </w:r>
      <w:r>
        <w:rPr>
          <w:spacing w:val="1"/>
          <w:lang w:val="id-ID"/>
        </w:rPr>
        <w:t xml:space="preserve"> </w:t>
      </w:r>
      <w:r>
        <w:rPr>
          <w:lang w:val="en-US"/>
        </w:rPr>
        <w:t>pasien/</w:t>
      </w:r>
      <w:proofErr w:type="spellStart"/>
      <w:r>
        <w:rPr>
          <w:lang w:val="en-US"/>
        </w:rPr>
        <w:t>wali</w:t>
      </w:r>
      <w:proofErr w:type="spellEnd"/>
      <w:r>
        <w:rPr>
          <w:lang w:val="en-US"/>
        </w:rPr>
        <w:t xml:space="preserve"> pasien</w:t>
      </w:r>
      <w:r>
        <w:rPr>
          <w:spacing w:val="1"/>
          <w:lang w:val="en-US"/>
        </w:rPr>
        <w:t xml:space="preserve"> </w:t>
      </w:r>
      <w:r>
        <w:rPr>
          <w:lang w:val="id-ID"/>
        </w:rPr>
        <w:t>menyejui</w:t>
      </w:r>
      <w:r>
        <w:rPr>
          <w:spacing w:val="1"/>
          <w:lang w:val="id-ID"/>
        </w:rPr>
        <w:t xml:space="preserve"> </w:t>
      </w:r>
      <w:r>
        <w:rPr>
          <w:lang w:val="id-ID"/>
        </w:rPr>
        <w:t>untuk</w:t>
      </w:r>
      <w:r>
        <w:rPr>
          <w:spacing w:val="1"/>
          <w:lang w:val="id-ID"/>
        </w:rPr>
        <w:t xml:space="preserve"> </w:t>
      </w:r>
      <w:r>
        <w:rPr>
          <w:lang w:val="id-ID"/>
        </w:rPr>
        <w:t>ikut</w:t>
      </w:r>
      <w:r>
        <w:rPr>
          <w:spacing w:val="1"/>
          <w:lang w:val="id-ID"/>
        </w:rPr>
        <w:t xml:space="preserve"> </w:t>
      </w:r>
      <w:r>
        <w:rPr>
          <w:lang w:val="id-ID"/>
        </w:rPr>
        <w:t>maka</w:t>
      </w:r>
      <w:r>
        <w:rPr>
          <w:spacing w:val="1"/>
          <w:lang w:val="id-ID"/>
        </w:rPr>
        <w:t xml:space="preserve"> </w:t>
      </w:r>
      <w:r>
        <w:rPr>
          <w:lang w:val="en-US"/>
        </w:rPr>
        <w:t xml:space="preserve">pasien </w:t>
      </w:r>
      <w:r>
        <w:rPr>
          <w:lang w:val="id-ID"/>
        </w:rPr>
        <w:t>harus</w:t>
      </w:r>
      <w:r>
        <w:rPr>
          <w:spacing w:val="1"/>
          <w:lang w:val="id-ID"/>
        </w:rPr>
        <w:t xml:space="preserve"> </w:t>
      </w:r>
      <w:r>
        <w:rPr>
          <w:lang w:val="id-ID"/>
        </w:rPr>
        <w:t>mengikuti</w:t>
      </w:r>
      <w:r>
        <w:rPr>
          <w:spacing w:val="1"/>
          <w:lang w:val="id-ID"/>
        </w:rPr>
        <w:t xml:space="preserve"> </w:t>
      </w:r>
      <w:r>
        <w:rPr>
          <w:lang w:val="id-ID"/>
        </w:rPr>
        <w:t>protokol</w:t>
      </w:r>
      <w:r>
        <w:rPr>
          <w:spacing w:val="1"/>
          <w:lang w:val="id-ID"/>
        </w:rPr>
        <w:t xml:space="preserve"> </w:t>
      </w:r>
      <w:r>
        <w:rPr>
          <w:lang w:val="id-ID"/>
        </w:rPr>
        <w:t>penelitian sampai selesai. Jika setuju, maka</w:t>
      </w:r>
      <w:r w:rsidRPr="00F426C1">
        <w:rPr>
          <w:lang w:val="id-ID"/>
        </w:rPr>
        <w:t xml:space="preserve"> pasien </w:t>
      </w:r>
      <w:r>
        <w:rPr>
          <w:lang w:val="id-ID"/>
        </w:rPr>
        <w:t>akan kami masukkan ke</w:t>
      </w:r>
      <w:r>
        <w:rPr>
          <w:spacing w:val="1"/>
          <w:lang w:val="id-ID"/>
        </w:rPr>
        <w:t xml:space="preserve"> </w:t>
      </w:r>
      <w:r>
        <w:rPr>
          <w:lang w:val="id-ID"/>
        </w:rPr>
        <w:t>dalam salah satu kelompok tersebut dan tidak ada biaya tambahan apapun yang akan</w:t>
      </w:r>
      <w:r>
        <w:rPr>
          <w:spacing w:val="1"/>
          <w:lang w:val="id-ID"/>
        </w:rPr>
        <w:t xml:space="preserve"> </w:t>
      </w:r>
      <w:r>
        <w:rPr>
          <w:lang w:val="id-ID"/>
        </w:rPr>
        <w:t xml:space="preserve">dikenakan kepada </w:t>
      </w:r>
      <w:r w:rsidRPr="00F426C1">
        <w:rPr>
          <w:lang w:val="id-ID"/>
        </w:rPr>
        <w:t xml:space="preserve">pasien </w:t>
      </w:r>
      <w:r>
        <w:rPr>
          <w:lang w:val="id-ID"/>
        </w:rPr>
        <w:t>sehubungan dengan penelitian ini. Semua data-data</w:t>
      </w:r>
      <w:r>
        <w:rPr>
          <w:spacing w:val="1"/>
          <w:lang w:val="id-ID"/>
        </w:rPr>
        <w:t xml:space="preserve"> </w:t>
      </w:r>
      <w:r>
        <w:rPr>
          <w:lang w:val="id-ID"/>
        </w:rPr>
        <w:t>mulai</w:t>
      </w:r>
      <w:r>
        <w:rPr>
          <w:spacing w:val="-1"/>
          <w:lang w:val="id-ID"/>
        </w:rPr>
        <w:t xml:space="preserve"> </w:t>
      </w:r>
      <w:r>
        <w:rPr>
          <w:lang w:val="id-ID"/>
        </w:rPr>
        <w:t>dari</w:t>
      </w:r>
      <w:r>
        <w:rPr>
          <w:spacing w:val="-2"/>
          <w:lang w:val="id-ID"/>
        </w:rPr>
        <w:t xml:space="preserve"> </w:t>
      </w:r>
      <w:r>
        <w:rPr>
          <w:lang w:val="id-ID"/>
        </w:rPr>
        <w:t>data</w:t>
      </w:r>
      <w:r>
        <w:rPr>
          <w:spacing w:val="-1"/>
          <w:lang w:val="id-ID"/>
        </w:rPr>
        <w:t xml:space="preserve"> </w:t>
      </w:r>
      <w:r>
        <w:rPr>
          <w:lang w:val="id-ID"/>
        </w:rPr>
        <w:t>diri</w:t>
      </w:r>
      <w:r>
        <w:rPr>
          <w:spacing w:val="-2"/>
          <w:lang w:val="id-ID"/>
        </w:rPr>
        <w:t xml:space="preserve"> </w:t>
      </w:r>
      <w:r>
        <w:rPr>
          <w:lang w:val="id-ID"/>
        </w:rPr>
        <w:t>sampai hasil</w:t>
      </w:r>
      <w:r>
        <w:rPr>
          <w:spacing w:val="-1"/>
          <w:lang w:val="id-ID"/>
        </w:rPr>
        <w:t xml:space="preserve"> </w:t>
      </w:r>
      <w:r>
        <w:rPr>
          <w:lang w:val="id-ID"/>
        </w:rPr>
        <w:t>penelitian akan</w:t>
      </w:r>
      <w:r>
        <w:rPr>
          <w:spacing w:val="-1"/>
          <w:lang w:val="id-ID"/>
        </w:rPr>
        <w:t xml:space="preserve"> </w:t>
      </w:r>
      <w:r>
        <w:rPr>
          <w:lang w:val="id-ID"/>
        </w:rPr>
        <w:t>dijamin</w:t>
      </w:r>
      <w:r>
        <w:rPr>
          <w:spacing w:val="-1"/>
          <w:lang w:val="id-ID"/>
        </w:rPr>
        <w:t xml:space="preserve"> </w:t>
      </w:r>
      <w:r>
        <w:rPr>
          <w:lang w:val="id-ID"/>
        </w:rPr>
        <w:t>kerahasiaannya.</w:t>
      </w:r>
    </w:p>
    <w:p w14:paraId="1BAE8600" w14:textId="77777777" w:rsidR="00D72714" w:rsidRDefault="00D72714" w:rsidP="00D72714">
      <w:pPr>
        <w:spacing w:line="360" w:lineRule="auto"/>
        <w:ind w:right="66" w:firstLine="709"/>
        <w:jc w:val="both"/>
        <w:rPr>
          <w:lang w:val="id-ID"/>
        </w:rPr>
      </w:pPr>
      <w:r>
        <w:rPr>
          <w:lang w:val="id-ID"/>
        </w:rPr>
        <w:t>Jika ada hal yang ingin ditanyakan mengenai penelitian ini dapat menghubungi penelitian dengan alamat dan nomor kontak di bawah ini atau menghubungi Komisi etik Penelitian Kesehatan Fakultas Kedokteran Universitas Hasanuddin An. Ibu Rahayu Iriani no HP. 081343825297 atau dr. Agussalim Bukhari, M.Med, Ph.D, Sp.GK (K) No. HP. 081225704670 Alamat: Jl. Perintis Kemerdekaan KM 10 Tamalanrea 90245, Makassar.</w:t>
      </w:r>
    </w:p>
    <w:p w14:paraId="11576C0B" w14:textId="77777777" w:rsidR="00D72714" w:rsidRDefault="00D72714" w:rsidP="00D72714">
      <w:pPr>
        <w:spacing w:line="360" w:lineRule="auto"/>
        <w:ind w:right="66"/>
        <w:jc w:val="both"/>
        <w:rPr>
          <w:lang w:val="id-ID"/>
        </w:rPr>
      </w:pPr>
      <w:r>
        <w:rPr>
          <w:lang w:val="id-ID"/>
        </w:rPr>
        <w:t>Identitas Peneliti :</w:t>
      </w:r>
    </w:p>
    <w:p w14:paraId="61D8A4C1" w14:textId="77777777" w:rsidR="00D72714" w:rsidRDefault="00D72714" w:rsidP="00D72714">
      <w:pPr>
        <w:pStyle w:val="BodyText"/>
        <w:numPr>
          <w:ilvl w:val="3"/>
          <w:numId w:val="33"/>
        </w:numPr>
        <w:autoSpaceDN w:val="0"/>
        <w:spacing w:before="1" w:line="360" w:lineRule="auto"/>
        <w:ind w:left="426" w:right="66" w:hanging="426"/>
        <w:jc w:val="both"/>
        <w:rPr>
          <w:lang w:val="en-US"/>
        </w:rPr>
      </w:pPr>
      <w:r>
        <w:rPr>
          <w:lang w:val="id-ID"/>
        </w:rPr>
        <w:t>Nama</w:t>
      </w:r>
      <w:r>
        <w:rPr>
          <w:spacing w:val="-1"/>
          <w:lang w:val="id-ID"/>
        </w:rPr>
        <w:t xml:space="preserve"> </w:t>
      </w:r>
      <w:r>
        <w:rPr>
          <w:lang w:val="id-ID"/>
        </w:rPr>
        <w:t>:</w:t>
      </w:r>
      <w:r>
        <w:rPr>
          <w:spacing w:val="-1"/>
          <w:lang w:val="id-ID"/>
        </w:rPr>
        <w:t xml:space="preserve"> </w:t>
      </w:r>
      <w:r>
        <w:rPr>
          <w:lang w:val="en-US"/>
        </w:rPr>
        <w:t>Herman Mangasi Silaban</w:t>
      </w:r>
    </w:p>
    <w:p w14:paraId="4F357A3F" w14:textId="77777777" w:rsidR="00D72714" w:rsidRDefault="00D72714" w:rsidP="00D72714">
      <w:pPr>
        <w:pStyle w:val="BodyText"/>
        <w:numPr>
          <w:ilvl w:val="3"/>
          <w:numId w:val="33"/>
        </w:numPr>
        <w:autoSpaceDN w:val="0"/>
        <w:spacing w:before="1" w:line="360" w:lineRule="auto"/>
        <w:ind w:left="426" w:right="66" w:hanging="426"/>
        <w:jc w:val="both"/>
        <w:rPr>
          <w:lang w:val="en-US"/>
        </w:rPr>
      </w:pPr>
      <w:r>
        <w:rPr>
          <w:lang w:val="id-ID"/>
        </w:rPr>
        <w:t xml:space="preserve">Alamat : </w:t>
      </w:r>
      <w:proofErr w:type="spellStart"/>
      <w:r>
        <w:rPr>
          <w:lang w:val="en-US"/>
        </w:rPr>
        <w:t>Pondok</w:t>
      </w:r>
      <w:proofErr w:type="spellEnd"/>
      <w:r>
        <w:rPr>
          <w:lang w:val="en-US"/>
        </w:rPr>
        <w:t xml:space="preserve"> Berlian Indah 2, BTP Blok M No. 130</w:t>
      </w:r>
    </w:p>
    <w:p w14:paraId="519F9F93" w14:textId="77777777" w:rsidR="00D72714" w:rsidRDefault="00D72714" w:rsidP="00D72714">
      <w:pPr>
        <w:pStyle w:val="BodyText"/>
        <w:numPr>
          <w:ilvl w:val="3"/>
          <w:numId w:val="33"/>
        </w:numPr>
        <w:autoSpaceDN w:val="0"/>
        <w:spacing w:before="1" w:line="360" w:lineRule="auto"/>
        <w:ind w:left="426" w:right="66" w:hanging="426"/>
        <w:jc w:val="both"/>
        <w:rPr>
          <w:lang w:val="en-US"/>
        </w:rPr>
      </w:pPr>
      <w:r>
        <w:rPr>
          <w:lang w:val="id-ID"/>
        </w:rPr>
        <w:t xml:space="preserve">No Hp : </w:t>
      </w:r>
      <w:r>
        <w:rPr>
          <w:lang w:val="en-US"/>
        </w:rPr>
        <w:t>085271667876</w:t>
      </w:r>
    </w:p>
    <w:p w14:paraId="7D569282" w14:textId="77777777" w:rsidR="00825F7F" w:rsidRDefault="00825F7F" w:rsidP="003C78FE">
      <w:pPr>
        <w:tabs>
          <w:tab w:val="left" w:pos="426"/>
          <w:tab w:val="left" w:pos="993"/>
        </w:tabs>
        <w:spacing w:line="360" w:lineRule="auto"/>
        <w:ind w:left="993" w:hanging="993"/>
        <w:jc w:val="both"/>
        <w:rPr>
          <w:b/>
          <w:bCs/>
          <w:lang w:val="id-ID"/>
        </w:rPr>
      </w:pPr>
    </w:p>
    <w:p w14:paraId="020F65D1" w14:textId="1BF3A6FF" w:rsidR="00825F7F" w:rsidRPr="00D72714" w:rsidRDefault="00D72714" w:rsidP="003C78FE">
      <w:pPr>
        <w:tabs>
          <w:tab w:val="left" w:pos="426"/>
          <w:tab w:val="left" w:pos="993"/>
        </w:tabs>
        <w:spacing w:line="360" w:lineRule="auto"/>
        <w:ind w:left="993" w:hanging="993"/>
        <w:jc w:val="both"/>
        <w:rPr>
          <w:b/>
          <w:bCs/>
          <w:lang w:val="en-US"/>
        </w:rPr>
      </w:pPr>
      <w:r>
        <w:rPr>
          <w:b/>
          <w:bCs/>
          <w:lang w:val="en-US"/>
        </w:rPr>
        <w:lastRenderedPageBreak/>
        <w:t>LAMPIRAN 2</w:t>
      </w:r>
    </w:p>
    <w:p w14:paraId="70AE4EB6" w14:textId="77777777" w:rsidR="00825F7F" w:rsidRDefault="00825F7F" w:rsidP="003C78FE">
      <w:pPr>
        <w:tabs>
          <w:tab w:val="left" w:pos="426"/>
          <w:tab w:val="left" w:pos="993"/>
        </w:tabs>
        <w:spacing w:line="360" w:lineRule="auto"/>
        <w:ind w:left="993" w:hanging="993"/>
        <w:jc w:val="both"/>
        <w:rPr>
          <w:b/>
          <w:bCs/>
          <w:lang w:val="id-ID"/>
        </w:rPr>
      </w:pPr>
    </w:p>
    <w:p w14:paraId="63CE8ADE" w14:textId="77777777" w:rsidR="00D72714" w:rsidRDefault="00D72714" w:rsidP="00D72714">
      <w:pPr>
        <w:ind w:left="701" w:right="958"/>
        <w:jc w:val="center"/>
        <w:rPr>
          <w:b/>
        </w:rPr>
      </w:pPr>
      <w:r>
        <w:rPr>
          <w:b/>
          <w:u w:val="thick"/>
        </w:rPr>
        <w:t>FORMULIR</w:t>
      </w:r>
      <w:r>
        <w:rPr>
          <w:b/>
          <w:spacing w:val="-1"/>
          <w:u w:val="thick"/>
        </w:rPr>
        <w:t xml:space="preserve"> </w:t>
      </w:r>
      <w:r>
        <w:rPr>
          <w:b/>
          <w:u w:val="thick"/>
        </w:rPr>
        <w:t>PERSETUJUAN</w:t>
      </w:r>
      <w:r>
        <w:rPr>
          <w:b/>
          <w:spacing w:val="-1"/>
          <w:u w:val="thick"/>
        </w:rPr>
        <w:t xml:space="preserve"> </w:t>
      </w:r>
      <w:r>
        <w:rPr>
          <w:b/>
          <w:u w:val="thick"/>
        </w:rPr>
        <w:t>SETELAH</w:t>
      </w:r>
      <w:r>
        <w:rPr>
          <w:b/>
          <w:spacing w:val="-1"/>
          <w:u w:val="thick"/>
        </w:rPr>
        <w:t xml:space="preserve"> </w:t>
      </w:r>
      <w:r>
        <w:rPr>
          <w:b/>
          <w:u w:val="thick"/>
        </w:rPr>
        <w:t>PENJELASAN</w:t>
      </w:r>
    </w:p>
    <w:p w14:paraId="05B24716" w14:textId="77777777" w:rsidR="00D72714" w:rsidRDefault="00D72714" w:rsidP="00D72714">
      <w:pPr>
        <w:pStyle w:val="BodyText"/>
        <w:spacing w:before="2"/>
        <w:rPr>
          <w:b/>
          <w:sz w:val="16"/>
        </w:rPr>
      </w:pPr>
    </w:p>
    <w:p w14:paraId="235DC1B4" w14:textId="77777777" w:rsidR="00D72714" w:rsidRDefault="00D72714" w:rsidP="00D72714">
      <w:pPr>
        <w:pStyle w:val="BodyText"/>
        <w:spacing w:after="0" w:line="360" w:lineRule="auto"/>
      </w:pPr>
      <w:r>
        <w:t>Saya</w:t>
      </w:r>
      <w:r>
        <w:rPr>
          <w:spacing w:val="-3"/>
        </w:rPr>
        <w:t xml:space="preserve"> </w:t>
      </w:r>
      <w:r>
        <w:t>yang</w:t>
      </w:r>
      <w:r>
        <w:rPr>
          <w:spacing w:val="-1"/>
        </w:rPr>
        <w:t xml:space="preserve"> </w:t>
      </w:r>
      <w:r>
        <w:t>bertandatangan</w:t>
      </w:r>
      <w:r>
        <w:rPr>
          <w:spacing w:val="-2"/>
        </w:rPr>
        <w:t xml:space="preserve"> </w:t>
      </w:r>
      <w:r>
        <w:t>di</w:t>
      </w:r>
      <w:r>
        <w:rPr>
          <w:spacing w:val="-1"/>
        </w:rPr>
        <w:t xml:space="preserve"> </w:t>
      </w:r>
      <w:r>
        <w:t>bawah</w:t>
      </w:r>
      <w:r>
        <w:rPr>
          <w:spacing w:val="-1"/>
        </w:rPr>
        <w:t xml:space="preserve"> </w:t>
      </w:r>
      <w:r>
        <w:t>ini</w:t>
      </w:r>
      <w:r>
        <w:rPr>
          <w:spacing w:val="-3"/>
        </w:rPr>
        <w:t xml:space="preserve"> </w:t>
      </w:r>
      <w:r>
        <w:t>:</w:t>
      </w:r>
    </w:p>
    <w:p w14:paraId="5EDCDE65" w14:textId="77777777" w:rsidR="00D72714" w:rsidRDefault="00D72714" w:rsidP="00D72714">
      <w:pPr>
        <w:pStyle w:val="BodyText"/>
        <w:tabs>
          <w:tab w:val="left" w:pos="2879"/>
        </w:tabs>
        <w:spacing w:after="0" w:line="360" w:lineRule="auto"/>
        <w:rPr>
          <w:lang w:eastAsia="zh-CN"/>
        </w:rPr>
      </w:pPr>
      <w:r>
        <w:t>Nama</w:t>
      </w:r>
      <w:r w:rsidRPr="00F426C1">
        <w:rPr>
          <w:lang w:val="pt-BR"/>
        </w:rPr>
        <w:t xml:space="preserve"> </w:t>
      </w:r>
      <w:r>
        <w:t>:</w:t>
      </w:r>
    </w:p>
    <w:p w14:paraId="5A4CB7E2" w14:textId="77777777" w:rsidR="00D72714" w:rsidRDefault="00D72714" w:rsidP="00D72714">
      <w:pPr>
        <w:pStyle w:val="BodyText"/>
        <w:tabs>
          <w:tab w:val="left" w:pos="2879"/>
        </w:tabs>
        <w:spacing w:after="0" w:line="360" w:lineRule="auto"/>
      </w:pPr>
      <w:r w:rsidRPr="00F426C1">
        <w:rPr>
          <w:lang w:val="pt-BR" w:eastAsia="zh-CN"/>
        </w:rPr>
        <w:t>No KTP :</w:t>
      </w:r>
      <w:r>
        <w:rPr>
          <w:spacing w:val="60"/>
        </w:rPr>
        <w:t xml:space="preserve"> </w:t>
      </w:r>
    </w:p>
    <w:p w14:paraId="4C374838" w14:textId="77777777" w:rsidR="00D72714" w:rsidRDefault="00D72714" w:rsidP="00D72714">
      <w:pPr>
        <w:pStyle w:val="BodyText"/>
        <w:tabs>
          <w:tab w:val="left" w:pos="2879"/>
        </w:tabs>
        <w:spacing w:after="0" w:line="360" w:lineRule="auto"/>
      </w:pPr>
      <w:r>
        <w:t>U</w:t>
      </w:r>
      <w:r w:rsidRPr="00F426C1">
        <w:rPr>
          <w:lang w:val="pt-BR"/>
        </w:rPr>
        <w:t xml:space="preserve">sia </w:t>
      </w:r>
      <w:r>
        <w:t xml:space="preserve">: </w:t>
      </w:r>
    </w:p>
    <w:p w14:paraId="7FDA747E" w14:textId="77777777" w:rsidR="00D72714" w:rsidRDefault="00D72714" w:rsidP="00D72714">
      <w:pPr>
        <w:pStyle w:val="BodyText"/>
        <w:spacing w:after="0" w:line="360" w:lineRule="auto"/>
        <w:rPr>
          <w:lang w:eastAsia="zh-CN"/>
        </w:rPr>
      </w:pPr>
      <w:r>
        <w:t>Alamat</w:t>
      </w:r>
      <w:r w:rsidRPr="00F426C1">
        <w:rPr>
          <w:lang w:val="pt-BR"/>
        </w:rPr>
        <w:t xml:space="preserve"> :</w:t>
      </w:r>
    </w:p>
    <w:p w14:paraId="7AB3F20B" w14:textId="77777777" w:rsidR="00D72714" w:rsidRDefault="00D72714" w:rsidP="00D72714">
      <w:pPr>
        <w:pStyle w:val="BodyText"/>
        <w:spacing w:after="0" w:line="360" w:lineRule="auto"/>
        <w:ind w:right="108" w:firstLine="851"/>
        <w:rPr>
          <w:lang w:eastAsia="zh-CN"/>
        </w:rPr>
      </w:pPr>
      <w:r>
        <w:rPr>
          <w:lang w:val="en-US" w:eastAsia="zh-CN"/>
        </w:rPr>
        <w:t>S</w:t>
      </w:r>
      <w:r>
        <w:rPr>
          <w:lang w:eastAsia="zh-CN"/>
        </w:rPr>
        <w:t>etelah mendengar/membaca</w:t>
      </w:r>
      <w:r>
        <w:rPr>
          <w:spacing w:val="1"/>
          <w:lang w:eastAsia="zh-CN"/>
        </w:rPr>
        <w:t xml:space="preserve"> </w:t>
      </w:r>
      <w:r>
        <w:rPr>
          <w:lang w:eastAsia="zh-CN"/>
        </w:rPr>
        <w:t>dan mengerti penjelasan yang diberikan mengenai tujuan,</w:t>
      </w:r>
      <w:r>
        <w:rPr>
          <w:spacing w:val="1"/>
          <w:lang w:eastAsia="zh-CN"/>
        </w:rPr>
        <w:t xml:space="preserve"> </w:t>
      </w:r>
      <w:r>
        <w:rPr>
          <w:lang w:eastAsia="zh-CN"/>
        </w:rPr>
        <w:t>manfaat, dan apa yang akan dilakukan pada penelitian ini, menyatakan setuju untuk ikut</w:t>
      </w:r>
      <w:r>
        <w:rPr>
          <w:spacing w:val="1"/>
          <w:lang w:eastAsia="zh-CN"/>
        </w:rPr>
        <w:t xml:space="preserve"> </w:t>
      </w:r>
      <w:r>
        <w:rPr>
          <w:lang w:eastAsia="zh-CN"/>
        </w:rPr>
        <w:t>dalam</w:t>
      </w:r>
      <w:r>
        <w:rPr>
          <w:spacing w:val="-1"/>
          <w:lang w:eastAsia="zh-CN"/>
        </w:rPr>
        <w:t xml:space="preserve"> </w:t>
      </w:r>
      <w:r>
        <w:rPr>
          <w:lang w:eastAsia="zh-CN"/>
        </w:rPr>
        <w:t>penelitian ini</w:t>
      </w:r>
      <w:r>
        <w:rPr>
          <w:spacing w:val="-1"/>
          <w:lang w:eastAsia="zh-CN"/>
        </w:rPr>
        <w:t xml:space="preserve"> </w:t>
      </w:r>
      <w:r>
        <w:rPr>
          <w:lang w:eastAsia="zh-CN"/>
        </w:rPr>
        <w:t>secara</w:t>
      </w:r>
      <w:r>
        <w:rPr>
          <w:spacing w:val="-1"/>
          <w:lang w:eastAsia="zh-CN"/>
        </w:rPr>
        <w:t xml:space="preserve"> </w:t>
      </w:r>
      <w:r>
        <w:rPr>
          <w:lang w:eastAsia="zh-CN"/>
        </w:rPr>
        <w:t>sukarela</w:t>
      </w:r>
      <w:r>
        <w:rPr>
          <w:spacing w:val="-1"/>
          <w:lang w:eastAsia="zh-CN"/>
        </w:rPr>
        <w:t xml:space="preserve"> </w:t>
      </w:r>
      <w:r>
        <w:rPr>
          <w:lang w:eastAsia="zh-CN"/>
        </w:rPr>
        <w:t>tanpa</w:t>
      </w:r>
      <w:r>
        <w:rPr>
          <w:spacing w:val="-2"/>
          <w:lang w:eastAsia="zh-CN"/>
        </w:rPr>
        <w:t xml:space="preserve"> </w:t>
      </w:r>
      <w:r>
        <w:rPr>
          <w:lang w:eastAsia="zh-CN"/>
        </w:rPr>
        <w:t>paksaan.</w:t>
      </w:r>
    </w:p>
    <w:p w14:paraId="64597BF7" w14:textId="77777777" w:rsidR="00D72714" w:rsidRDefault="00D72714" w:rsidP="00D72714">
      <w:pPr>
        <w:pStyle w:val="BodyText"/>
        <w:spacing w:after="0" w:line="360" w:lineRule="auto"/>
        <w:ind w:right="108" w:firstLine="851"/>
        <w:rPr>
          <w:lang w:eastAsia="zh-CN"/>
        </w:rPr>
      </w:pPr>
      <w:r>
        <w:t>Saya tahu bahwa keikutsertaan saya ini bersifat sukarela tanpa paksaan, sehingga</w:t>
      </w:r>
      <w:r>
        <w:rPr>
          <w:spacing w:val="1"/>
        </w:rPr>
        <w:t xml:space="preserve"> </w:t>
      </w:r>
      <w:r>
        <w:t xml:space="preserve">saya bisa menolak ikut atau mengundurkan diri dari penelitian ini. </w:t>
      </w:r>
      <w:r>
        <w:rPr>
          <w:lang w:eastAsia="zh-CN"/>
        </w:rPr>
        <w:t>Saya berhak bertanya</w:t>
      </w:r>
      <w:r>
        <w:rPr>
          <w:spacing w:val="1"/>
          <w:lang w:eastAsia="zh-CN"/>
        </w:rPr>
        <w:t xml:space="preserve"> </w:t>
      </w:r>
      <w:r>
        <w:rPr>
          <w:lang w:eastAsia="zh-CN"/>
        </w:rPr>
        <w:t>atau meminta penjelasan pada peneliti bila masih ada hal yang belum jelas atau masih ada</w:t>
      </w:r>
      <w:r>
        <w:rPr>
          <w:spacing w:val="-57"/>
          <w:lang w:eastAsia="zh-CN"/>
        </w:rPr>
        <w:t xml:space="preserve"> </w:t>
      </w:r>
      <w:r>
        <w:rPr>
          <w:lang w:eastAsia="zh-CN"/>
        </w:rPr>
        <w:t>hal</w:t>
      </w:r>
      <w:r>
        <w:rPr>
          <w:spacing w:val="-1"/>
          <w:lang w:eastAsia="zh-CN"/>
        </w:rPr>
        <w:t xml:space="preserve"> </w:t>
      </w:r>
      <w:r>
        <w:rPr>
          <w:lang w:eastAsia="zh-CN"/>
        </w:rPr>
        <w:t>yang ingin saya</w:t>
      </w:r>
      <w:r>
        <w:rPr>
          <w:spacing w:val="-1"/>
          <w:lang w:eastAsia="zh-CN"/>
        </w:rPr>
        <w:t xml:space="preserve"> </w:t>
      </w:r>
      <w:r>
        <w:rPr>
          <w:lang w:eastAsia="zh-CN"/>
        </w:rPr>
        <w:t>ketahui</w:t>
      </w:r>
      <w:r>
        <w:rPr>
          <w:spacing w:val="-1"/>
          <w:lang w:eastAsia="zh-CN"/>
        </w:rPr>
        <w:t xml:space="preserve"> </w:t>
      </w:r>
      <w:r>
        <w:rPr>
          <w:lang w:eastAsia="zh-CN"/>
        </w:rPr>
        <w:t>tentang penelitian</w:t>
      </w:r>
      <w:r>
        <w:rPr>
          <w:spacing w:val="-1"/>
          <w:lang w:eastAsia="zh-CN"/>
        </w:rPr>
        <w:t xml:space="preserve"> </w:t>
      </w:r>
      <w:r>
        <w:rPr>
          <w:lang w:eastAsia="zh-CN"/>
        </w:rPr>
        <w:t>ini.</w:t>
      </w:r>
    </w:p>
    <w:tbl>
      <w:tblPr>
        <w:tblpPr w:leftFromText="180" w:rightFromText="180" w:vertAnchor="text" w:horzAnchor="margin" w:tblpY="1560"/>
        <w:tblW w:w="8617" w:type="dxa"/>
        <w:tblLayout w:type="fixed"/>
        <w:tblCellMar>
          <w:left w:w="0" w:type="dxa"/>
          <w:right w:w="0" w:type="dxa"/>
        </w:tblCellMar>
        <w:tblLook w:val="04A0" w:firstRow="1" w:lastRow="0" w:firstColumn="1" w:lastColumn="0" w:noHBand="0" w:noVBand="1"/>
      </w:tblPr>
      <w:tblGrid>
        <w:gridCol w:w="1251"/>
        <w:gridCol w:w="2341"/>
        <w:gridCol w:w="2642"/>
        <w:gridCol w:w="2383"/>
      </w:tblGrid>
      <w:tr w:rsidR="00D50634" w14:paraId="40476BE5" w14:textId="77777777" w:rsidTr="00D50634">
        <w:trPr>
          <w:trHeight w:val="246"/>
        </w:trPr>
        <w:tc>
          <w:tcPr>
            <w:tcW w:w="1251" w:type="dxa"/>
          </w:tcPr>
          <w:p w14:paraId="14923F52" w14:textId="77777777" w:rsidR="00D50634" w:rsidRDefault="00D50634" w:rsidP="00D50634">
            <w:pPr>
              <w:pStyle w:val="TableParagraph"/>
              <w:spacing w:line="360" w:lineRule="auto"/>
              <w:ind w:left="0"/>
              <w:rPr>
                <w:lang w:eastAsia="zh-CN"/>
              </w:rPr>
            </w:pPr>
          </w:p>
        </w:tc>
        <w:tc>
          <w:tcPr>
            <w:tcW w:w="2341" w:type="dxa"/>
          </w:tcPr>
          <w:p w14:paraId="4993D9F8" w14:textId="77777777" w:rsidR="00D50634" w:rsidRDefault="00D50634" w:rsidP="00D50634">
            <w:pPr>
              <w:pStyle w:val="TableParagraph"/>
              <w:spacing w:line="360" w:lineRule="auto"/>
              <w:ind w:left="231"/>
              <w:rPr>
                <w:b/>
              </w:rPr>
            </w:pPr>
            <w:r>
              <w:rPr>
                <w:b/>
              </w:rPr>
              <w:t>Nama</w:t>
            </w:r>
          </w:p>
        </w:tc>
        <w:tc>
          <w:tcPr>
            <w:tcW w:w="2642" w:type="dxa"/>
          </w:tcPr>
          <w:p w14:paraId="481DED3D" w14:textId="77777777" w:rsidR="00D50634" w:rsidRDefault="00D50634" w:rsidP="00D50634">
            <w:pPr>
              <w:pStyle w:val="TableParagraph"/>
              <w:spacing w:line="360" w:lineRule="auto"/>
              <w:ind w:left="35"/>
              <w:rPr>
                <w:b/>
              </w:rPr>
            </w:pPr>
            <w:r>
              <w:rPr>
                <w:b/>
              </w:rPr>
              <w:t>Tanda</w:t>
            </w:r>
            <w:r>
              <w:rPr>
                <w:b/>
                <w:spacing w:val="-4"/>
              </w:rPr>
              <w:t xml:space="preserve"> </w:t>
            </w:r>
            <w:r>
              <w:rPr>
                <w:b/>
              </w:rPr>
              <w:t>tangan</w:t>
            </w:r>
          </w:p>
        </w:tc>
        <w:tc>
          <w:tcPr>
            <w:tcW w:w="2383" w:type="dxa"/>
          </w:tcPr>
          <w:p w14:paraId="3F231773" w14:textId="77777777" w:rsidR="00D50634" w:rsidRDefault="00D50634" w:rsidP="00D50634">
            <w:pPr>
              <w:pStyle w:val="TableParagraph"/>
              <w:spacing w:line="360" w:lineRule="auto"/>
              <w:ind w:left="257"/>
              <w:rPr>
                <w:b/>
              </w:rPr>
            </w:pPr>
            <w:r>
              <w:rPr>
                <w:b/>
              </w:rPr>
              <w:t>Tgl/Bln/Thn</w:t>
            </w:r>
          </w:p>
        </w:tc>
      </w:tr>
      <w:tr w:rsidR="00D50634" w14:paraId="2E6CC82C" w14:textId="77777777" w:rsidTr="00D50634">
        <w:trPr>
          <w:trHeight w:val="333"/>
        </w:trPr>
        <w:tc>
          <w:tcPr>
            <w:tcW w:w="1251" w:type="dxa"/>
          </w:tcPr>
          <w:p w14:paraId="0F031739" w14:textId="77777777" w:rsidR="00D50634" w:rsidRDefault="00D50634" w:rsidP="00D50634">
            <w:pPr>
              <w:pStyle w:val="TableParagraph"/>
              <w:spacing w:line="360" w:lineRule="auto"/>
              <w:ind w:left="50"/>
            </w:pPr>
            <w:r>
              <w:t>Responden</w:t>
            </w:r>
          </w:p>
        </w:tc>
        <w:tc>
          <w:tcPr>
            <w:tcW w:w="2341" w:type="dxa"/>
          </w:tcPr>
          <w:p w14:paraId="049E8FD2" w14:textId="77777777" w:rsidR="00D50634" w:rsidRDefault="00D50634" w:rsidP="00D50634">
            <w:pPr>
              <w:pStyle w:val="TableParagraph"/>
              <w:spacing w:line="360" w:lineRule="auto"/>
              <w:ind w:left="231"/>
            </w:pPr>
            <w:r>
              <w:t>………………………..</w:t>
            </w:r>
          </w:p>
        </w:tc>
        <w:tc>
          <w:tcPr>
            <w:tcW w:w="2642" w:type="dxa"/>
          </w:tcPr>
          <w:p w14:paraId="520021E9" w14:textId="77777777" w:rsidR="00D50634" w:rsidRDefault="00D50634" w:rsidP="00D50634">
            <w:pPr>
              <w:pStyle w:val="TableParagraph"/>
              <w:spacing w:line="360" w:lineRule="auto"/>
              <w:ind w:left="310"/>
            </w:pPr>
            <w:r>
              <w:t>………………………..</w:t>
            </w:r>
          </w:p>
        </w:tc>
        <w:tc>
          <w:tcPr>
            <w:tcW w:w="2383" w:type="dxa"/>
          </w:tcPr>
          <w:p w14:paraId="6A21D171" w14:textId="77777777" w:rsidR="00D50634" w:rsidRDefault="00D50634" w:rsidP="00D50634">
            <w:pPr>
              <w:pStyle w:val="TableParagraph"/>
              <w:spacing w:line="360" w:lineRule="auto"/>
              <w:ind w:left="257"/>
            </w:pPr>
            <w:r>
              <w:t>………………………..</w:t>
            </w:r>
          </w:p>
        </w:tc>
      </w:tr>
      <w:tr w:rsidR="00D50634" w14:paraId="34038E55" w14:textId="77777777" w:rsidTr="00D50634">
        <w:trPr>
          <w:trHeight w:val="333"/>
        </w:trPr>
        <w:tc>
          <w:tcPr>
            <w:tcW w:w="1251" w:type="dxa"/>
          </w:tcPr>
          <w:p w14:paraId="1E481DF2" w14:textId="77777777" w:rsidR="00D50634" w:rsidRDefault="00D50634" w:rsidP="00D50634">
            <w:pPr>
              <w:pStyle w:val="TableParagraph"/>
              <w:spacing w:line="360" w:lineRule="auto"/>
              <w:ind w:left="0"/>
            </w:pPr>
          </w:p>
        </w:tc>
        <w:tc>
          <w:tcPr>
            <w:tcW w:w="2341" w:type="dxa"/>
          </w:tcPr>
          <w:p w14:paraId="4FB19E36" w14:textId="77777777" w:rsidR="00D50634" w:rsidRDefault="00D50634" w:rsidP="00D50634">
            <w:pPr>
              <w:pStyle w:val="TableParagraph"/>
              <w:spacing w:line="360" w:lineRule="auto"/>
              <w:ind w:left="0"/>
            </w:pPr>
          </w:p>
        </w:tc>
        <w:tc>
          <w:tcPr>
            <w:tcW w:w="2642" w:type="dxa"/>
          </w:tcPr>
          <w:p w14:paraId="6C0F5A87" w14:textId="77777777" w:rsidR="00D50634" w:rsidRDefault="00D50634" w:rsidP="00D50634">
            <w:pPr>
              <w:pStyle w:val="TableParagraph"/>
              <w:spacing w:line="360" w:lineRule="auto"/>
              <w:ind w:left="0"/>
            </w:pPr>
          </w:p>
        </w:tc>
        <w:tc>
          <w:tcPr>
            <w:tcW w:w="2383" w:type="dxa"/>
          </w:tcPr>
          <w:p w14:paraId="2410CFE0" w14:textId="77777777" w:rsidR="00D50634" w:rsidRDefault="00D50634" w:rsidP="00D50634">
            <w:pPr>
              <w:pStyle w:val="TableParagraph"/>
              <w:spacing w:line="360" w:lineRule="auto"/>
              <w:ind w:left="0"/>
            </w:pPr>
          </w:p>
        </w:tc>
      </w:tr>
      <w:tr w:rsidR="00D50634" w14:paraId="389869D5" w14:textId="77777777" w:rsidTr="00D50634">
        <w:trPr>
          <w:trHeight w:val="246"/>
        </w:trPr>
        <w:tc>
          <w:tcPr>
            <w:tcW w:w="1251" w:type="dxa"/>
          </w:tcPr>
          <w:p w14:paraId="07781113" w14:textId="77777777" w:rsidR="00D50634" w:rsidRPr="00D72714" w:rsidRDefault="00D50634" w:rsidP="00D50634">
            <w:pPr>
              <w:pStyle w:val="TableParagraph"/>
              <w:spacing w:line="360" w:lineRule="auto"/>
              <w:ind w:left="50"/>
              <w:rPr>
                <w:lang w:val="en-US"/>
              </w:rPr>
            </w:pPr>
            <w:r>
              <w:t>Saksi</w:t>
            </w:r>
            <w:r>
              <w:rPr>
                <w:lang w:val="en-US"/>
              </w:rPr>
              <w:t xml:space="preserve"> 1</w:t>
            </w:r>
          </w:p>
        </w:tc>
        <w:tc>
          <w:tcPr>
            <w:tcW w:w="2341" w:type="dxa"/>
          </w:tcPr>
          <w:p w14:paraId="2433B03D" w14:textId="77777777" w:rsidR="00D50634" w:rsidRDefault="00D50634" w:rsidP="00D50634">
            <w:pPr>
              <w:pStyle w:val="TableParagraph"/>
              <w:spacing w:line="360" w:lineRule="auto"/>
              <w:ind w:left="231"/>
            </w:pPr>
            <w:r>
              <w:t>………………………..</w:t>
            </w:r>
          </w:p>
        </w:tc>
        <w:tc>
          <w:tcPr>
            <w:tcW w:w="2642" w:type="dxa"/>
          </w:tcPr>
          <w:p w14:paraId="6DFCDFAF" w14:textId="77777777" w:rsidR="00D50634" w:rsidRDefault="00D50634" w:rsidP="00D50634">
            <w:pPr>
              <w:pStyle w:val="TableParagraph"/>
              <w:spacing w:line="360" w:lineRule="auto"/>
              <w:ind w:left="239"/>
            </w:pPr>
            <w:r>
              <w:t>………………………..</w:t>
            </w:r>
          </w:p>
        </w:tc>
        <w:tc>
          <w:tcPr>
            <w:tcW w:w="2383" w:type="dxa"/>
          </w:tcPr>
          <w:p w14:paraId="191E4060" w14:textId="77777777" w:rsidR="00D50634" w:rsidRDefault="00D50634" w:rsidP="00D50634">
            <w:pPr>
              <w:pStyle w:val="TableParagraph"/>
              <w:spacing w:line="360" w:lineRule="auto"/>
              <w:ind w:left="257"/>
            </w:pPr>
            <w:r>
              <w:t>………………………..</w:t>
            </w:r>
          </w:p>
        </w:tc>
      </w:tr>
      <w:tr w:rsidR="00D50634" w14:paraId="34D5F200" w14:textId="77777777" w:rsidTr="00D50634">
        <w:trPr>
          <w:trHeight w:val="246"/>
        </w:trPr>
        <w:tc>
          <w:tcPr>
            <w:tcW w:w="1251" w:type="dxa"/>
          </w:tcPr>
          <w:p w14:paraId="4A20EABE" w14:textId="77777777" w:rsidR="00D50634" w:rsidRDefault="00D50634" w:rsidP="00D50634">
            <w:pPr>
              <w:pStyle w:val="TableParagraph"/>
              <w:spacing w:line="360" w:lineRule="auto"/>
              <w:ind w:left="0"/>
            </w:pPr>
          </w:p>
        </w:tc>
        <w:tc>
          <w:tcPr>
            <w:tcW w:w="2341" w:type="dxa"/>
          </w:tcPr>
          <w:p w14:paraId="6BDA571C" w14:textId="77777777" w:rsidR="00D50634" w:rsidRDefault="00D50634" w:rsidP="00D50634">
            <w:pPr>
              <w:pStyle w:val="TableParagraph"/>
              <w:spacing w:line="360" w:lineRule="auto"/>
              <w:ind w:left="231"/>
            </w:pPr>
          </w:p>
        </w:tc>
        <w:tc>
          <w:tcPr>
            <w:tcW w:w="2642" w:type="dxa"/>
          </w:tcPr>
          <w:p w14:paraId="324CB014" w14:textId="77777777" w:rsidR="00D50634" w:rsidRDefault="00D50634" w:rsidP="00D50634">
            <w:pPr>
              <w:pStyle w:val="TableParagraph"/>
              <w:spacing w:line="360" w:lineRule="auto"/>
              <w:ind w:left="239"/>
            </w:pPr>
          </w:p>
        </w:tc>
        <w:tc>
          <w:tcPr>
            <w:tcW w:w="2383" w:type="dxa"/>
          </w:tcPr>
          <w:p w14:paraId="430BC01D" w14:textId="77777777" w:rsidR="00D50634" w:rsidRDefault="00D50634" w:rsidP="00D50634">
            <w:pPr>
              <w:pStyle w:val="TableParagraph"/>
              <w:spacing w:line="360" w:lineRule="auto"/>
              <w:ind w:left="0"/>
            </w:pPr>
          </w:p>
        </w:tc>
      </w:tr>
      <w:tr w:rsidR="00D50634" w14:paraId="18AC895A" w14:textId="77777777" w:rsidTr="00D50634">
        <w:trPr>
          <w:trHeight w:val="246"/>
        </w:trPr>
        <w:tc>
          <w:tcPr>
            <w:tcW w:w="1251" w:type="dxa"/>
          </w:tcPr>
          <w:p w14:paraId="0EB1BF32" w14:textId="77777777" w:rsidR="00D50634" w:rsidRPr="00D72714" w:rsidRDefault="00D50634" w:rsidP="00D50634">
            <w:pPr>
              <w:pStyle w:val="TableParagraph"/>
              <w:spacing w:line="360" w:lineRule="auto"/>
              <w:ind w:left="50"/>
              <w:rPr>
                <w:lang w:val="en-US"/>
              </w:rPr>
            </w:pPr>
            <w:r>
              <w:t>Saksi</w:t>
            </w:r>
            <w:r>
              <w:rPr>
                <w:lang w:val="en-US"/>
              </w:rPr>
              <w:t xml:space="preserve"> 2</w:t>
            </w:r>
          </w:p>
        </w:tc>
        <w:tc>
          <w:tcPr>
            <w:tcW w:w="2341" w:type="dxa"/>
          </w:tcPr>
          <w:p w14:paraId="5400A8CB" w14:textId="77777777" w:rsidR="00D50634" w:rsidRDefault="00D50634" w:rsidP="00D50634">
            <w:pPr>
              <w:pStyle w:val="TableParagraph"/>
              <w:spacing w:line="360" w:lineRule="auto"/>
              <w:ind w:left="231"/>
            </w:pPr>
            <w:r>
              <w:t>………………………..</w:t>
            </w:r>
          </w:p>
        </w:tc>
        <w:tc>
          <w:tcPr>
            <w:tcW w:w="2642" w:type="dxa"/>
          </w:tcPr>
          <w:p w14:paraId="38586676" w14:textId="77777777" w:rsidR="00D50634" w:rsidRDefault="00D50634" w:rsidP="00D50634">
            <w:pPr>
              <w:pStyle w:val="TableParagraph"/>
              <w:spacing w:line="360" w:lineRule="auto"/>
              <w:ind w:left="239"/>
            </w:pPr>
            <w:r>
              <w:t>………………………..</w:t>
            </w:r>
          </w:p>
        </w:tc>
        <w:tc>
          <w:tcPr>
            <w:tcW w:w="2383" w:type="dxa"/>
          </w:tcPr>
          <w:p w14:paraId="325F9A3B" w14:textId="77777777" w:rsidR="00D50634" w:rsidRDefault="00D50634" w:rsidP="00D50634">
            <w:pPr>
              <w:pStyle w:val="TableParagraph"/>
              <w:spacing w:line="360" w:lineRule="auto"/>
              <w:ind w:left="257"/>
            </w:pPr>
            <w:r>
              <w:t>………………………..</w:t>
            </w:r>
          </w:p>
        </w:tc>
      </w:tr>
      <w:tr w:rsidR="00D50634" w14:paraId="6274172E" w14:textId="77777777" w:rsidTr="00D50634">
        <w:trPr>
          <w:trHeight w:val="134"/>
        </w:trPr>
        <w:tc>
          <w:tcPr>
            <w:tcW w:w="1251" w:type="dxa"/>
          </w:tcPr>
          <w:p w14:paraId="2E1DF2DA" w14:textId="77777777" w:rsidR="00D50634" w:rsidRDefault="00D50634" w:rsidP="00D50634">
            <w:pPr>
              <w:pStyle w:val="TableParagraph"/>
              <w:spacing w:line="360" w:lineRule="auto"/>
              <w:ind w:left="0"/>
            </w:pPr>
          </w:p>
        </w:tc>
        <w:tc>
          <w:tcPr>
            <w:tcW w:w="2341" w:type="dxa"/>
          </w:tcPr>
          <w:p w14:paraId="4DFA4EAA" w14:textId="77777777" w:rsidR="00D50634" w:rsidRDefault="00D50634" w:rsidP="00D50634">
            <w:pPr>
              <w:pStyle w:val="TableParagraph"/>
              <w:spacing w:line="360" w:lineRule="auto"/>
              <w:ind w:left="231"/>
            </w:pPr>
          </w:p>
        </w:tc>
        <w:tc>
          <w:tcPr>
            <w:tcW w:w="2642" w:type="dxa"/>
          </w:tcPr>
          <w:p w14:paraId="16A8B5D0" w14:textId="77777777" w:rsidR="00D50634" w:rsidRDefault="00D50634" w:rsidP="00D50634">
            <w:pPr>
              <w:pStyle w:val="TableParagraph"/>
              <w:spacing w:line="360" w:lineRule="auto"/>
              <w:ind w:left="239"/>
            </w:pPr>
          </w:p>
        </w:tc>
        <w:tc>
          <w:tcPr>
            <w:tcW w:w="2383" w:type="dxa"/>
          </w:tcPr>
          <w:p w14:paraId="6153AF2C" w14:textId="77777777" w:rsidR="00D50634" w:rsidRDefault="00D50634" w:rsidP="00D50634">
            <w:pPr>
              <w:pStyle w:val="TableParagraph"/>
              <w:spacing w:line="360" w:lineRule="auto"/>
              <w:ind w:left="0"/>
            </w:pPr>
          </w:p>
        </w:tc>
      </w:tr>
    </w:tbl>
    <w:p w14:paraId="57F5A931" w14:textId="1AAA24A4" w:rsidR="00D72714" w:rsidRPr="000C3707" w:rsidRDefault="00D50634" w:rsidP="00D72714">
      <w:pPr>
        <w:pStyle w:val="BodyText"/>
        <w:spacing w:after="0" w:line="360" w:lineRule="auto"/>
        <w:ind w:right="108" w:firstLine="851"/>
        <w:rPr>
          <w:rFonts w:eastAsiaTheme="minorEastAsia"/>
          <w:lang w:eastAsia="zh-CN"/>
        </w:rPr>
      </w:pPr>
      <w:r>
        <w:t xml:space="preserve"> </w:t>
      </w:r>
      <w:r w:rsidR="00D72714">
        <w:t>Saya juga mengerti bahwa semua biaya yang dikeluarkan sehubungan dengan</w:t>
      </w:r>
      <w:r w:rsidR="00D72714">
        <w:rPr>
          <w:spacing w:val="1"/>
        </w:rPr>
        <w:t xml:space="preserve"> </w:t>
      </w:r>
      <w:r w:rsidR="00D72714">
        <w:t>penelitian</w:t>
      </w:r>
      <w:r w:rsidR="00D72714">
        <w:rPr>
          <w:spacing w:val="1"/>
        </w:rPr>
        <w:t xml:space="preserve"> </w:t>
      </w:r>
      <w:r w:rsidR="00D72714">
        <w:t>ini,</w:t>
      </w:r>
      <w:r w:rsidR="00D72714">
        <w:rPr>
          <w:spacing w:val="1"/>
        </w:rPr>
        <w:t xml:space="preserve"> </w:t>
      </w:r>
      <w:r w:rsidR="00D72714">
        <w:t>akan</w:t>
      </w:r>
      <w:r w:rsidR="00D72714">
        <w:rPr>
          <w:spacing w:val="1"/>
        </w:rPr>
        <w:t xml:space="preserve"> </w:t>
      </w:r>
      <w:r w:rsidR="00D72714">
        <w:t>ditanggung</w:t>
      </w:r>
      <w:r w:rsidR="00D72714">
        <w:rPr>
          <w:spacing w:val="1"/>
        </w:rPr>
        <w:t xml:space="preserve"> </w:t>
      </w:r>
      <w:r w:rsidR="00D72714">
        <w:t>oleh</w:t>
      </w:r>
      <w:r w:rsidR="00D72714">
        <w:rPr>
          <w:spacing w:val="1"/>
        </w:rPr>
        <w:t xml:space="preserve"> </w:t>
      </w:r>
      <w:r w:rsidR="00D72714">
        <w:t>peneliti.</w:t>
      </w:r>
      <w:r w:rsidR="00D72714">
        <w:rPr>
          <w:spacing w:val="1"/>
        </w:rPr>
        <w:t xml:space="preserve"> </w:t>
      </w:r>
      <w:r w:rsidR="00D72714">
        <w:rPr>
          <w:lang w:eastAsia="zh-CN"/>
        </w:rPr>
        <w:t>Saya</w:t>
      </w:r>
      <w:r w:rsidR="00D72714">
        <w:rPr>
          <w:spacing w:val="1"/>
          <w:lang w:eastAsia="zh-CN"/>
        </w:rPr>
        <w:t xml:space="preserve"> </w:t>
      </w:r>
      <w:r w:rsidR="00D72714">
        <w:rPr>
          <w:lang w:eastAsia="zh-CN"/>
        </w:rPr>
        <w:t>percaya</w:t>
      </w:r>
      <w:r w:rsidR="00D72714">
        <w:rPr>
          <w:spacing w:val="1"/>
          <w:lang w:eastAsia="zh-CN"/>
        </w:rPr>
        <w:t xml:space="preserve"> </w:t>
      </w:r>
      <w:r w:rsidR="00D72714">
        <w:rPr>
          <w:lang w:eastAsia="zh-CN"/>
        </w:rPr>
        <w:t>bahwa</w:t>
      </w:r>
      <w:r w:rsidR="00D72714">
        <w:rPr>
          <w:spacing w:val="1"/>
          <w:lang w:eastAsia="zh-CN"/>
        </w:rPr>
        <w:t xml:space="preserve"> </w:t>
      </w:r>
      <w:r w:rsidR="00D72714">
        <w:rPr>
          <w:lang w:eastAsia="zh-CN"/>
        </w:rPr>
        <w:t>keamanan</w:t>
      </w:r>
      <w:r w:rsidR="00D72714">
        <w:rPr>
          <w:spacing w:val="1"/>
          <w:lang w:eastAsia="zh-CN"/>
        </w:rPr>
        <w:t xml:space="preserve"> </w:t>
      </w:r>
      <w:r w:rsidR="00D72714">
        <w:rPr>
          <w:lang w:eastAsia="zh-CN"/>
        </w:rPr>
        <w:t>dan</w:t>
      </w:r>
      <w:r w:rsidR="00D72714">
        <w:rPr>
          <w:spacing w:val="1"/>
          <w:lang w:eastAsia="zh-CN"/>
        </w:rPr>
        <w:t xml:space="preserve"> </w:t>
      </w:r>
      <w:r w:rsidR="00D72714">
        <w:rPr>
          <w:lang w:eastAsia="zh-CN"/>
        </w:rPr>
        <w:t>kerahasiaan data penelitian akan terjamin dan saya dengan ini</w:t>
      </w:r>
      <w:r w:rsidR="00D72714">
        <w:rPr>
          <w:spacing w:val="1"/>
          <w:lang w:eastAsia="zh-CN"/>
        </w:rPr>
        <w:t xml:space="preserve"> </w:t>
      </w:r>
      <w:r w:rsidR="00D72714">
        <w:rPr>
          <w:lang w:eastAsia="zh-CN"/>
        </w:rPr>
        <w:t>menyetujui semua</w:t>
      </w:r>
      <w:r w:rsidR="00D72714">
        <w:rPr>
          <w:spacing w:val="60"/>
          <w:lang w:eastAsia="zh-CN"/>
        </w:rPr>
        <w:t xml:space="preserve"> </w:t>
      </w:r>
      <w:r w:rsidR="00D72714">
        <w:rPr>
          <w:lang w:eastAsia="zh-CN"/>
        </w:rPr>
        <w:t>data</w:t>
      </w:r>
      <w:r w:rsidR="00D72714">
        <w:rPr>
          <w:spacing w:val="1"/>
          <w:lang w:eastAsia="zh-CN"/>
        </w:rPr>
        <w:t xml:space="preserve"> </w:t>
      </w:r>
      <w:r w:rsidR="00D72714">
        <w:rPr>
          <w:lang w:eastAsia="zh-CN"/>
        </w:rPr>
        <w:t>saya</w:t>
      </w:r>
      <w:r w:rsidR="00D72714">
        <w:rPr>
          <w:spacing w:val="1"/>
          <w:lang w:eastAsia="zh-CN"/>
        </w:rPr>
        <w:t xml:space="preserve"> </w:t>
      </w:r>
      <w:r w:rsidR="00D72714">
        <w:rPr>
          <w:lang w:eastAsia="zh-CN"/>
        </w:rPr>
        <w:t>yang dihasilkan pada penelitian ini untuk disajikan dalam bentuk lisan maupun</w:t>
      </w:r>
      <w:r w:rsidR="00D72714">
        <w:rPr>
          <w:spacing w:val="1"/>
          <w:lang w:eastAsia="zh-CN"/>
        </w:rPr>
        <w:t xml:space="preserve"> </w:t>
      </w:r>
      <w:r w:rsidR="00D72714">
        <w:rPr>
          <w:lang w:eastAsia="zh-CN"/>
        </w:rPr>
        <w:t>tulisan.</w:t>
      </w:r>
    </w:p>
    <w:p w14:paraId="06689D50" w14:textId="77777777" w:rsidR="00D72714" w:rsidRDefault="00D72714" w:rsidP="00D72714">
      <w:pPr>
        <w:pStyle w:val="BodyText"/>
        <w:spacing w:after="0" w:line="360" w:lineRule="auto"/>
        <w:ind w:left="-567" w:right="108"/>
        <w:rPr>
          <w:color w:val="202124"/>
          <w:lang w:val="en-US" w:eastAsia="zh-CN"/>
        </w:rPr>
      </w:pPr>
    </w:p>
    <w:tbl>
      <w:tblPr>
        <w:tblStyle w:val="TableGrid"/>
        <w:tblpPr w:leftFromText="180" w:rightFromText="180" w:vertAnchor="text" w:horzAnchor="margin" w:tblpY="170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5"/>
        <w:gridCol w:w="4915"/>
      </w:tblGrid>
      <w:tr w:rsidR="00D50634" w14:paraId="7E5AACD8" w14:textId="77777777" w:rsidTr="00D50634">
        <w:tc>
          <w:tcPr>
            <w:tcW w:w="2323" w:type="pct"/>
          </w:tcPr>
          <w:p w14:paraId="3BD1881F" w14:textId="77777777" w:rsidR="00D50634" w:rsidRDefault="00D50634" w:rsidP="00D50634">
            <w:pPr>
              <w:tabs>
                <w:tab w:val="left" w:pos="426"/>
                <w:tab w:val="left" w:pos="993"/>
              </w:tabs>
              <w:spacing w:line="360" w:lineRule="auto"/>
              <w:jc w:val="both"/>
              <w:rPr>
                <w:rFonts w:eastAsiaTheme="minorEastAsia"/>
                <w:b/>
                <w:bCs/>
                <w:lang w:eastAsia="zh-CN"/>
              </w:rPr>
            </w:pPr>
            <w:r w:rsidRPr="00D50634">
              <w:rPr>
                <w:b/>
                <w:bCs/>
              </w:rPr>
              <w:t>Penanggung</w:t>
            </w:r>
            <w:r w:rsidRPr="00D50634">
              <w:rPr>
                <w:b/>
                <w:bCs/>
                <w:spacing w:val="-2"/>
              </w:rPr>
              <w:t xml:space="preserve"> </w:t>
            </w:r>
            <w:r w:rsidRPr="00D50634">
              <w:rPr>
                <w:b/>
                <w:bCs/>
              </w:rPr>
              <w:t>jawab</w:t>
            </w:r>
            <w:r w:rsidRPr="00D50634">
              <w:rPr>
                <w:b/>
                <w:bCs/>
                <w:spacing w:val="-2"/>
              </w:rPr>
              <w:t xml:space="preserve"> </w:t>
            </w:r>
            <w:r w:rsidRPr="00D50634">
              <w:rPr>
                <w:b/>
                <w:bCs/>
                <w:lang w:val="en-US"/>
              </w:rPr>
              <w:t>P</w:t>
            </w:r>
            <w:r w:rsidRPr="00D50634">
              <w:rPr>
                <w:b/>
                <w:bCs/>
              </w:rPr>
              <w:t>enelitian</w:t>
            </w:r>
            <w:r w:rsidRPr="00D50634">
              <w:rPr>
                <w:b/>
                <w:bCs/>
                <w:spacing w:val="-1"/>
              </w:rPr>
              <w:t xml:space="preserve"> </w:t>
            </w:r>
            <w:r w:rsidRPr="00D50634">
              <w:rPr>
                <w:b/>
                <w:bCs/>
              </w:rPr>
              <w:t>:</w:t>
            </w:r>
          </w:p>
          <w:p w14:paraId="705FCE4C" w14:textId="77777777" w:rsidR="00D50634" w:rsidRDefault="00D50634" w:rsidP="00D50634">
            <w:pPr>
              <w:tabs>
                <w:tab w:val="left" w:pos="426"/>
                <w:tab w:val="left" w:pos="993"/>
              </w:tabs>
              <w:spacing w:line="360" w:lineRule="auto"/>
              <w:jc w:val="both"/>
              <w:rPr>
                <w:lang w:val="en-US"/>
              </w:rPr>
            </w:pPr>
            <w:r>
              <w:t>Nama</w:t>
            </w:r>
            <w:r>
              <w:tab/>
              <w:t>:</w:t>
            </w:r>
            <w:r>
              <w:rPr>
                <w:spacing w:val="59"/>
              </w:rPr>
              <w:t xml:space="preserve"> </w:t>
            </w:r>
            <w:r>
              <w:rPr>
                <w:lang w:val="en-US"/>
              </w:rPr>
              <w:t>Dr. Herman Mangasi Silaban</w:t>
            </w:r>
          </w:p>
          <w:p w14:paraId="267A2CED" w14:textId="77777777" w:rsidR="00D50634" w:rsidRPr="00F426C1" w:rsidRDefault="00D50634" w:rsidP="00D50634">
            <w:pPr>
              <w:tabs>
                <w:tab w:val="left" w:pos="426"/>
                <w:tab w:val="left" w:pos="993"/>
              </w:tabs>
              <w:spacing w:line="360" w:lineRule="auto"/>
              <w:jc w:val="both"/>
              <w:rPr>
                <w:spacing w:val="-1"/>
                <w:lang w:val="pt-BR"/>
              </w:rPr>
            </w:pPr>
            <w:r>
              <w:t>Alamat</w:t>
            </w:r>
            <w:r>
              <w:rPr>
                <w:spacing w:val="58"/>
              </w:rPr>
              <w:t xml:space="preserve"> </w:t>
            </w:r>
            <w:r>
              <w:rPr>
                <w:spacing w:val="58"/>
                <w:lang w:eastAsia="zh-CN"/>
              </w:rPr>
              <w:tab/>
            </w:r>
            <w:r>
              <w:t>:</w:t>
            </w:r>
            <w:r>
              <w:rPr>
                <w:spacing w:val="-1"/>
              </w:rPr>
              <w:t xml:space="preserve"> </w:t>
            </w:r>
            <w:r w:rsidRPr="00F426C1">
              <w:rPr>
                <w:spacing w:val="-1"/>
                <w:lang w:val="pt-BR"/>
              </w:rPr>
              <w:t xml:space="preserve"> BTP Blok M No. 130</w:t>
            </w:r>
          </w:p>
          <w:p w14:paraId="381A488E" w14:textId="77777777" w:rsidR="00D50634" w:rsidRPr="00D50634" w:rsidRDefault="00D50634" w:rsidP="00D50634">
            <w:pPr>
              <w:tabs>
                <w:tab w:val="left" w:pos="426"/>
                <w:tab w:val="left" w:pos="993"/>
              </w:tabs>
              <w:spacing w:line="360" w:lineRule="auto"/>
              <w:jc w:val="both"/>
              <w:rPr>
                <w:rFonts w:eastAsiaTheme="minorEastAsia"/>
                <w:b/>
                <w:bCs/>
                <w:lang w:val="id-ID" w:eastAsia="zh-CN"/>
              </w:rPr>
            </w:pPr>
            <w:r>
              <w:t>Tlp</w:t>
            </w:r>
            <w:r>
              <w:rPr>
                <w:lang w:val="en-US"/>
              </w:rPr>
              <w:tab/>
            </w:r>
            <w:r>
              <w:t xml:space="preserve">: </w:t>
            </w:r>
            <w:r>
              <w:rPr>
                <w:lang w:val="en-US"/>
              </w:rPr>
              <w:t>085271667876</w:t>
            </w:r>
            <w:r>
              <w:rPr>
                <w:lang w:eastAsia="zh-CN"/>
              </w:rPr>
              <w:tab/>
            </w:r>
          </w:p>
        </w:tc>
        <w:tc>
          <w:tcPr>
            <w:tcW w:w="2677" w:type="pct"/>
          </w:tcPr>
          <w:p w14:paraId="635E3BDC" w14:textId="77777777" w:rsidR="00D50634" w:rsidRPr="00D50634" w:rsidRDefault="00D50634" w:rsidP="00D50634">
            <w:pPr>
              <w:pStyle w:val="Heading1"/>
              <w:tabs>
                <w:tab w:val="left" w:pos="4228"/>
              </w:tabs>
              <w:spacing w:line="274" w:lineRule="exact"/>
              <w:ind w:right="-761"/>
              <w:jc w:val="left"/>
              <w:rPr>
                <w:sz w:val="22"/>
                <w:szCs w:val="24"/>
              </w:rPr>
            </w:pPr>
            <w:r w:rsidRPr="00D50634">
              <w:rPr>
                <w:sz w:val="22"/>
                <w:szCs w:val="24"/>
              </w:rPr>
              <w:t>Penanggung</w:t>
            </w:r>
            <w:r w:rsidRPr="00D50634">
              <w:rPr>
                <w:spacing w:val="-2"/>
                <w:sz w:val="22"/>
                <w:szCs w:val="24"/>
              </w:rPr>
              <w:t xml:space="preserve"> </w:t>
            </w:r>
            <w:r w:rsidRPr="00D50634">
              <w:rPr>
                <w:sz w:val="22"/>
                <w:szCs w:val="24"/>
              </w:rPr>
              <w:t>jawab</w:t>
            </w:r>
            <w:r w:rsidRPr="00D50634">
              <w:rPr>
                <w:spacing w:val="-2"/>
                <w:sz w:val="22"/>
                <w:szCs w:val="24"/>
              </w:rPr>
              <w:t xml:space="preserve"> </w:t>
            </w:r>
            <w:r w:rsidRPr="00F426C1">
              <w:rPr>
                <w:sz w:val="22"/>
                <w:szCs w:val="24"/>
                <w:lang w:val="id-ID"/>
              </w:rPr>
              <w:t>M</w:t>
            </w:r>
            <w:r w:rsidRPr="00D50634">
              <w:rPr>
                <w:sz w:val="22"/>
                <w:szCs w:val="24"/>
              </w:rPr>
              <w:t>edis</w:t>
            </w:r>
            <w:r w:rsidRPr="00D50634">
              <w:rPr>
                <w:spacing w:val="-1"/>
                <w:sz w:val="22"/>
                <w:szCs w:val="24"/>
              </w:rPr>
              <w:t xml:space="preserve"> </w:t>
            </w:r>
            <w:r w:rsidRPr="00D50634">
              <w:rPr>
                <w:sz w:val="22"/>
                <w:szCs w:val="24"/>
              </w:rPr>
              <w:t>:</w:t>
            </w:r>
          </w:p>
          <w:p w14:paraId="312B63AE" w14:textId="77777777" w:rsidR="00D50634" w:rsidRPr="00F426C1" w:rsidRDefault="00D50634" w:rsidP="00D50634">
            <w:pPr>
              <w:tabs>
                <w:tab w:val="left" w:pos="426"/>
                <w:tab w:val="left" w:pos="993"/>
              </w:tabs>
              <w:spacing w:line="360" w:lineRule="auto"/>
              <w:jc w:val="both"/>
              <w:rPr>
                <w:lang w:val="id-ID"/>
              </w:rPr>
            </w:pPr>
            <w:r>
              <w:t>Nama</w:t>
            </w:r>
            <w:r>
              <w:tab/>
              <w:t>:</w:t>
            </w:r>
            <w:r>
              <w:rPr>
                <w:spacing w:val="59"/>
              </w:rPr>
              <w:t xml:space="preserve"> </w:t>
            </w:r>
            <w:r w:rsidRPr="00F426C1">
              <w:rPr>
                <w:lang w:val="id-ID"/>
              </w:rPr>
              <w:t xml:space="preserve">Dr. Ari Santri Palinrungi, M.Kes, </w:t>
            </w:r>
          </w:p>
          <w:p w14:paraId="689BCE3E" w14:textId="77777777" w:rsidR="00D50634" w:rsidRPr="00F426C1" w:rsidRDefault="00D50634" w:rsidP="00D50634">
            <w:pPr>
              <w:tabs>
                <w:tab w:val="left" w:pos="426"/>
                <w:tab w:val="left" w:pos="993"/>
              </w:tabs>
              <w:spacing w:line="360" w:lineRule="auto"/>
              <w:jc w:val="both"/>
              <w:rPr>
                <w:lang w:val="id-ID"/>
              </w:rPr>
            </w:pPr>
            <w:r w:rsidRPr="00F426C1">
              <w:rPr>
                <w:lang w:val="id-ID"/>
              </w:rPr>
              <w:t xml:space="preserve">                    Sp.An-T.I, Subsp.T.I</w:t>
            </w:r>
          </w:p>
          <w:p w14:paraId="3C441E07" w14:textId="77777777" w:rsidR="00D50634" w:rsidRPr="00D50634" w:rsidRDefault="00D50634" w:rsidP="00D50634">
            <w:pPr>
              <w:pStyle w:val="BodyText"/>
              <w:tabs>
                <w:tab w:val="left" w:pos="972"/>
                <w:tab w:val="left" w:pos="4204"/>
              </w:tabs>
              <w:ind w:right="-761"/>
              <w:rPr>
                <w:lang w:val="en-US" w:eastAsia="zh-CN"/>
              </w:rPr>
            </w:pPr>
            <w:r>
              <w:t>Alamat</w:t>
            </w:r>
            <w:r>
              <w:rPr>
                <w:spacing w:val="58"/>
              </w:rPr>
              <w:t xml:space="preserve"> </w:t>
            </w:r>
            <w:r>
              <w:rPr>
                <w:spacing w:val="58"/>
                <w:lang w:eastAsia="zh-CN"/>
              </w:rPr>
              <w:tab/>
            </w:r>
            <w:r>
              <w:t>:</w:t>
            </w:r>
            <w:r>
              <w:rPr>
                <w:spacing w:val="-1"/>
              </w:rPr>
              <w:t xml:space="preserve"> </w:t>
            </w:r>
            <w:r>
              <w:rPr>
                <w:spacing w:val="-1"/>
                <w:lang w:val="en-US"/>
              </w:rPr>
              <w:t xml:space="preserve"> BTN </w:t>
            </w:r>
            <w:proofErr w:type="spellStart"/>
            <w:r>
              <w:rPr>
                <w:spacing w:val="-1"/>
                <w:lang w:val="en-US"/>
              </w:rPr>
              <w:t>Tabaria</w:t>
            </w:r>
            <w:proofErr w:type="spellEnd"/>
            <w:r>
              <w:rPr>
                <w:spacing w:val="-1"/>
                <w:lang w:val="en-US"/>
              </w:rPr>
              <w:t xml:space="preserve"> Blok G7</w:t>
            </w:r>
          </w:p>
          <w:p w14:paraId="1C40D5E6" w14:textId="77777777" w:rsidR="00D50634" w:rsidRPr="00D50634" w:rsidRDefault="00D50634" w:rsidP="00D50634">
            <w:pPr>
              <w:tabs>
                <w:tab w:val="left" w:pos="426"/>
                <w:tab w:val="left" w:pos="993"/>
              </w:tabs>
              <w:spacing w:line="360" w:lineRule="auto"/>
              <w:jc w:val="both"/>
              <w:rPr>
                <w:b/>
                <w:bCs/>
                <w:sz w:val="22"/>
                <w:lang w:val="id-ID"/>
              </w:rPr>
            </w:pPr>
            <w:r>
              <w:t>Tlp</w:t>
            </w:r>
            <w:r>
              <w:rPr>
                <w:lang w:val="en-US"/>
              </w:rPr>
              <w:tab/>
            </w:r>
            <w:r>
              <w:t xml:space="preserve">: </w:t>
            </w:r>
            <w:r>
              <w:rPr>
                <w:lang w:val="en-US"/>
              </w:rPr>
              <w:t>08114141005</w:t>
            </w:r>
          </w:p>
        </w:tc>
      </w:tr>
    </w:tbl>
    <w:p w14:paraId="729E65AC" w14:textId="77777777" w:rsidR="00D72714" w:rsidRDefault="00D72714" w:rsidP="00D72714">
      <w:pPr>
        <w:sectPr w:rsidR="00D72714" w:rsidSect="00275E84">
          <w:footerReference w:type="default" r:id="rId22"/>
          <w:pgSz w:w="11900" w:h="16840"/>
          <w:pgMar w:top="1500" w:right="1080" w:bottom="1300" w:left="1640" w:header="720" w:footer="1113" w:gutter="0"/>
          <w:pgNumType w:start="1"/>
          <w:cols w:space="720"/>
          <w:docGrid w:linePitch="326"/>
        </w:sectPr>
      </w:pPr>
    </w:p>
    <w:p w14:paraId="23563094" w14:textId="77777777" w:rsidR="00665741" w:rsidRDefault="00133A73" w:rsidP="00133A73">
      <w:pPr>
        <w:tabs>
          <w:tab w:val="left" w:pos="426"/>
          <w:tab w:val="left" w:pos="993"/>
        </w:tabs>
        <w:spacing w:line="360" w:lineRule="auto"/>
        <w:ind w:left="993" w:hanging="993"/>
        <w:jc w:val="both"/>
        <w:rPr>
          <w:b/>
          <w:bCs/>
          <w:lang w:val="en-US"/>
        </w:rPr>
      </w:pPr>
      <w:r>
        <w:rPr>
          <w:b/>
          <w:bCs/>
          <w:lang w:val="en-US"/>
        </w:rPr>
        <w:lastRenderedPageBreak/>
        <w:t>LAMPIRAN 3</w:t>
      </w:r>
      <w:r w:rsidR="00665741">
        <w:rPr>
          <w:b/>
          <w:bCs/>
          <w:lang w:val="en-US"/>
        </w:rPr>
        <w:t xml:space="preserve"> </w:t>
      </w:r>
    </w:p>
    <w:p w14:paraId="59652E18" w14:textId="77777777" w:rsidR="00665741" w:rsidRDefault="00665741" w:rsidP="00665741">
      <w:pPr>
        <w:tabs>
          <w:tab w:val="left" w:pos="426"/>
          <w:tab w:val="left" w:pos="993"/>
        </w:tabs>
        <w:spacing w:line="360" w:lineRule="auto"/>
        <w:ind w:left="993" w:hanging="993"/>
        <w:jc w:val="center"/>
        <w:rPr>
          <w:b/>
          <w:bCs/>
          <w:lang w:val="en-US"/>
        </w:rPr>
      </w:pPr>
    </w:p>
    <w:p w14:paraId="495CC185" w14:textId="3C92737C" w:rsidR="00133A73" w:rsidRPr="00D72714" w:rsidRDefault="00665741" w:rsidP="00665741">
      <w:pPr>
        <w:tabs>
          <w:tab w:val="left" w:pos="426"/>
          <w:tab w:val="left" w:pos="993"/>
        </w:tabs>
        <w:spacing w:line="360" w:lineRule="auto"/>
        <w:ind w:left="993" w:hanging="993"/>
        <w:jc w:val="center"/>
        <w:rPr>
          <w:b/>
          <w:bCs/>
          <w:lang w:val="en-US"/>
        </w:rPr>
      </w:pPr>
      <w:r>
        <w:rPr>
          <w:b/>
          <w:bCs/>
          <w:lang w:val="en-US"/>
        </w:rPr>
        <w:t>REKOMENDASI DAN PERSETUJUAN ETIK</w:t>
      </w:r>
    </w:p>
    <w:p w14:paraId="1AB7160B" w14:textId="018CE45C" w:rsidR="00D72714" w:rsidRPr="000C3707" w:rsidRDefault="00D72714" w:rsidP="00D72714">
      <w:pPr>
        <w:ind w:right="-761"/>
        <w:rPr>
          <w:lang w:val="en-US"/>
        </w:rPr>
      </w:pPr>
    </w:p>
    <w:p w14:paraId="4984F618" w14:textId="3390F948" w:rsidR="00825F7F" w:rsidRDefault="00C87515" w:rsidP="003C78FE">
      <w:pPr>
        <w:tabs>
          <w:tab w:val="left" w:pos="426"/>
          <w:tab w:val="left" w:pos="993"/>
        </w:tabs>
        <w:spacing w:line="360" w:lineRule="auto"/>
        <w:ind w:left="993" w:hanging="993"/>
        <w:jc w:val="both"/>
        <w:rPr>
          <w:b/>
          <w:bCs/>
          <w:lang w:val="id-ID"/>
        </w:rPr>
      </w:pPr>
      <w:r>
        <w:rPr>
          <w:b/>
          <w:bCs/>
          <w:noProof/>
          <w:lang w:val="id-ID"/>
        </w:rPr>
        <w:drawing>
          <wp:inline distT="0" distB="0" distL="0" distR="0" wp14:anchorId="2FC42C4D" wp14:editId="6B1584B5">
            <wp:extent cx="4857750" cy="6261100"/>
            <wp:effectExtent l="0" t="0" r="0" b="6350"/>
            <wp:docPr id="2087978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57750" cy="6261100"/>
                    </a:xfrm>
                    <a:prstGeom prst="rect">
                      <a:avLst/>
                    </a:prstGeom>
                    <a:noFill/>
                    <a:ln>
                      <a:noFill/>
                    </a:ln>
                  </pic:spPr>
                </pic:pic>
              </a:graphicData>
            </a:graphic>
          </wp:inline>
        </w:drawing>
      </w:r>
    </w:p>
    <w:p w14:paraId="4D21FA19" w14:textId="77777777" w:rsidR="00825F7F" w:rsidRDefault="00825F7F" w:rsidP="003C78FE">
      <w:pPr>
        <w:tabs>
          <w:tab w:val="left" w:pos="426"/>
          <w:tab w:val="left" w:pos="993"/>
        </w:tabs>
        <w:spacing w:line="360" w:lineRule="auto"/>
        <w:ind w:left="993" w:hanging="993"/>
        <w:jc w:val="both"/>
        <w:rPr>
          <w:b/>
          <w:bCs/>
          <w:lang w:val="id-ID"/>
        </w:rPr>
      </w:pPr>
    </w:p>
    <w:p w14:paraId="103DA5F9" w14:textId="77777777" w:rsidR="00825F7F" w:rsidRDefault="00825F7F" w:rsidP="003C78FE">
      <w:pPr>
        <w:tabs>
          <w:tab w:val="left" w:pos="426"/>
          <w:tab w:val="left" w:pos="993"/>
        </w:tabs>
        <w:spacing w:line="360" w:lineRule="auto"/>
        <w:ind w:left="993" w:hanging="993"/>
        <w:jc w:val="both"/>
        <w:rPr>
          <w:b/>
          <w:bCs/>
          <w:lang w:val="id-ID"/>
        </w:rPr>
      </w:pPr>
    </w:p>
    <w:p w14:paraId="4769E1F8" w14:textId="77777777" w:rsidR="00825F7F" w:rsidRDefault="00825F7F" w:rsidP="003C78FE">
      <w:pPr>
        <w:tabs>
          <w:tab w:val="left" w:pos="426"/>
          <w:tab w:val="left" w:pos="993"/>
        </w:tabs>
        <w:spacing w:line="360" w:lineRule="auto"/>
        <w:ind w:left="993" w:hanging="993"/>
        <w:jc w:val="both"/>
        <w:rPr>
          <w:b/>
          <w:bCs/>
          <w:lang w:val="id-ID"/>
        </w:rPr>
      </w:pPr>
    </w:p>
    <w:p w14:paraId="065CB35E" w14:textId="7D0F4369" w:rsidR="00825F7F" w:rsidRDefault="00633EE2" w:rsidP="003C78FE">
      <w:pPr>
        <w:tabs>
          <w:tab w:val="left" w:pos="426"/>
          <w:tab w:val="left" w:pos="993"/>
        </w:tabs>
        <w:spacing w:line="360" w:lineRule="auto"/>
        <w:ind w:left="993" w:hanging="993"/>
        <w:jc w:val="both"/>
        <w:rPr>
          <w:b/>
          <w:bCs/>
          <w:lang w:val="id-ID"/>
        </w:rPr>
      </w:pPr>
      <w:r>
        <w:rPr>
          <w:b/>
          <w:bCs/>
          <w:lang w:val="id-ID"/>
        </w:rPr>
        <w:lastRenderedPageBreak/>
        <w:t>LAMPIRAN 4</w:t>
      </w:r>
    </w:p>
    <w:p w14:paraId="2BF062FA" w14:textId="77777777" w:rsidR="00633EE2" w:rsidRDefault="00633EE2" w:rsidP="003C78FE">
      <w:pPr>
        <w:tabs>
          <w:tab w:val="left" w:pos="426"/>
          <w:tab w:val="left" w:pos="993"/>
        </w:tabs>
        <w:spacing w:line="360" w:lineRule="auto"/>
        <w:ind w:left="993" w:hanging="993"/>
        <w:jc w:val="both"/>
        <w:rPr>
          <w:b/>
          <w:bCs/>
          <w:lang w:val="id-ID"/>
        </w:rPr>
      </w:pPr>
    </w:p>
    <w:p w14:paraId="0A614733" w14:textId="21DF9C26" w:rsidR="00633EE2" w:rsidRDefault="00633EE2" w:rsidP="00633EE2">
      <w:pPr>
        <w:tabs>
          <w:tab w:val="left" w:pos="426"/>
          <w:tab w:val="left" w:pos="993"/>
        </w:tabs>
        <w:spacing w:line="360" w:lineRule="auto"/>
        <w:ind w:left="993" w:hanging="993"/>
        <w:jc w:val="center"/>
        <w:rPr>
          <w:b/>
          <w:bCs/>
          <w:i/>
          <w:iCs/>
          <w:lang w:val="en-US"/>
        </w:rPr>
      </w:pPr>
      <w:r w:rsidRPr="00633EE2">
        <w:rPr>
          <w:b/>
          <w:bCs/>
          <w:i/>
          <w:iCs/>
        </w:rPr>
        <w:t>CURRICULUM VITAE</w:t>
      </w:r>
    </w:p>
    <w:p w14:paraId="17748281" w14:textId="77777777" w:rsidR="00633EE2" w:rsidRDefault="00633EE2" w:rsidP="00633EE2">
      <w:pPr>
        <w:tabs>
          <w:tab w:val="left" w:pos="426"/>
          <w:tab w:val="left" w:pos="993"/>
        </w:tabs>
        <w:spacing w:line="360" w:lineRule="auto"/>
        <w:ind w:left="993" w:hanging="993"/>
        <w:jc w:val="both"/>
        <w:rPr>
          <w:b/>
          <w:bCs/>
          <w:i/>
          <w:iCs/>
          <w:lang w:val="en-US"/>
        </w:rPr>
      </w:pPr>
    </w:p>
    <w:p w14:paraId="262F74F3" w14:textId="4A9425F8" w:rsidR="00633EE2" w:rsidRDefault="00EE4BD1" w:rsidP="00633EE2">
      <w:pPr>
        <w:tabs>
          <w:tab w:val="left" w:pos="426"/>
          <w:tab w:val="left" w:pos="993"/>
        </w:tabs>
        <w:spacing w:line="360" w:lineRule="auto"/>
        <w:ind w:left="993" w:hanging="993"/>
        <w:jc w:val="both"/>
        <w:rPr>
          <w:b/>
          <w:bCs/>
          <w:i/>
          <w:iCs/>
          <w:lang w:val="en-US"/>
        </w:rPr>
      </w:pPr>
      <w:r w:rsidRPr="00EE4BD1">
        <w:rPr>
          <w:noProof/>
          <w:lang w:val="en-ID" w:eastAsia="en-ID"/>
        </w:rPr>
        <w:drawing>
          <wp:anchor distT="0" distB="0" distL="114300" distR="114300" simplePos="0" relativeHeight="251743232" behindDoc="0" locked="0" layoutInCell="1" allowOverlap="1" wp14:anchorId="045FCB24" wp14:editId="52456AE4">
            <wp:simplePos x="0" y="0"/>
            <wp:positionH relativeFrom="margin">
              <wp:posOffset>4089764</wp:posOffset>
            </wp:positionH>
            <wp:positionV relativeFrom="paragraph">
              <wp:posOffset>251460</wp:posOffset>
            </wp:positionV>
            <wp:extent cx="1045028" cy="1393710"/>
            <wp:effectExtent l="0" t="0" r="3175" b="0"/>
            <wp:wrapNone/>
            <wp:docPr id="17959187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48581" cy="139844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5EE53B" w14:textId="764BDF62" w:rsidR="00633EE2" w:rsidRPr="00774EBF" w:rsidRDefault="00633EE2" w:rsidP="00633EE2">
      <w:pPr>
        <w:tabs>
          <w:tab w:val="left" w:pos="426"/>
          <w:tab w:val="left" w:pos="993"/>
        </w:tabs>
        <w:spacing w:line="360" w:lineRule="auto"/>
        <w:ind w:left="993" w:hanging="993"/>
        <w:jc w:val="both"/>
        <w:rPr>
          <w:b/>
          <w:bCs/>
          <w:lang w:val="en-US"/>
        </w:rPr>
      </w:pPr>
      <w:r w:rsidRPr="00774EBF">
        <w:rPr>
          <w:b/>
          <w:bCs/>
        </w:rPr>
        <w:t xml:space="preserve">1. </w:t>
      </w:r>
      <w:r w:rsidR="008D3C05">
        <w:rPr>
          <w:b/>
          <w:bCs/>
          <w:lang w:val="en-US"/>
        </w:rPr>
        <w:tab/>
      </w:r>
      <w:r w:rsidRPr="00774EBF">
        <w:rPr>
          <w:b/>
          <w:bCs/>
        </w:rPr>
        <w:t xml:space="preserve">DATA PRIBADI </w:t>
      </w:r>
    </w:p>
    <w:p w14:paraId="02BA4C3A" w14:textId="5025860B" w:rsidR="00774EBF" w:rsidRDefault="00633EE2" w:rsidP="008D3C05">
      <w:pPr>
        <w:tabs>
          <w:tab w:val="left" w:pos="426"/>
          <w:tab w:val="left" w:pos="993"/>
        </w:tabs>
        <w:spacing w:line="360" w:lineRule="auto"/>
        <w:ind w:left="1419" w:hanging="993"/>
        <w:jc w:val="both"/>
        <w:rPr>
          <w:lang w:val="en-US"/>
        </w:rPr>
      </w:pPr>
      <w:r>
        <w:t xml:space="preserve">Nama Lengkap : </w:t>
      </w:r>
      <w:r w:rsidR="00774EBF">
        <w:rPr>
          <w:lang w:val="en-US"/>
        </w:rPr>
        <w:t>Herman Mangasi Silaban</w:t>
      </w:r>
      <w:r>
        <w:t xml:space="preserve"> </w:t>
      </w:r>
    </w:p>
    <w:p w14:paraId="00E18F62" w14:textId="5BF7A7EA" w:rsidR="00774EBF" w:rsidRDefault="00633EE2" w:rsidP="008D3C05">
      <w:pPr>
        <w:tabs>
          <w:tab w:val="left" w:pos="426"/>
          <w:tab w:val="left" w:pos="993"/>
        </w:tabs>
        <w:spacing w:line="360" w:lineRule="auto"/>
        <w:ind w:left="1419" w:hanging="993"/>
        <w:jc w:val="both"/>
        <w:rPr>
          <w:lang w:val="en-US"/>
        </w:rPr>
      </w:pPr>
      <w:r>
        <w:t xml:space="preserve">Tempat tanggal lahir : </w:t>
      </w:r>
      <w:proofErr w:type="spellStart"/>
      <w:r w:rsidR="00774EBF">
        <w:rPr>
          <w:lang w:val="en-US"/>
        </w:rPr>
        <w:t>Pematangsiantar</w:t>
      </w:r>
      <w:proofErr w:type="spellEnd"/>
      <w:r w:rsidR="00774EBF">
        <w:rPr>
          <w:lang w:val="en-US"/>
        </w:rPr>
        <w:t>, 06 September 1987</w:t>
      </w:r>
      <w:r>
        <w:t xml:space="preserve"> </w:t>
      </w:r>
    </w:p>
    <w:p w14:paraId="6D19322B" w14:textId="2FA107B8" w:rsidR="00774EBF" w:rsidRDefault="00633EE2" w:rsidP="008D3C05">
      <w:pPr>
        <w:tabs>
          <w:tab w:val="left" w:pos="426"/>
          <w:tab w:val="left" w:pos="993"/>
        </w:tabs>
        <w:spacing w:line="360" w:lineRule="auto"/>
        <w:ind w:left="1419" w:hanging="993"/>
        <w:jc w:val="both"/>
        <w:rPr>
          <w:lang w:val="en-US"/>
        </w:rPr>
      </w:pPr>
      <w:r>
        <w:t xml:space="preserve">Jenis Kelamin : Laki-laki </w:t>
      </w:r>
    </w:p>
    <w:p w14:paraId="648C8135" w14:textId="6E308779" w:rsidR="00774EBF" w:rsidRDefault="00633EE2" w:rsidP="008D3C05">
      <w:pPr>
        <w:tabs>
          <w:tab w:val="left" w:pos="426"/>
          <w:tab w:val="left" w:pos="993"/>
        </w:tabs>
        <w:spacing w:line="360" w:lineRule="auto"/>
        <w:ind w:left="1419" w:hanging="993"/>
        <w:jc w:val="both"/>
        <w:rPr>
          <w:lang w:val="en-US"/>
        </w:rPr>
      </w:pPr>
      <w:r>
        <w:t xml:space="preserve">Kewarganegaraan : Warga Negara Indonesia </w:t>
      </w:r>
    </w:p>
    <w:p w14:paraId="783105A4" w14:textId="090248AB" w:rsidR="00774EBF" w:rsidRPr="00774EBF" w:rsidRDefault="00633EE2" w:rsidP="008D3C05">
      <w:pPr>
        <w:tabs>
          <w:tab w:val="left" w:pos="426"/>
          <w:tab w:val="left" w:pos="993"/>
        </w:tabs>
        <w:spacing w:line="360" w:lineRule="auto"/>
        <w:ind w:left="1419" w:hanging="993"/>
        <w:jc w:val="both"/>
        <w:rPr>
          <w:lang w:val="en-US"/>
        </w:rPr>
      </w:pPr>
      <w:r>
        <w:t xml:space="preserve">Agama : </w:t>
      </w:r>
      <w:r w:rsidR="00774EBF">
        <w:rPr>
          <w:lang w:val="en-US"/>
        </w:rPr>
        <w:t xml:space="preserve">Kristen </w:t>
      </w:r>
      <w:proofErr w:type="spellStart"/>
      <w:r w:rsidR="00774EBF">
        <w:rPr>
          <w:lang w:val="en-US"/>
        </w:rPr>
        <w:t>Protestan</w:t>
      </w:r>
      <w:proofErr w:type="spellEnd"/>
    </w:p>
    <w:p w14:paraId="54C8AA4D" w14:textId="7D75AFD0" w:rsidR="00774EBF" w:rsidRPr="00774EBF" w:rsidRDefault="00633EE2" w:rsidP="008D3C05">
      <w:pPr>
        <w:tabs>
          <w:tab w:val="left" w:pos="426"/>
          <w:tab w:val="left" w:pos="993"/>
        </w:tabs>
        <w:spacing w:line="360" w:lineRule="auto"/>
        <w:ind w:left="1419" w:hanging="993"/>
        <w:jc w:val="both"/>
        <w:rPr>
          <w:lang w:val="en-US"/>
        </w:rPr>
      </w:pPr>
      <w:r>
        <w:t xml:space="preserve">Alamat : </w:t>
      </w:r>
      <w:proofErr w:type="spellStart"/>
      <w:r w:rsidR="00774EBF">
        <w:rPr>
          <w:lang w:val="en-US"/>
        </w:rPr>
        <w:t>Selatpanjang</w:t>
      </w:r>
      <w:proofErr w:type="spellEnd"/>
      <w:r w:rsidR="00774EBF">
        <w:rPr>
          <w:lang w:val="en-US"/>
        </w:rPr>
        <w:t>, Riau</w:t>
      </w:r>
    </w:p>
    <w:p w14:paraId="1F170ABF" w14:textId="58EA35A7" w:rsidR="00774EBF" w:rsidRPr="00774EBF" w:rsidRDefault="00633EE2" w:rsidP="008D3C05">
      <w:pPr>
        <w:tabs>
          <w:tab w:val="left" w:pos="426"/>
          <w:tab w:val="left" w:pos="993"/>
        </w:tabs>
        <w:spacing w:line="360" w:lineRule="auto"/>
        <w:ind w:left="1419" w:hanging="993"/>
        <w:jc w:val="both"/>
        <w:rPr>
          <w:lang w:val="en-US"/>
        </w:rPr>
      </w:pPr>
      <w:r>
        <w:t xml:space="preserve">Email : </w:t>
      </w:r>
      <w:r w:rsidR="00774EBF">
        <w:rPr>
          <w:lang w:val="en-US"/>
        </w:rPr>
        <w:t>hermanmangasisilaban@gmail.com</w:t>
      </w:r>
    </w:p>
    <w:p w14:paraId="56F8D1FD" w14:textId="725199B9" w:rsidR="00633EE2" w:rsidRDefault="00633EE2" w:rsidP="008D3C05">
      <w:pPr>
        <w:tabs>
          <w:tab w:val="left" w:pos="426"/>
          <w:tab w:val="left" w:pos="993"/>
        </w:tabs>
        <w:spacing w:line="360" w:lineRule="auto"/>
        <w:ind w:left="1419" w:hanging="993"/>
        <w:jc w:val="both"/>
        <w:rPr>
          <w:lang w:val="en-US"/>
        </w:rPr>
      </w:pPr>
      <w:r>
        <w:t>Nomor Handphone : 08</w:t>
      </w:r>
      <w:r w:rsidR="00774EBF">
        <w:rPr>
          <w:lang w:val="en-US"/>
        </w:rPr>
        <w:t>5271667876</w:t>
      </w:r>
    </w:p>
    <w:p w14:paraId="6A00D66D" w14:textId="64FBEE37" w:rsidR="00EE4BD1" w:rsidRPr="00EE4BD1" w:rsidRDefault="00EE4BD1" w:rsidP="00EE4BD1">
      <w:pPr>
        <w:spacing w:before="100" w:beforeAutospacing="1" w:after="100" w:afterAutospacing="1"/>
        <w:rPr>
          <w:lang w:val="en-ID" w:eastAsia="en-ID"/>
        </w:rPr>
      </w:pPr>
    </w:p>
    <w:p w14:paraId="5BC3FFEC" w14:textId="77777777" w:rsidR="001E678F" w:rsidRPr="00774EBF" w:rsidRDefault="001E678F" w:rsidP="008D3C05">
      <w:pPr>
        <w:tabs>
          <w:tab w:val="left" w:pos="426"/>
          <w:tab w:val="left" w:pos="993"/>
        </w:tabs>
        <w:spacing w:line="360" w:lineRule="auto"/>
        <w:ind w:left="1419" w:hanging="993"/>
        <w:jc w:val="both"/>
        <w:rPr>
          <w:b/>
          <w:bCs/>
          <w:i/>
          <w:iCs/>
          <w:lang w:val="en-US"/>
        </w:rPr>
      </w:pPr>
    </w:p>
    <w:p w14:paraId="6C0F5FFD" w14:textId="70824673" w:rsidR="00825F7F" w:rsidRPr="008D3C05" w:rsidRDefault="008D3C05" w:rsidP="008D3C05">
      <w:pPr>
        <w:tabs>
          <w:tab w:val="left" w:pos="426"/>
          <w:tab w:val="left" w:pos="993"/>
        </w:tabs>
        <w:spacing w:line="360" w:lineRule="auto"/>
        <w:jc w:val="both"/>
        <w:rPr>
          <w:b/>
          <w:bCs/>
          <w:lang w:val="id-ID"/>
        </w:rPr>
      </w:pPr>
      <w:r w:rsidRPr="008D3C05">
        <w:rPr>
          <w:b/>
          <w:bCs/>
          <w:lang w:val="id-ID"/>
        </w:rPr>
        <w:t>2.</w:t>
      </w:r>
      <w:r>
        <w:rPr>
          <w:b/>
          <w:bCs/>
          <w:lang w:val="id-ID"/>
        </w:rPr>
        <w:t xml:space="preserve"> </w:t>
      </w:r>
      <w:r>
        <w:rPr>
          <w:b/>
          <w:bCs/>
          <w:lang w:val="id-ID"/>
        </w:rPr>
        <w:tab/>
        <w:t>RIWAYAT PENDIDIKAN</w:t>
      </w:r>
    </w:p>
    <w:p w14:paraId="1CE2AA53" w14:textId="77777777" w:rsidR="00825F7F" w:rsidRDefault="00825F7F" w:rsidP="003C78FE">
      <w:pPr>
        <w:tabs>
          <w:tab w:val="left" w:pos="426"/>
          <w:tab w:val="left" w:pos="993"/>
        </w:tabs>
        <w:spacing w:line="360" w:lineRule="auto"/>
        <w:ind w:left="993" w:hanging="993"/>
        <w:jc w:val="both"/>
        <w:rPr>
          <w:b/>
          <w:bCs/>
          <w:lang w:val="id-ID"/>
        </w:rPr>
      </w:pPr>
    </w:p>
    <w:tbl>
      <w:tblPr>
        <w:tblStyle w:val="TableGrid"/>
        <w:tblW w:w="7644" w:type="dxa"/>
        <w:tblInd w:w="421" w:type="dxa"/>
        <w:tblLayout w:type="fixed"/>
        <w:tblLook w:val="04A0" w:firstRow="1" w:lastRow="0" w:firstColumn="1" w:lastColumn="0" w:noHBand="0" w:noVBand="1"/>
      </w:tblPr>
      <w:tblGrid>
        <w:gridCol w:w="540"/>
        <w:gridCol w:w="1444"/>
        <w:gridCol w:w="2398"/>
        <w:gridCol w:w="1299"/>
        <w:gridCol w:w="1963"/>
      </w:tblGrid>
      <w:tr w:rsidR="001E678F" w14:paraId="050E6F67" w14:textId="77777777" w:rsidTr="00FF22A9">
        <w:tc>
          <w:tcPr>
            <w:tcW w:w="540" w:type="dxa"/>
          </w:tcPr>
          <w:p w14:paraId="0132E52B" w14:textId="656F7002" w:rsidR="00AA6818" w:rsidRDefault="001E678F" w:rsidP="00FF22A9">
            <w:pPr>
              <w:tabs>
                <w:tab w:val="left" w:pos="426"/>
                <w:tab w:val="left" w:pos="993"/>
              </w:tabs>
              <w:spacing w:line="276" w:lineRule="auto"/>
              <w:jc w:val="center"/>
              <w:rPr>
                <w:b/>
                <w:bCs/>
                <w:lang w:val="id-ID"/>
              </w:rPr>
            </w:pPr>
            <w:r>
              <w:rPr>
                <w:b/>
                <w:bCs/>
                <w:lang w:val="id-ID"/>
              </w:rPr>
              <w:t>No</w:t>
            </w:r>
          </w:p>
        </w:tc>
        <w:tc>
          <w:tcPr>
            <w:tcW w:w="1444" w:type="dxa"/>
          </w:tcPr>
          <w:p w14:paraId="188E5414" w14:textId="41F174F3" w:rsidR="00AA6818" w:rsidRDefault="001E678F" w:rsidP="00FF22A9">
            <w:pPr>
              <w:tabs>
                <w:tab w:val="left" w:pos="426"/>
                <w:tab w:val="left" w:pos="993"/>
              </w:tabs>
              <w:spacing w:line="276" w:lineRule="auto"/>
              <w:jc w:val="center"/>
              <w:rPr>
                <w:b/>
                <w:bCs/>
                <w:lang w:val="id-ID"/>
              </w:rPr>
            </w:pPr>
            <w:r>
              <w:rPr>
                <w:b/>
                <w:bCs/>
                <w:lang w:val="id-ID"/>
              </w:rPr>
              <w:t>Jenjang Pendidikan</w:t>
            </w:r>
          </w:p>
        </w:tc>
        <w:tc>
          <w:tcPr>
            <w:tcW w:w="2398" w:type="dxa"/>
          </w:tcPr>
          <w:p w14:paraId="273C3240" w14:textId="43580BA2" w:rsidR="00AA6818" w:rsidRDefault="001E678F" w:rsidP="00FF22A9">
            <w:pPr>
              <w:tabs>
                <w:tab w:val="left" w:pos="426"/>
                <w:tab w:val="left" w:pos="993"/>
              </w:tabs>
              <w:spacing w:line="276" w:lineRule="auto"/>
              <w:jc w:val="center"/>
              <w:rPr>
                <w:b/>
                <w:bCs/>
                <w:lang w:val="id-ID"/>
              </w:rPr>
            </w:pPr>
            <w:r>
              <w:rPr>
                <w:b/>
                <w:bCs/>
                <w:lang w:val="id-ID"/>
              </w:rPr>
              <w:t>Institusi</w:t>
            </w:r>
          </w:p>
        </w:tc>
        <w:tc>
          <w:tcPr>
            <w:tcW w:w="1299" w:type="dxa"/>
          </w:tcPr>
          <w:p w14:paraId="4B607BF5" w14:textId="42E45207" w:rsidR="00AA6818" w:rsidRDefault="001E678F" w:rsidP="00FF22A9">
            <w:pPr>
              <w:tabs>
                <w:tab w:val="left" w:pos="426"/>
                <w:tab w:val="left" w:pos="993"/>
              </w:tabs>
              <w:spacing w:line="276" w:lineRule="auto"/>
              <w:jc w:val="center"/>
              <w:rPr>
                <w:b/>
                <w:bCs/>
                <w:lang w:val="id-ID"/>
              </w:rPr>
            </w:pPr>
            <w:r>
              <w:rPr>
                <w:b/>
                <w:bCs/>
                <w:lang w:val="id-ID"/>
              </w:rPr>
              <w:t>Tahun</w:t>
            </w:r>
          </w:p>
        </w:tc>
        <w:tc>
          <w:tcPr>
            <w:tcW w:w="1963" w:type="dxa"/>
          </w:tcPr>
          <w:p w14:paraId="4F8038C3" w14:textId="4C2B9C3A" w:rsidR="00AA6818" w:rsidRDefault="001E678F" w:rsidP="00FF22A9">
            <w:pPr>
              <w:tabs>
                <w:tab w:val="left" w:pos="426"/>
                <w:tab w:val="left" w:pos="993"/>
              </w:tabs>
              <w:spacing w:line="276" w:lineRule="auto"/>
              <w:jc w:val="center"/>
              <w:rPr>
                <w:b/>
                <w:bCs/>
                <w:lang w:val="id-ID"/>
              </w:rPr>
            </w:pPr>
            <w:r>
              <w:rPr>
                <w:b/>
                <w:bCs/>
                <w:lang w:val="id-ID"/>
              </w:rPr>
              <w:t>Tempat</w:t>
            </w:r>
          </w:p>
        </w:tc>
      </w:tr>
      <w:tr w:rsidR="001E678F" w:rsidRPr="00FF22A9" w14:paraId="3F6A1CF8" w14:textId="77777777" w:rsidTr="00FF22A9">
        <w:tc>
          <w:tcPr>
            <w:tcW w:w="540" w:type="dxa"/>
          </w:tcPr>
          <w:p w14:paraId="15D47EBD" w14:textId="2A8D3E16" w:rsidR="00AA6818" w:rsidRPr="00FF22A9" w:rsidRDefault="001E678F" w:rsidP="00D55BF0">
            <w:pPr>
              <w:tabs>
                <w:tab w:val="left" w:pos="426"/>
                <w:tab w:val="left" w:pos="993"/>
              </w:tabs>
              <w:spacing w:line="276" w:lineRule="auto"/>
              <w:jc w:val="both"/>
              <w:rPr>
                <w:lang w:val="id-ID"/>
              </w:rPr>
            </w:pPr>
            <w:r w:rsidRPr="00FF22A9">
              <w:rPr>
                <w:lang w:val="id-ID"/>
              </w:rPr>
              <w:t>1</w:t>
            </w:r>
          </w:p>
        </w:tc>
        <w:tc>
          <w:tcPr>
            <w:tcW w:w="1444" w:type="dxa"/>
          </w:tcPr>
          <w:p w14:paraId="140ED49B" w14:textId="117FEE78" w:rsidR="00AA6818" w:rsidRPr="00FF22A9" w:rsidRDefault="001E678F" w:rsidP="00190624">
            <w:pPr>
              <w:tabs>
                <w:tab w:val="left" w:pos="426"/>
                <w:tab w:val="left" w:pos="993"/>
              </w:tabs>
              <w:spacing w:line="276" w:lineRule="auto"/>
              <w:rPr>
                <w:lang w:val="id-ID"/>
              </w:rPr>
            </w:pPr>
            <w:r w:rsidRPr="00FF22A9">
              <w:rPr>
                <w:lang w:val="id-ID"/>
              </w:rPr>
              <w:t>SD</w:t>
            </w:r>
          </w:p>
        </w:tc>
        <w:tc>
          <w:tcPr>
            <w:tcW w:w="2398" w:type="dxa"/>
          </w:tcPr>
          <w:p w14:paraId="17FEFDC7" w14:textId="4C98A52B" w:rsidR="00AA6818" w:rsidRPr="00FF22A9" w:rsidRDefault="001E678F" w:rsidP="00FF22A9">
            <w:pPr>
              <w:tabs>
                <w:tab w:val="left" w:pos="426"/>
                <w:tab w:val="left" w:pos="993"/>
              </w:tabs>
              <w:spacing w:line="276" w:lineRule="auto"/>
              <w:rPr>
                <w:lang w:val="id-ID"/>
              </w:rPr>
            </w:pPr>
            <w:r w:rsidRPr="00FF22A9">
              <w:rPr>
                <w:lang w:val="id-ID"/>
              </w:rPr>
              <w:t>SD YP HKBP 1 Pematangsiantar</w:t>
            </w:r>
          </w:p>
        </w:tc>
        <w:tc>
          <w:tcPr>
            <w:tcW w:w="1299" w:type="dxa"/>
          </w:tcPr>
          <w:p w14:paraId="2C5A6900" w14:textId="2282A2CF" w:rsidR="00AA6818" w:rsidRPr="00FF22A9" w:rsidRDefault="00803D84" w:rsidP="00D55BF0">
            <w:pPr>
              <w:tabs>
                <w:tab w:val="left" w:pos="426"/>
                <w:tab w:val="left" w:pos="993"/>
              </w:tabs>
              <w:spacing w:line="276" w:lineRule="auto"/>
              <w:jc w:val="both"/>
              <w:rPr>
                <w:lang w:val="id-ID"/>
              </w:rPr>
            </w:pPr>
            <w:r>
              <w:rPr>
                <w:lang w:val="id-ID"/>
              </w:rPr>
              <w:t>199</w:t>
            </w:r>
            <w:r w:rsidR="00F426C1">
              <w:rPr>
                <w:lang w:val="id-ID"/>
              </w:rPr>
              <w:t>3</w:t>
            </w:r>
            <w:r>
              <w:rPr>
                <w:lang w:val="id-ID"/>
              </w:rPr>
              <w:t>-</w:t>
            </w:r>
            <w:r w:rsidR="00F426C1">
              <w:rPr>
                <w:lang w:val="id-ID"/>
              </w:rPr>
              <w:t>1999</w:t>
            </w:r>
          </w:p>
        </w:tc>
        <w:tc>
          <w:tcPr>
            <w:tcW w:w="1963" w:type="dxa"/>
          </w:tcPr>
          <w:p w14:paraId="237AF733" w14:textId="62E6289B" w:rsidR="00AA6818" w:rsidRPr="00FF22A9" w:rsidRDefault="00AC520C" w:rsidP="00D55BF0">
            <w:pPr>
              <w:tabs>
                <w:tab w:val="left" w:pos="426"/>
                <w:tab w:val="left" w:pos="993"/>
              </w:tabs>
              <w:spacing w:line="276" w:lineRule="auto"/>
              <w:jc w:val="both"/>
              <w:rPr>
                <w:lang w:val="id-ID"/>
              </w:rPr>
            </w:pPr>
            <w:r w:rsidRPr="00FF22A9">
              <w:rPr>
                <w:lang w:val="id-ID"/>
              </w:rPr>
              <w:t>Pematangsiantar</w:t>
            </w:r>
          </w:p>
        </w:tc>
      </w:tr>
      <w:tr w:rsidR="001E678F" w:rsidRPr="00FF22A9" w14:paraId="1832F1C8" w14:textId="77777777" w:rsidTr="00FF22A9">
        <w:tc>
          <w:tcPr>
            <w:tcW w:w="540" w:type="dxa"/>
          </w:tcPr>
          <w:p w14:paraId="64E62DD5" w14:textId="079393C8" w:rsidR="00AA6818" w:rsidRPr="00FF22A9" w:rsidRDefault="001E678F" w:rsidP="00D55BF0">
            <w:pPr>
              <w:tabs>
                <w:tab w:val="left" w:pos="426"/>
                <w:tab w:val="left" w:pos="993"/>
              </w:tabs>
              <w:spacing w:line="276" w:lineRule="auto"/>
              <w:jc w:val="both"/>
              <w:rPr>
                <w:lang w:val="id-ID"/>
              </w:rPr>
            </w:pPr>
            <w:r w:rsidRPr="00FF22A9">
              <w:rPr>
                <w:lang w:val="id-ID"/>
              </w:rPr>
              <w:t>2</w:t>
            </w:r>
          </w:p>
        </w:tc>
        <w:tc>
          <w:tcPr>
            <w:tcW w:w="1444" w:type="dxa"/>
          </w:tcPr>
          <w:p w14:paraId="6D79391D" w14:textId="478B4F39" w:rsidR="00AA6818" w:rsidRPr="00FF22A9" w:rsidRDefault="001E678F" w:rsidP="00190624">
            <w:pPr>
              <w:tabs>
                <w:tab w:val="left" w:pos="426"/>
                <w:tab w:val="left" w:pos="993"/>
              </w:tabs>
              <w:spacing w:line="276" w:lineRule="auto"/>
              <w:rPr>
                <w:lang w:val="id-ID"/>
              </w:rPr>
            </w:pPr>
            <w:r w:rsidRPr="00FF22A9">
              <w:rPr>
                <w:lang w:val="id-ID"/>
              </w:rPr>
              <w:t>SMP</w:t>
            </w:r>
          </w:p>
        </w:tc>
        <w:tc>
          <w:tcPr>
            <w:tcW w:w="2398" w:type="dxa"/>
          </w:tcPr>
          <w:p w14:paraId="5E910D96" w14:textId="4AAE1216" w:rsidR="00AA6818" w:rsidRPr="00FF22A9" w:rsidRDefault="001E678F" w:rsidP="00FF22A9">
            <w:pPr>
              <w:tabs>
                <w:tab w:val="left" w:pos="426"/>
                <w:tab w:val="left" w:pos="993"/>
              </w:tabs>
              <w:spacing w:line="276" w:lineRule="auto"/>
              <w:rPr>
                <w:lang w:val="id-ID"/>
              </w:rPr>
            </w:pPr>
            <w:r w:rsidRPr="00FF22A9">
              <w:rPr>
                <w:lang w:val="id-ID"/>
              </w:rPr>
              <w:t>SMP Negeri 3 Pematangsiantar</w:t>
            </w:r>
          </w:p>
        </w:tc>
        <w:tc>
          <w:tcPr>
            <w:tcW w:w="1299" w:type="dxa"/>
          </w:tcPr>
          <w:p w14:paraId="7DC31DAA" w14:textId="68A38001" w:rsidR="00AA6818" w:rsidRPr="00FF22A9" w:rsidRDefault="00F426C1" w:rsidP="00D55BF0">
            <w:pPr>
              <w:tabs>
                <w:tab w:val="left" w:pos="426"/>
                <w:tab w:val="left" w:pos="993"/>
              </w:tabs>
              <w:spacing w:line="276" w:lineRule="auto"/>
              <w:jc w:val="both"/>
              <w:rPr>
                <w:lang w:val="id-ID"/>
              </w:rPr>
            </w:pPr>
            <w:r>
              <w:rPr>
                <w:lang w:val="id-ID"/>
              </w:rPr>
              <w:t>1999</w:t>
            </w:r>
            <w:r w:rsidR="00922B8B">
              <w:rPr>
                <w:lang w:val="id-ID"/>
              </w:rPr>
              <w:t>-200</w:t>
            </w:r>
            <w:r>
              <w:rPr>
                <w:lang w:val="id-ID"/>
              </w:rPr>
              <w:t>2</w:t>
            </w:r>
          </w:p>
        </w:tc>
        <w:tc>
          <w:tcPr>
            <w:tcW w:w="1963" w:type="dxa"/>
          </w:tcPr>
          <w:p w14:paraId="4155EB5C" w14:textId="32B0B7A6" w:rsidR="00AA6818" w:rsidRPr="00FF22A9" w:rsidRDefault="00AC520C" w:rsidP="00D55BF0">
            <w:pPr>
              <w:tabs>
                <w:tab w:val="left" w:pos="426"/>
                <w:tab w:val="left" w:pos="993"/>
              </w:tabs>
              <w:spacing w:line="276" w:lineRule="auto"/>
              <w:jc w:val="both"/>
              <w:rPr>
                <w:lang w:val="id-ID"/>
              </w:rPr>
            </w:pPr>
            <w:r w:rsidRPr="00FF22A9">
              <w:rPr>
                <w:lang w:val="id-ID"/>
              </w:rPr>
              <w:t>Pematangsiantar</w:t>
            </w:r>
          </w:p>
        </w:tc>
      </w:tr>
      <w:tr w:rsidR="001E678F" w:rsidRPr="00FF22A9" w14:paraId="48EADF03" w14:textId="77777777" w:rsidTr="00FF22A9">
        <w:tc>
          <w:tcPr>
            <w:tcW w:w="540" w:type="dxa"/>
          </w:tcPr>
          <w:p w14:paraId="75723276" w14:textId="43992591" w:rsidR="00AA6818" w:rsidRPr="00FF22A9" w:rsidRDefault="001E678F" w:rsidP="00D55BF0">
            <w:pPr>
              <w:tabs>
                <w:tab w:val="left" w:pos="426"/>
                <w:tab w:val="left" w:pos="993"/>
              </w:tabs>
              <w:spacing w:line="276" w:lineRule="auto"/>
              <w:jc w:val="both"/>
              <w:rPr>
                <w:lang w:val="id-ID"/>
              </w:rPr>
            </w:pPr>
            <w:r w:rsidRPr="00FF22A9">
              <w:rPr>
                <w:lang w:val="id-ID"/>
              </w:rPr>
              <w:t>3</w:t>
            </w:r>
          </w:p>
        </w:tc>
        <w:tc>
          <w:tcPr>
            <w:tcW w:w="1444" w:type="dxa"/>
          </w:tcPr>
          <w:p w14:paraId="3906CA89" w14:textId="2CFA41B8" w:rsidR="00AA6818" w:rsidRPr="00FF22A9" w:rsidRDefault="001E678F" w:rsidP="00190624">
            <w:pPr>
              <w:tabs>
                <w:tab w:val="left" w:pos="426"/>
                <w:tab w:val="left" w:pos="993"/>
              </w:tabs>
              <w:spacing w:line="276" w:lineRule="auto"/>
              <w:rPr>
                <w:lang w:val="id-ID"/>
              </w:rPr>
            </w:pPr>
            <w:r w:rsidRPr="00FF22A9">
              <w:rPr>
                <w:lang w:val="id-ID"/>
              </w:rPr>
              <w:t>SMA</w:t>
            </w:r>
          </w:p>
        </w:tc>
        <w:tc>
          <w:tcPr>
            <w:tcW w:w="2398" w:type="dxa"/>
          </w:tcPr>
          <w:p w14:paraId="5494B260" w14:textId="6CEDC3D8" w:rsidR="00AA6818" w:rsidRPr="00FF22A9" w:rsidRDefault="001E678F" w:rsidP="00FF22A9">
            <w:pPr>
              <w:tabs>
                <w:tab w:val="left" w:pos="426"/>
                <w:tab w:val="left" w:pos="993"/>
              </w:tabs>
              <w:spacing w:line="276" w:lineRule="auto"/>
              <w:rPr>
                <w:lang w:val="id-ID"/>
              </w:rPr>
            </w:pPr>
            <w:r w:rsidRPr="00FF22A9">
              <w:rPr>
                <w:lang w:val="id-ID"/>
              </w:rPr>
              <w:t>SMA Negeri 1 Pematangsiantar</w:t>
            </w:r>
          </w:p>
        </w:tc>
        <w:tc>
          <w:tcPr>
            <w:tcW w:w="1299" w:type="dxa"/>
          </w:tcPr>
          <w:p w14:paraId="678BE716" w14:textId="48A0E57A" w:rsidR="00AA6818" w:rsidRPr="00FF22A9" w:rsidRDefault="00922B8B" w:rsidP="00D55BF0">
            <w:pPr>
              <w:tabs>
                <w:tab w:val="left" w:pos="426"/>
                <w:tab w:val="left" w:pos="993"/>
              </w:tabs>
              <w:spacing w:line="276" w:lineRule="auto"/>
              <w:jc w:val="both"/>
              <w:rPr>
                <w:lang w:val="id-ID"/>
              </w:rPr>
            </w:pPr>
            <w:r>
              <w:rPr>
                <w:lang w:val="id-ID"/>
              </w:rPr>
              <w:t>2003-2005</w:t>
            </w:r>
          </w:p>
        </w:tc>
        <w:tc>
          <w:tcPr>
            <w:tcW w:w="1963" w:type="dxa"/>
          </w:tcPr>
          <w:p w14:paraId="7D2D2B81" w14:textId="40822004" w:rsidR="00AA6818" w:rsidRPr="00FF22A9" w:rsidRDefault="00AC520C" w:rsidP="00D55BF0">
            <w:pPr>
              <w:tabs>
                <w:tab w:val="left" w:pos="426"/>
                <w:tab w:val="left" w:pos="993"/>
              </w:tabs>
              <w:spacing w:line="276" w:lineRule="auto"/>
              <w:jc w:val="both"/>
              <w:rPr>
                <w:lang w:val="id-ID"/>
              </w:rPr>
            </w:pPr>
            <w:r w:rsidRPr="00FF22A9">
              <w:rPr>
                <w:lang w:val="id-ID"/>
              </w:rPr>
              <w:t>Pematangsiantar</w:t>
            </w:r>
          </w:p>
        </w:tc>
      </w:tr>
      <w:tr w:rsidR="001E678F" w:rsidRPr="00FF22A9" w14:paraId="75CC529C" w14:textId="77777777" w:rsidTr="00FF22A9">
        <w:tc>
          <w:tcPr>
            <w:tcW w:w="540" w:type="dxa"/>
          </w:tcPr>
          <w:p w14:paraId="757A4656" w14:textId="6542F135" w:rsidR="00AA6818" w:rsidRPr="00FF22A9" w:rsidRDefault="001E678F" w:rsidP="00D55BF0">
            <w:pPr>
              <w:tabs>
                <w:tab w:val="left" w:pos="426"/>
                <w:tab w:val="left" w:pos="993"/>
              </w:tabs>
              <w:spacing w:line="276" w:lineRule="auto"/>
              <w:jc w:val="both"/>
              <w:rPr>
                <w:lang w:val="id-ID"/>
              </w:rPr>
            </w:pPr>
            <w:r w:rsidRPr="00FF22A9">
              <w:rPr>
                <w:lang w:val="id-ID"/>
              </w:rPr>
              <w:t>4</w:t>
            </w:r>
          </w:p>
        </w:tc>
        <w:tc>
          <w:tcPr>
            <w:tcW w:w="1444" w:type="dxa"/>
          </w:tcPr>
          <w:p w14:paraId="6EE93FAF" w14:textId="19DC069E" w:rsidR="00AA6818" w:rsidRPr="00FF22A9" w:rsidRDefault="001E678F" w:rsidP="00190624">
            <w:pPr>
              <w:tabs>
                <w:tab w:val="left" w:pos="426"/>
                <w:tab w:val="left" w:pos="993"/>
              </w:tabs>
              <w:spacing w:line="276" w:lineRule="auto"/>
              <w:rPr>
                <w:lang w:val="id-ID"/>
              </w:rPr>
            </w:pPr>
            <w:r w:rsidRPr="00FF22A9">
              <w:rPr>
                <w:lang w:val="id-ID"/>
              </w:rPr>
              <w:t>S1</w:t>
            </w:r>
            <w:r w:rsidR="00190624" w:rsidRPr="00FF22A9">
              <w:rPr>
                <w:lang w:val="id-ID"/>
              </w:rPr>
              <w:t xml:space="preserve"> &amp; PROFESI</w:t>
            </w:r>
          </w:p>
        </w:tc>
        <w:tc>
          <w:tcPr>
            <w:tcW w:w="2398" w:type="dxa"/>
          </w:tcPr>
          <w:p w14:paraId="053D12E4" w14:textId="36565F7B" w:rsidR="00AA6818" w:rsidRPr="00FF22A9" w:rsidRDefault="00805E81" w:rsidP="00D55BF0">
            <w:pPr>
              <w:tabs>
                <w:tab w:val="left" w:pos="426"/>
                <w:tab w:val="left" w:pos="993"/>
              </w:tabs>
              <w:spacing w:line="276" w:lineRule="auto"/>
              <w:jc w:val="both"/>
              <w:rPr>
                <w:lang w:val="id-ID"/>
              </w:rPr>
            </w:pPr>
            <w:r w:rsidRPr="00FF22A9">
              <w:rPr>
                <w:lang w:val="id-ID"/>
              </w:rPr>
              <w:t>FK Universitas Riau</w:t>
            </w:r>
          </w:p>
        </w:tc>
        <w:tc>
          <w:tcPr>
            <w:tcW w:w="1299" w:type="dxa"/>
          </w:tcPr>
          <w:p w14:paraId="130A611D" w14:textId="52EBD578" w:rsidR="00AA6818" w:rsidRPr="00FF22A9" w:rsidRDefault="004E0FDF" w:rsidP="00D55BF0">
            <w:pPr>
              <w:tabs>
                <w:tab w:val="left" w:pos="426"/>
                <w:tab w:val="left" w:pos="993"/>
              </w:tabs>
              <w:spacing w:line="276" w:lineRule="auto"/>
              <w:jc w:val="both"/>
              <w:rPr>
                <w:lang w:val="id-ID"/>
              </w:rPr>
            </w:pPr>
            <w:r w:rsidRPr="00FF22A9">
              <w:rPr>
                <w:lang w:val="id-ID"/>
              </w:rPr>
              <w:t>2005-201</w:t>
            </w:r>
            <w:r w:rsidR="00190624" w:rsidRPr="00FF22A9">
              <w:rPr>
                <w:lang w:val="id-ID"/>
              </w:rPr>
              <w:t>2</w:t>
            </w:r>
          </w:p>
        </w:tc>
        <w:tc>
          <w:tcPr>
            <w:tcW w:w="1963" w:type="dxa"/>
          </w:tcPr>
          <w:p w14:paraId="103C566D" w14:textId="4CBE6B91" w:rsidR="00AA6818" w:rsidRPr="00FF22A9" w:rsidRDefault="00AC520C" w:rsidP="00D55BF0">
            <w:pPr>
              <w:tabs>
                <w:tab w:val="left" w:pos="426"/>
                <w:tab w:val="left" w:pos="993"/>
              </w:tabs>
              <w:spacing w:line="276" w:lineRule="auto"/>
              <w:jc w:val="both"/>
              <w:rPr>
                <w:lang w:val="id-ID"/>
              </w:rPr>
            </w:pPr>
            <w:r w:rsidRPr="00FF22A9">
              <w:rPr>
                <w:lang w:val="id-ID"/>
              </w:rPr>
              <w:t>Pekanbaru</w:t>
            </w:r>
          </w:p>
        </w:tc>
      </w:tr>
      <w:tr w:rsidR="001E678F" w:rsidRPr="00FF22A9" w14:paraId="053ED3DB" w14:textId="77777777" w:rsidTr="00FF22A9">
        <w:tc>
          <w:tcPr>
            <w:tcW w:w="540" w:type="dxa"/>
          </w:tcPr>
          <w:p w14:paraId="498EE51F" w14:textId="47783D25" w:rsidR="00AA6818" w:rsidRPr="00FF22A9" w:rsidRDefault="001E678F" w:rsidP="00D55BF0">
            <w:pPr>
              <w:tabs>
                <w:tab w:val="left" w:pos="426"/>
                <w:tab w:val="left" w:pos="993"/>
              </w:tabs>
              <w:spacing w:line="276" w:lineRule="auto"/>
              <w:jc w:val="both"/>
              <w:rPr>
                <w:lang w:val="id-ID"/>
              </w:rPr>
            </w:pPr>
            <w:r w:rsidRPr="00FF22A9">
              <w:rPr>
                <w:lang w:val="id-ID"/>
              </w:rPr>
              <w:t>6</w:t>
            </w:r>
          </w:p>
        </w:tc>
        <w:tc>
          <w:tcPr>
            <w:tcW w:w="1444" w:type="dxa"/>
          </w:tcPr>
          <w:p w14:paraId="09F8BC3E" w14:textId="7513909A" w:rsidR="00AA6818" w:rsidRPr="00FF22A9" w:rsidRDefault="001E678F" w:rsidP="00D55BF0">
            <w:pPr>
              <w:tabs>
                <w:tab w:val="left" w:pos="426"/>
                <w:tab w:val="left" w:pos="993"/>
              </w:tabs>
              <w:spacing w:line="276" w:lineRule="auto"/>
              <w:jc w:val="both"/>
              <w:rPr>
                <w:lang w:val="id-ID"/>
              </w:rPr>
            </w:pPr>
            <w:r w:rsidRPr="00FF22A9">
              <w:rPr>
                <w:lang w:val="id-ID"/>
              </w:rPr>
              <w:t>PPDS</w:t>
            </w:r>
          </w:p>
        </w:tc>
        <w:tc>
          <w:tcPr>
            <w:tcW w:w="2398" w:type="dxa"/>
          </w:tcPr>
          <w:p w14:paraId="265A522B" w14:textId="207CB103" w:rsidR="00AA6818" w:rsidRPr="00FF22A9" w:rsidRDefault="009D0235" w:rsidP="00FF22A9">
            <w:pPr>
              <w:tabs>
                <w:tab w:val="left" w:pos="426"/>
                <w:tab w:val="left" w:pos="993"/>
              </w:tabs>
              <w:spacing w:line="276" w:lineRule="auto"/>
              <w:rPr>
                <w:lang w:val="id-ID"/>
              </w:rPr>
            </w:pPr>
            <w:r w:rsidRPr="00FF22A9">
              <w:rPr>
                <w:lang w:val="id-ID"/>
              </w:rPr>
              <w:t xml:space="preserve">Departemen Ilmu Anestesi, Terapi Intensif dan Manajemen Nyeri </w:t>
            </w:r>
            <w:r w:rsidR="00922B8B">
              <w:rPr>
                <w:lang w:val="id-ID"/>
              </w:rPr>
              <w:t>FK UNHAS</w:t>
            </w:r>
          </w:p>
        </w:tc>
        <w:tc>
          <w:tcPr>
            <w:tcW w:w="1299" w:type="dxa"/>
          </w:tcPr>
          <w:p w14:paraId="720F0593" w14:textId="5C25870C" w:rsidR="00AA6818" w:rsidRPr="00FF22A9" w:rsidRDefault="00922B8B" w:rsidP="00D55BF0">
            <w:pPr>
              <w:tabs>
                <w:tab w:val="left" w:pos="426"/>
                <w:tab w:val="left" w:pos="993"/>
              </w:tabs>
              <w:spacing w:line="276" w:lineRule="auto"/>
              <w:jc w:val="both"/>
              <w:rPr>
                <w:lang w:val="id-ID"/>
              </w:rPr>
            </w:pPr>
            <w:r>
              <w:rPr>
                <w:lang w:val="id-ID"/>
              </w:rPr>
              <w:t>2019-2024</w:t>
            </w:r>
          </w:p>
        </w:tc>
        <w:tc>
          <w:tcPr>
            <w:tcW w:w="1963" w:type="dxa"/>
          </w:tcPr>
          <w:p w14:paraId="4555BCF5" w14:textId="350A91B2" w:rsidR="00AA6818" w:rsidRPr="00FF22A9" w:rsidRDefault="00AC520C" w:rsidP="00D55BF0">
            <w:pPr>
              <w:tabs>
                <w:tab w:val="left" w:pos="426"/>
                <w:tab w:val="left" w:pos="993"/>
              </w:tabs>
              <w:spacing w:line="276" w:lineRule="auto"/>
              <w:jc w:val="both"/>
              <w:rPr>
                <w:lang w:val="id-ID"/>
              </w:rPr>
            </w:pPr>
            <w:r w:rsidRPr="00FF22A9">
              <w:rPr>
                <w:lang w:val="id-ID"/>
              </w:rPr>
              <w:t>Makassar</w:t>
            </w:r>
          </w:p>
        </w:tc>
      </w:tr>
    </w:tbl>
    <w:p w14:paraId="0959CA05" w14:textId="77777777" w:rsidR="00825F7F" w:rsidRDefault="00825F7F" w:rsidP="003C78FE">
      <w:pPr>
        <w:tabs>
          <w:tab w:val="left" w:pos="426"/>
          <w:tab w:val="left" w:pos="993"/>
        </w:tabs>
        <w:spacing w:line="360" w:lineRule="auto"/>
        <w:ind w:left="993" w:hanging="993"/>
        <w:jc w:val="both"/>
        <w:rPr>
          <w:b/>
          <w:bCs/>
          <w:lang w:val="id-ID"/>
        </w:rPr>
      </w:pPr>
    </w:p>
    <w:sectPr w:rsidR="00825F7F">
      <w:pgSz w:w="11907" w:h="16840"/>
      <w:pgMar w:top="2268" w:right="1701" w:bottom="1701" w:left="22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F98A5E" w14:textId="77777777" w:rsidR="00275E84" w:rsidRDefault="00275E84">
      <w:r>
        <w:separator/>
      </w:r>
    </w:p>
  </w:endnote>
  <w:endnote w:type="continuationSeparator" w:id="0">
    <w:p w14:paraId="3D6E2BD5" w14:textId="77777777" w:rsidR="00275E84" w:rsidRDefault="00275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swiss"/>
    <w:pitch w:val="variable"/>
    <w:sig w:usb0="E1000AEF" w:usb1="5000A1FF" w:usb2="00000000" w:usb3="00000000" w:csb0="000001BF" w:csb1="00000000"/>
  </w:font>
  <w:font w:name="Courier">
    <w:panose1 w:val="02070409020205020404"/>
    <w:charset w:val="00"/>
    <w:family w:val="auto"/>
    <w:pitch w:val="variable"/>
    <w:sig w:usb0="00000003" w:usb1="00000000" w:usb2="00000000" w:usb3="00000000" w:csb0="00000003" w:csb1="00000000"/>
  </w:font>
  <w:font w:name="Univers 47 CondensedLight">
    <w:altName w:val="Calibri"/>
    <w:panose1 w:val="00000000000000000000"/>
    <w:charset w:val="00"/>
    <w:family w:val="swiss"/>
    <w:notTrueType/>
    <w:pitch w:val="default"/>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default"/>
    <w:sig w:usb0="00000000" w:usb1="00000000" w:usb2="00000000" w:usb3="00000000" w:csb0="00000001" w:csb1="00000000"/>
  </w:font>
  <w:font w:name="Palatino">
    <w:altName w:val="Palatino Linotype"/>
    <w:charset w:val="00"/>
    <w:family w:val="roman"/>
    <w:pitch w:val="default"/>
    <w:sig w:usb0="00000000"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ITCFranklinGothicStd-Book">
    <w:altName w:val="Calibri"/>
    <w:charset w:val="00"/>
    <w:family w:val="swiss"/>
    <w:pitch w:val="default"/>
    <w:sig w:usb0="00000000" w:usb1="00000000" w:usb2="00000000" w:usb3="00000000" w:csb0="00000001" w:csb1="00000000"/>
  </w:font>
  <w:font w:name="PalatinoLTStd-Roman">
    <w:altName w:val="Palatino Linotype"/>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nionPro-Regular">
    <w:altName w:val="Yu Gothic"/>
    <w:panose1 w:val="00000000000000000000"/>
    <w:charset w:val="80"/>
    <w:family w:val="roman"/>
    <w:notTrueType/>
    <w:pitch w:val="default"/>
    <w:sig w:usb0="00000001" w:usb1="08070000" w:usb2="00000010" w:usb3="00000000" w:csb0="00020000" w:csb1="00000000"/>
  </w:font>
  <w:font w:name="FrutigerLTStd-Roman">
    <w:altName w:val="Yu Gothic"/>
    <w:charset w:val="80"/>
    <w:family w:val="swiss"/>
    <w:pitch w:val="default"/>
    <w:sig w:usb0="00000000" w:usb1="00000000" w:usb2="00000010" w:usb3="00000000" w:csb0="00020000" w:csb1="00000000"/>
  </w:font>
  <w:font w:name="E-BZ">
    <w:altName w:val="Microsoft YaHei"/>
    <w:charset w:val="86"/>
    <w:family w:val="auto"/>
    <w:pitch w:val="default"/>
    <w:sig w:usb0="00000000" w:usb1="00000000" w:usb2="00000010" w:usb3="00000000" w:csb0="00040000" w:csb1="00000000"/>
  </w:font>
  <w:font w:name="GandhariUnicode-Roman">
    <w:altName w:val="Yu Gothic"/>
    <w:charset w:val="80"/>
    <w:family w:val="roman"/>
    <w:pitch w:val="default"/>
    <w:sig w:usb0="00000000" w:usb1="00000000" w:usb2="00000010" w:usb3="00000000" w:csb0="00020000" w:csb1="00000000"/>
  </w:font>
  <w:font w:name="DengXian">
    <w:altName w:val="等线"/>
    <w:panose1 w:val="02010600030101010101"/>
    <w:charset w:val="86"/>
    <w:family w:val="auto"/>
    <w:pitch w:val="variable"/>
    <w:sig w:usb0="A00002BF" w:usb1="38CF7CFA" w:usb2="00000016" w:usb3="00000000" w:csb0="0004000F" w:csb1="00000000"/>
  </w:font>
  <w:font w:name="AdvP4DF60E">
    <w:altName w:val="Yu Gothic"/>
    <w:panose1 w:val="00000000000000000000"/>
    <w:charset w:val="80"/>
    <w:family w:val="auto"/>
    <w:notTrueType/>
    <w:pitch w:val="default"/>
    <w:sig w:usb0="00000001" w:usb1="08070000" w:usb2="00000010" w:usb3="00000000" w:csb0="00020000" w:csb1="00000000"/>
  </w:font>
  <w:font w:name="Times-Roman">
    <w:altName w:val="Klee On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3173259"/>
      <w:docPartObj>
        <w:docPartGallery w:val="AutoText"/>
      </w:docPartObj>
    </w:sdtPr>
    <w:sdtContent>
      <w:p w14:paraId="2692CEEE" w14:textId="77777777" w:rsidR="003B79BC" w:rsidRDefault="00000000">
        <w:pPr>
          <w:pStyle w:val="Footer"/>
          <w:jc w:val="center"/>
        </w:pPr>
        <w:r>
          <w:fldChar w:fldCharType="begin"/>
        </w:r>
        <w:r>
          <w:instrText xml:space="preserve"> PAGE   \* MERGEFORMAT </w:instrText>
        </w:r>
        <w:r>
          <w:fldChar w:fldCharType="separate"/>
        </w:r>
        <w:r>
          <w:t>2</w:t>
        </w:r>
        <w:r>
          <w:fldChar w:fldCharType="end"/>
        </w:r>
      </w:p>
    </w:sdtContent>
  </w:sdt>
  <w:p w14:paraId="691940AC" w14:textId="77777777" w:rsidR="003B79BC" w:rsidRDefault="003B79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3572803"/>
    </w:sdtPr>
    <w:sdtContent>
      <w:p w14:paraId="20C8D5BA" w14:textId="77777777" w:rsidR="003B79BC" w:rsidRDefault="00000000">
        <w:pPr>
          <w:pStyle w:val="Footer"/>
          <w:jc w:val="center"/>
        </w:pPr>
        <w:r>
          <w:fldChar w:fldCharType="begin"/>
        </w:r>
        <w:r>
          <w:instrText xml:space="preserve"> PAGE   \* MERGEFORMAT </w:instrText>
        </w:r>
        <w:r>
          <w:fldChar w:fldCharType="separate"/>
        </w:r>
        <w:r>
          <w:t>3</w:t>
        </w:r>
        <w:r>
          <w:t>2</w:t>
        </w:r>
        <w:r>
          <w:fldChar w:fldCharType="end"/>
        </w:r>
      </w:p>
    </w:sdtContent>
  </w:sdt>
  <w:p w14:paraId="53BC01C2" w14:textId="77777777" w:rsidR="003B79BC" w:rsidRDefault="003B79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09140" w14:textId="77777777" w:rsidR="00D72714" w:rsidRDefault="00000000">
    <w:pPr>
      <w:pStyle w:val="BodyText"/>
      <w:spacing w:line="14" w:lineRule="auto"/>
      <w:rPr>
        <w:sz w:val="20"/>
      </w:rPr>
    </w:pPr>
    <w:r>
      <w:pict w14:anchorId="7CD561D0">
        <v:shapetype id="_x0000_t202" coordsize="21600,21600" o:spt="202" path="m,l,21600r21600,l21600,xe">
          <v:stroke joinstyle="miter"/>
          <v:path gradientshapeok="t" o:connecttype="rect"/>
        </v:shapetype>
        <v:shape id="_x0000_s1025" type="#_x0000_t202" style="position:absolute;margin-left:300.05pt;margin-top:775.4pt;width:12pt;height:15.3pt;z-index:-251658752;mso-position-horizontal-relative:page;mso-position-vertical-relative:page;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" filled="f" stroked="f">
          <o:lock v:ext="edit" aspectratio="t" text="t"/>
          <v:textbox style="mso-next-textbox:#_x0000_s1025" inset="0,0,0,0">
            <w:txbxContent>
              <w:p w14:paraId="211653C9" w14:textId="77777777" w:rsidR="00D72714" w:rsidRDefault="00D72714">
                <w:pPr>
                  <w:pStyle w:val="BodyText"/>
                  <w:spacing w:before="10"/>
                  <w:ind w:left="60"/>
                </w:pPr>
                <w:r>
                  <w:fldChar w:fldCharType="begin"/>
                </w:r>
                <w:r>
                  <w:instrText xml:space="preserve"> PAGE </w:instrText>
                </w:r>
                <w:r>
                  <w:fldChar w:fldCharType="separate"/>
                </w:r>
                <w: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90BCDE" w14:textId="77777777" w:rsidR="00275E84" w:rsidRDefault="00275E84">
      <w:r>
        <w:separator/>
      </w:r>
    </w:p>
  </w:footnote>
  <w:footnote w:type="continuationSeparator" w:id="0">
    <w:p w14:paraId="23402C0E" w14:textId="77777777" w:rsidR="00275E84" w:rsidRDefault="00275E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74F93"/>
    <w:multiLevelType w:val="multilevel"/>
    <w:tmpl w:val="01C74F93"/>
    <w:lvl w:ilvl="0">
      <w:start w:val="5"/>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8612A8"/>
    <w:multiLevelType w:val="multilevel"/>
    <w:tmpl w:val="175551EA"/>
    <w:lvl w:ilvl="0">
      <w:start w:val="1"/>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b/>
        <w:bCs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15:restartNumberingAfterBreak="0">
    <w:nsid w:val="05A11724"/>
    <w:multiLevelType w:val="multilevel"/>
    <w:tmpl w:val="05A11724"/>
    <w:lvl w:ilvl="0">
      <w:start w:val="1"/>
      <w:numFmt w:val="lowerLetter"/>
      <w:lvlText w:val="%1."/>
      <w:lvlJc w:val="left"/>
      <w:pPr>
        <w:ind w:left="720" w:hanging="360"/>
      </w:pPr>
      <w:rPr>
        <w:rFonts w:asciiTheme="majorBidi" w:eastAsiaTheme="minorEastAsia" w:hAnsiTheme="majorBidi" w:cstheme="majorBidi"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C85300"/>
    <w:multiLevelType w:val="multilevel"/>
    <w:tmpl w:val="06C85300"/>
    <w:lvl w:ilvl="0">
      <w:start w:val="2"/>
      <w:numFmt w:val="decimal"/>
      <w:lvlText w:val="2.%1"/>
      <w:lvlJc w:val="left"/>
      <w:pPr>
        <w:ind w:left="720" w:hanging="360"/>
      </w:pPr>
      <w:rPr>
        <w:rFonts w:hint="default"/>
        <w:b/>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lowerLetter"/>
      <w:lvlText w:val="%4."/>
      <w:lvlJc w:val="left"/>
      <w:pPr>
        <w:ind w:left="2880" w:hanging="360"/>
      </w:pPr>
      <w:rPr>
        <w:rFonts w:ascii="Times New Roman" w:eastAsiaTheme="minorEastAsia" w:hAnsi="Times New Roman" w:cs="Times New Roman"/>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25F0021"/>
    <w:multiLevelType w:val="multilevel"/>
    <w:tmpl w:val="125F0021"/>
    <w:lvl w:ilvl="0">
      <w:start w:val="1"/>
      <w:numFmt w:val="decimal"/>
      <w:lvlText w:val="%1."/>
      <w:lvlJc w:val="left"/>
      <w:pPr>
        <w:ind w:left="720" w:hanging="360"/>
      </w:pPr>
      <w:rPr>
        <w:rFonts w:ascii="Calibri" w:hAnsi="Calibri"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2B612C5"/>
    <w:multiLevelType w:val="multilevel"/>
    <w:tmpl w:val="12B612C5"/>
    <w:lvl w:ilvl="0">
      <w:start w:val="1"/>
      <w:numFmt w:val="decimal"/>
      <w:lvlText w:val="2.3.%1"/>
      <w:lvlJc w:val="left"/>
      <w:pPr>
        <w:ind w:left="720" w:hanging="360"/>
      </w:pPr>
      <w:rPr>
        <w:rFonts w:ascii="Times New Roman" w:hAnsi="Times New Roman" w:cs="Times New Roman"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32E085C"/>
    <w:multiLevelType w:val="multilevel"/>
    <w:tmpl w:val="132E085C"/>
    <w:lvl w:ilvl="0">
      <w:start w:val="5"/>
      <w:numFmt w:val="bullet"/>
      <w:lvlText w:val="-"/>
      <w:lvlJc w:val="left"/>
      <w:pPr>
        <w:ind w:left="720" w:hanging="360"/>
      </w:pPr>
      <w:rPr>
        <w:rFonts w:ascii="Times New Roman" w:eastAsiaTheme="minorEastAsia"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437431C"/>
    <w:multiLevelType w:val="multilevel"/>
    <w:tmpl w:val="143743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2"/>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5551EA"/>
    <w:multiLevelType w:val="multilevel"/>
    <w:tmpl w:val="175551EA"/>
    <w:lvl w:ilvl="0">
      <w:start w:val="1"/>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b/>
        <w:bCs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27B3315D"/>
    <w:multiLevelType w:val="multilevel"/>
    <w:tmpl w:val="27B3315D"/>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A634139"/>
    <w:multiLevelType w:val="multilevel"/>
    <w:tmpl w:val="2A634139"/>
    <w:lvl w:ilvl="0">
      <w:start w:val="1"/>
      <w:numFmt w:val="decimal"/>
      <w:lvlText w:val="%1."/>
      <w:lvlJc w:val="left"/>
      <w:pPr>
        <w:ind w:left="1380" w:hanging="360"/>
      </w:pPr>
      <w:rPr>
        <w:rFonts w:asciiTheme="majorBidi" w:eastAsiaTheme="minorEastAsia" w:hAnsiTheme="majorBidi" w:cstheme="majorBidi"/>
        <w:b w:val="0"/>
      </w:rPr>
    </w:lvl>
    <w:lvl w:ilvl="1">
      <w:start w:val="1"/>
      <w:numFmt w:val="lowerLetter"/>
      <w:lvlText w:val="%2."/>
      <w:lvlJc w:val="left"/>
      <w:pPr>
        <w:ind w:left="2100" w:hanging="360"/>
      </w:pPr>
    </w:lvl>
    <w:lvl w:ilvl="2">
      <w:start w:val="1"/>
      <w:numFmt w:val="lowerRoman"/>
      <w:lvlText w:val="%3."/>
      <w:lvlJc w:val="right"/>
      <w:pPr>
        <w:ind w:left="2820" w:hanging="180"/>
      </w:pPr>
    </w:lvl>
    <w:lvl w:ilvl="3">
      <w:start w:val="1"/>
      <w:numFmt w:val="decimal"/>
      <w:lvlText w:val="%4."/>
      <w:lvlJc w:val="left"/>
      <w:pPr>
        <w:ind w:left="3540" w:hanging="360"/>
      </w:pPr>
    </w:lvl>
    <w:lvl w:ilvl="4">
      <w:start w:val="1"/>
      <w:numFmt w:val="lowerLetter"/>
      <w:lvlText w:val="%5."/>
      <w:lvlJc w:val="left"/>
      <w:pPr>
        <w:ind w:left="4260" w:hanging="360"/>
      </w:pPr>
    </w:lvl>
    <w:lvl w:ilvl="5">
      <w:start w:val="1"/>
      <w:numFmt w:val="lowerRoman"/>
      <w:lvlText w:val="%6."/>
      <w:lvlJc w:val="right"/>
      <w:pPr>
        <w:ind w:left="4980" w:hanging="180"/>
      </w:pPr>
    </w:lvl>
    <w:lvl w:ilvl="6">
      <w:start w:val="1"/>
      <w:numFmt w:val="decimal"/>
      <w:lvlText w:val="%7."/>
      <w:lvlJc w:val="left"/>
      <w:pPr>
        <w:ind w:left="5700" w:hanging="360"/>
      </w:pPr>
    </w:lvl>
    <w:lvl w:ilvl="7">
      <w:start w:val="1"/>
      <w:numFmt w:val="lowerLetter"/>
      <w:lvlText w:val="%8."/>
      <w:lvlJc w:val="left"/>
      <w:pPr>
        <w:ind w:left="6420" w:hanging="360"/>
      </w:pPr>
    </w:lvl>
    <w:lvl w:ilvl="8">
      <w:start w:val="1"/>
      <w:numFmt w:val="lowerRoman"/>
      <w:lvlText w:val="%9."/>
      <w:lvlJc w:val="right"/>
      <w:pPr>
        <w:ind w:left="7140" w:hanging="180"/>
      </w:pPr>
    </w:lvl>
  </w:abstractNum>
  <w:abstractNum w:abstractNumId="11" w15:restartNumberingAfterBreak="0">
    <w:nsid w:val="2CF032FF"/>
    <w:multiLevelType w:val="multilevel"/>
    <w:tmpl w:val="2CF032FF"/>
    <w:lvl w:ilvl="0">
      <w:start w:val="1"/>
      <w:numFmt w:val="decimal"/>
      <w:lvlText w:val="2.4.%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3364F39"/>
    <w:multiLevelType w:val="multilevel"/>
    <w:tmpl w:val="33364F39"/>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353B681B"/>
    <w:multiLevelType w:val="multilevel"/>
    <w:tmpl w:val="353B681B"/>
    <w:lvl w:ilvl="0">
      <w:start w:val="1"/>
      <w:numFmt w:val="decimal"/>
      <w:lvlText w:val="%1."/>
      <w:lvlJc w:val="left"/>
      <w:pPr>
        <w:ind w:left="1429" w:hanging="360"/>
      </w:pPr>
      <w:rPr>
        <w:rFonts w:ascii="Times New Roman" w:hAnsi="Times New Roman" w:cs="Times New Roman" w:hint="default"/>
        <w:b w:val="0"/>
        <w:bCs/>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rPr>
        <w:b w:val="0"/>
        <w:bCs w:val="0"/>
      </w:r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4" w15:restartNumberingAfterBreak="0">
    <w:nsid w:val="36FB68D8"/>
    <w:multiLevelType w:val="multilevel"/>
    <w:tmpl w:val="F5BA9E28"/>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45370BE"/>
    <w:multiLevelType w:val="multilevel"/>
    <w:tmpl w:val="445370BE"/>
    <w:lvl w:ilvl="0">
      <w:start w:val="1"/>
      <w:numFmt w:val="decimal"/>
      <w:lvlText w:val="%1."/>
      <w:lvlJc w:val="left"/>
      <w:pPr>
        <w:ind w:left="360" w:hanging="360"/>
      </w:pPr>
      <w:rPr>
        <w:rFonts w:asciiTheme="majorBidi" w:eastAsiaTheme="minorEastAsia" w:hAnsiTheme="majorBidi" w:cstheme="majorBidi" w:hint="default"/>
        <w:b w:val="0"/>
        <w:bCs/>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45092DBF"/>
    <w:multiLevelType w:val="multilevel"/>
    <w:tmpl w:val="45092DBF"/>
    <w:lvl w:ilvl="0">
      <w:start w:val="1"/>
      <w:numFmt w:val="decimal"/>
      <w:lvlText w:val="%1."/>
      <w:lvlJc w:val="righ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46AD2381"/>
    <w:multiLevelType w:val="multilevel"/>
    <w:tmpl w:val="46AD2381"/>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rPr>
        <w:rFonts w:ascii="Times New Roman" w:eastAsiaTheme="minorEastAsia" w:hAnsi="Times New Roman" w:cs="Times New Roman" w:hint="default"/>
      </w:rPr>
    </w:lvl>
    <w:lvl w:ilvl="5">
      <w:start w:val="1"/>
      <w:numFmt w:val="lowerLetter"/>
      <w:lvlText w:val="%6."/>
      <w:lvlJc w:val="left"/>
      <w:pPr>
        <w:ind w:left="4500" w:hanging="360"/>
      </w:pPr>
      <w:rPr>
        <w:rFonts w:hint="default"/>
        <w:b w:val="0"/>
        <w:bCs/>
      </w:rPr>
    </w:lvl>
    <w:lvl w:ilvl="6">
      <w:start w:val="4"/>
      <w:numFmt w:val="decimal"/>
      <w:lvlText w:val="%7"/>
      <w:lvlJc w:val="left"/>
      <w:pPr>
        <w:ind w:left="5040" w:hanging="360"/>
      </w:pPr>
      <w:rPr>
        <w:rFonts w:hint="default"/>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C81067"/>
    <w:multiLevelType w:val="multilevel"/>
    <w:tmpl w:val="47C81067"/>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48936F45"/>
    <w:multiLevelType w:val="multilevel"/>
    <w:tmpl w:val="48936F45"/>
    <w:lvl w:ilvl="0">
      <w:start w:val="1"/>
      <w:numFmt w:val="bullet"/>
      <w:lvlText w:val="-"/>
      <w:lvlJc w:val="left"/>
      <w:pPr>
        <w:ind w:left="720" w:hanging="360"/>
      </w:pPr>
      <w:rPr>
        <w:rFonts w:ascii="Times New Roman" w:eastAsia="MS Mincho" w:hAnsi="Times New Roman" w:cs="Times New Roman" w:hint="default"/>
      </w:rPr>
    </w:lvl>
    <w:lvl w:ilvl="1">
      <w:start w:val="1"/>
      <w:numFmt w:val="bullet"/>
      <w:lvlText w:val="-"/>
      <w:lvlJc w:val="left"/>
      <w:pPr>
        <w:tabs>
          <w:tab w:val="left" w:pos="1440"/>
        </w:tabs>
        <w:ind w:left="1440" w:hanging="360"/>
      </w:pPr>
      <w:rPr>
        <w:rFonts w:ascii="Times" w:hAnsi="Times" w:hint="default"/>
      </w:rPr>
    </w:lvl>
    <w:lvl w:ilvl="2">
      <w:start w:val="1"/>
      <w:numFmt w:val="bullet"/>
      <w:lvlText w:val="-"/>
      <w:lvlJc w:val="left"/>
      <w:pPr>
        <w:tabs>
          <w:tab w:val="left" w:pos="2160"/>
        </w:tabs>
        <w:ind w:left="2160" w:hanging="360"/>
      </w:pPr>
      <w:rPr>
        <w:rFonts w:ascii="Times" w:hAnsi="Times" w:hint="default"/>
      </w:rPr>
    </w:lvl>
    <w:lvl w:ilvl="3">
      <w:start w:val="1"/>
      <w:numFmt w:val="bullet"/>
      <w:lvlText w:val="-"/>
      <w:lvlJc w:val="left"/>
      <w:pPr>
        <w:tabs>
          <w:tab w:val="left" w:pos="2880"/>
        </w:tabs>
        <w:ind w:left="2880" w:hanging="360"/>
      </w:pPr>
      <w:rPr>
        <w:rFonts w:ascii="Times" w:hAnsi="Times" w:hint="default"/>
      </w:rPr>
    </w:lvl>
    <w:lvl w:ilvl="4">
      <w:start w:val="1"/>
      <w:numFmt w:val="bullet"/>
      <w:lvlText w:val="-"/>
      <w:lvlJc w:val="left"/>
      <w:pPr>
        <w:tabs>
          <w:tab w:val="left" w:pos="3600"/>
        </w:tabs>
        <w:ind w:left="3600" w:hanging="360"/>
      </w:pPr>
      <w:rPr>
        <w:rFonts w:ascii="Times" w:hAnsi="Times" w:hint="default"/>
      </w:rPr>
    </w:lvl>
    <w:lvl w:ilvl="5">
      <w:start w:val="1"/>
      <w:numFmt w:val="bullet"/>
      <w:lvlText w:val="-"/>
      <w:lvlJc w:val="left"/>
      <w:pPr>
        <w:tabs>
          <w:tab w:val="left" w:pos="4320"/>
        </w:tabs>
        <w:ind w:left="4320" w:hanging="360"/>
      </w:pPr>
      <w:rPr>
        <w:rFonts w:ascii="Times" w:hAnsi="Times" w:hint="default"/>
      </w:rPr>
    </w:lvl>
    <w:lvl w:ilvl="6">
      <w:start w:val="1"/>
      <w:numFmt w:val="bullet"/>
      <w:lvlText w:val="-"/>
      <w:lvlJc w:val="left"/>
      <w:pPr>
        <w:tabs>
          <w:tab w:val="left" w:pos="5040"/>
        </w:tabs>
        <w:ind w:left="5040" w:hanging="360"/>
      </w:pPr>
      <w:rPr>
        <w:rFonts w:ascii="Times" w:hAnsi="Times" w:hint="default"/>
      </w:rPr>
    </w:lvl>
    <w:lvl w:ilvl="7">
      <w:start w:val="1"/>
      <w:numFmt w:val="bullet"/>
      <w:lvlText w:val="-"/>
      <w:lvlJc w:val="left"/>
      <w:pPr>
        <w:tabs>
          <w:tab w:val="left" w:pos="5760"/>
        </w:tabs>
        <w:ind w:left="5760" w:hanging="360"/>
      </w:pPr>
      <w:rPr>
        <w:rFonts w:ascii="Times" w:hAnsi="Times" w:hint="default"/>
      </w:rPr>
    </w:lvl>
    <w:lvl w:ilvl="8">
      <w:start w:val="1"/>
      <w:numFmt w:val="bullet"/>
      <w:lvlText w:val="-"/>
      <w:lvlJc w:val="left"/>
      <w:pPr>
        <w:tabs>
          <w:tab w:val="left" w:pos="6480"/>
        </w:tabs>
        <w:ind w:left="6480" w:hanging="360"/>
      </w:pPr>
      <w:rPr>
        <w:rFonts w:ascii="Times" w:hAnsi="Times" w:hint="default"/>
      </w:rPr>
    </w:lvl>
  </w:abstractNum>
  <w:abstractNum w:abstractNumId="20" w15:restartNumberingAfterBreak="0">
    <w:nsid w:val="51BA01E4"/>
    <w:multiLevelType w:val="multilevel"/>
    <w:tmpl w:val="51BA01E4"/>
    <w:lvl w:ilvl="0">
      <w:start w:val="1"/>
      <w:numFmt w:val="decimal"/>
      <w:lvlText w:val="%1."/>
      <w:lvlJc w:val="left"/>
      <w:pPr>
        <w:ind w:left="1080" w:hanging="360"/>
      </w:pPr>
      <w:rPr>
        <w:rFonts w:hint="default"/>
      </w:rPr>
    </w:lvl>
    <w:lvl w:ilvl="1">
      <w:start w:val="1"/>
      <w:numFmt w:val="lowerLetter"/>
      <w:lvlText w:val="%2."/>
      <w:lvlJc w:val="left"/>
      <w:pPr>
        <w:ind w:left="1800" w:hanging="360"/>
      </w:pPr>
      <w:rPr>
        <w:b w:val="0"/>
        <w:bC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53BB0168"/>
    <w:multiLevelType w:val="hybridMultilevel"/>
    <w:tmpl w:val="629E9B2A"/>
    <w:lvl w:ilvl="0" w:tplc="2676C20E">
      <w:start w:val="1"/>
      <w:numFmt w:val="decimal"/>
      <w:lvlText w:val="%1."/>
      <w:lvlJc w:val="left"/>
      <w:pPr>
        <w:ind w:left="720" w:hanging="360"/>
      </w:pPr>
      <w:rPr>
        <w:rFonts w:ascii="Times New Roman" w:eastAsiaTheme="minorHAnsi" w:hAnsi="Times New Roman" w:cs="Times New Roman"/>
        <w:b w:val="0"/>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22" w15:restartNumberingAfterBreak="0">
    <w:nsid w:val="5C266CB2"/>
    <w:multiLevelType w:val="multilevel"/>
    <w:tmpl w:val="5C266CB2"/>
    <w:lvl w:ilvl="0">
      <w:start w:val="1"/>
      <w:numFmt w:val="decimal"/>
      <w:lvlText w:val="4.%1"/>
      <w:lvlJc w:val="left"/>
      <w:pPr>
        <w:ind w:left="720" w:hanging="360"/>
      </w:pPr>
      <w:rPr>
        <w:rFonts w:hint="default"/>
      </w:rPr>
    </w:lvl>
    <w:lvl w:ilvl="1">
      <w:start w:val="1"/>
      <w:numFmt w:val="decimal"/>
      <w:lvlText w:val="5.%2"/>
      <w:lvlJc w:val="left"/>
      <w:pPr>
        <w:ind w:left="72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E39712A"/>
    <w:multiLevelType w:val="multilevel"/>
    <w:tmpl w:val="5E39712A"/>
    <w:lvl w:ilvl="0">
      <w:start w:val="1"/>
      <w:numFmt w:val="bullet"/>
      <w:lvlText w:val="-"/>
      <w:lvlJc w:val="left"/>
      <w:pPr>
        <w:tabs>
          <w:tab w:val="left" w:pos="720"/>
        </w:tabs>
        <w:ind w:left="720" w:hanging="360"/>
      </w:pPr>
      <w:rPr>
        <w:rFonts w:ascii="Times" w:hAnsi="Times" w:hint="default"/>
      </w:rPr>
    </w:lvl>
    <w:lvl w:ilvl="1">
      <w:start w:val="1"/>
      <w:numFmt w:val="bullet"/>
      <w:lvlText w:val="-"/>
      <w:lvlJc w:val="left"/>
      <w:pPr>
        <w:tabs>
          <w:tab w:val="left" w:pos="1440"/>
        </w:tabs>
        <w:ind w:left="1440" w:hanging="360"/>
      </w:pPr>
      <w:rPr>
        <w:rFonts w:ascii="Times" w:hAnsi="Times" w:hint="default"/>
      </w:rPr>
    </w:lvl>
    <w:lvl w:ilvl="2">
      <w:start w:val="1"/>
      <w:numFmt w:val="bullet"/>
      <w:lvlText w:val="-"/>
      <w:lvlJc w:val="left"/>
      <w:pPr>
        <w:tabs>
          <w:tab w:val="left" w:pos="2160"/>
        </w:tabs>
        <w:ind w:left="2160" w:hanging="360"/>
      </w:pPr>
      <w:rPr>
        <w:rFonts w:ascii="Times" w:hAnsi="Times" w:hint="default"/>
      </w:rPr>
    </w:lvl>
    <w:lvl w:ilvl="3">
      <w:start w:val="1"/>
      <w:numFmt w:val="bullet"/>
      <w:lvlText w:val="-"/>
      <w:lvlJc w:val="left"/>
      <w:pPr>
        <w:tabs>
          <w:tab w:val="left" w:pos="2880"/>
        </w:tabs>
        <w:ind w:left="2880" w:hanging="360"/>
      </w:pPr>
      <w:rPr>
        <w:rFonts w:ascii="Times" w:hAnsi="Times" w:hint="default"/>
      </w:rPr>
    </w:lvl>
    <w:lvl w:ilvl="4">
      <w:start w:val="1"/>
      <w:numFmt w:val="bullet"/>
      <w:lvlText w:val="-"/>
      <w:lvlJc w:val="left"/>
      <w:pPr>
        <w:tabs>
          <w:tab w:val="left" w:pos="3600"/>
        </w:tabs>
        <w:ind w:left="3600" w:hanging="360"/>
      </w:pPr>
      <w:rPr>
        <w:rFonts w:ascii="Times" w:hAnsi="Times" w:hint="default"/>
      </w:rPr>
    </w:lvl>
    <w:lvl w:ilvl="5">
      <w:start w:val="1"/>
      <w:numFmt w:val="bullet"/>
      <w:lvlText w:val="-"/>
      <w:lvlJc w:val="left"/>
      <w:pPr>
        <w:tabs>
          <w:tab w:val="left" w:pos="4320"/>
        </w:tabs>
        <w:ind w:left="4320" w:hanging="360"/>
      </w:pPr>
      <w:rPr>
        <w:rFonts w:ascii="Times" w:hAnsi="Times" w:hint="default"/>
      </w:rPr>
    </w:lvl>
    <w:lvl w:ilvl="6">
      <w:start w:val="1"/>
      <w:numFmt w:val="bullet"/>
      <w:lvlText w:val="-"/>
      <w:lvlJc w:val="left"/>
      <w:pPr>
        <w:tabs>
          <w:tab w:val="left" w:pos="5040"/>
        </w:tabs>
        <w:ind w:left="5040" w:hanging="360"/>
      </w:pPr>
      <w:rPr>
        <w:rFonts w:ascii="Times" w:hAnsi="Times" w:hint="default"/>
      </w:rPr>
    </w:lvl>
    <w:lvl w:ilvl="7">
      <w:start w:val="1"/>
      <w:numFmt w:val="bullet"/>
      <w:lvlText w:val="-"/>
      <w:lvlJc w:val="left"/>
      <w:pPr>
        <w:tabs>
          <w:tab w:val="left" w:pos="5760"/>
        </w:tabs>
        <w:ind w:left="5760" w:hanging="360"/>
      </w:pPr>
      <w:rPr>
        <w:rFonts w:ascii="Times" w:hAnsi="Times" w:hint="default"/>
      </w:rPr>
    </w:lvl>
    <w:lvl w:ilvl="8">
      <w:start w:val="1"/>
      <w:numFmt w:val="bullet"/>
      <w:lvlText w:val="-"/>
      <w:lvlJc w:val="left"/>
      <w:pPr>
        <w:tabs>
          <w:tab w:val="left" w:pos="6480"/>
        </w:tabs>
        <w:ind w:left="6480" w:hanging="360"/>
      </w:pPr>
      <w:rPr>
        <w:rFonts w:ascii="Times" w:hAnsi="Times" w:hint="default"/>
      </w:rPr>
    </w:lvl>
  </w:abstractNum>
  <w:abstractNum w:abstractNumId="24" w15:restartNumberingAfterBreak="0">
    <w:nsid w:val="5E5069B1"/>
    <w:multiLevelType w:val="multilevel"/>
    <w:tmpl w:val="5E5069B1"/>
    <w:lvl w:ilvl="0">
      <w:start w:val="1"/>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b/>
        <w:bCs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653D3457"/>
    <w:multiLevelType w:val="multilevel"/>
    <w:tmpl w:val="33D28BDC"/>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66E35B67"/>
    <w:multiLevelType w:val="multilevel"/>
    <w:tmpl w:val="66E35B67"/>
    <w:lvl w:ilvl="0">
      <w:start w:val="1"/>
      <w:numFmt w:val="lowerLetter"/>
      <w:lvlText w:val="%1."/>
      <w:lvlJc w:val="left"/>
      <w:pPr>
        <w:ind w:left="720" w:hanging="360"/>
      </w:pPr>
      <w:rPr>
        <w:rFonts w:ascii="Arial" w:eastAsiaTheme="minorEastAsia" w:hAnsi="Arial" w:cs="Arial"/>
        <w:b w:val="0"/>
        <w:bCs/>
      </w:rPr>
    </w:lvl>
    <w:lvl w:ilvl="1">
      <w:start w:val="1"/>
      <w:numFmt w:val="lowerLetter"/>
      <w:lvlText w:val="%2."/>
      <w:lvlJc w:val="left"/>
      <w:pPr>
        <w:ind w:left="1440" w:hanging="360"/>
      </w:pPr>
      <w:rPr>
        <w:rFonts w:asciiTheme="majorBidi" w:eastAsiaTheme="minorEastAsia" w:hAnsiTheme="majorBidi" w:cstheme="majorBidi"/>
      </w:rPr>
    </w:lvl>
    <w:lvl w:ilvl="2">
      <w:start w:val="1"/>
      <w:numFmt w:val="upperLetter"/>
      <w:lvlText w:val="%3."/>
      <w:lvlJc w:val="left"/>
      <w:pPr>
        <w:ind w:left="2340" w:hanging="360"/>
      </w:pPr>
      <w:rPr>
        <w:rFonts w:hint="default"/>
      </w:rPr>
    </w:lvl>
    <w:lvl w:ilvl="3">
      <w:start w:val="1"/>
      <w:numFmt w:val="upperLetter"/>
      <w:lvlText w:val="%4."/>
      <w:lvlJc w:val="left"/>
      <w:pPr>
        <w:ind w:left="2880" w:hanging="360"/>
      </w:pPr>
    </w:lvl>
    <w:lvl w:ilvl="4">
      <w:start w:val="2"/>
      <w:numFmt w:val="lowerLetter"/>
      <w:lvlText w:val="%5."/>
      <w:lvlJc w:val="left"/>
      <w:pPr>
        <w:ind w:left="3600" w:hanging="360"/>
      </w:pPr>
      <w:rPr>
        <w:rFonts w:hint="default"/>
      </w:rPr>
    </w:lvl>
    <w:lvl w:ilvl="5">
      <w:start w:val="1"/>
      <w:numFmt w:val="decimal"/>
      <w:lvlText w:val="%6."/>
      <w:lvlJc w:val="left"/>
      <w:pPr>
        <w:ind w:left="4500" w:hanging="360"/>
      </w:pPr>
      <w:rPr>
        <w:rFonts w:hint="default"/>
        <w:b w:val="0"/>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9830373"/>
    <w:multiLevelType w:val="multilevel"/>
    <w:tmpl w:val="69830373"/>
    <w:lvl w:ilvl="0">
      <w:start w:val="1"/>
      <w:numFmt w:val="lowerLetter"/>
      <w:lvlText w:val="%1."/>
      <w:lvlJc w:val="left"/>
      <w:pPr>
        <w:ind w:left="763" w:hanging="360"/>
      </w:pPr>
    </w:lvl>
    <w:lvl w:ilvl="1">
      <w:start w:val="1"/>
      <w:numFmt w:val="lowerLetter"/>
      <w:lvlText w:val="%2."/>
      <w:lvlJc w:val="left"/>
      <w:pPr>
        <w:ind w:left="1483" w:hanging="360"/>
      </w:pPr>
    </w:lvl>
    <w:lvl w:ilvl="2">
      <w:start w:val="1"/>
      <w:numFmt w:val="lowerRoman"/>
      <w:lvlText w:val="%3."/>
      <w:lvlJc w:val="right"/>
      <w:pPr>
        <w:ind w:left="2203" w:hanging="180"/>
      </w:pPr>
    </w:lvl>
    <w:lvl w:ilvl="3">
      <w:start w:val="1"/>
      <w:numFmt w:val="decimal"/>
      <w:lvlText w:val="%4."/>
      <w:lvlJc w:val="left"/>
      <w:pPr>
        <w:ind w:left="2923" w:hanging="360"/>
      </w:pPr>
    </w:lvl>
    <w:lvl w:ilvl="4">
      <w:start w:val="1"/>
      <w:numFmt w:val="lowerLetter"/>
      <w:lvlText w:val="%5."/>
      <w:lvlJc w:val="left"/>
      <w:pPr>
        <w:ind w:left="3643" w:hanging="360"/>
      </w:pPr>
    </w:lvl>
    <w:lvl w:ilvl="5">
      <w:start w:val="1"/>
      <w:numFmt w:val="lowerRoman"/>
      <w:lvlText w:val="%6."/>
      <w:lvlJc w:val="right"/>
      <w:pPr>
        <w:ind w:left="4363" w:hanging="180"/>
      </w:pPr>
    </w:lvl>
    <w:lvl w:ilvl="6">
      <w:start w:val="1"/>
      <w:numFmt w:val="decimal"/>
      <w:lvlText w:val="%7."/>
      <w:lvlJc w:val="left"/>
      <w:pPr>
        <w:ind w:left="5083" w:hanging="360"/>
      </w:pPr>
    </w:lvl>
    <w:lvl w:ilvl="7">
      <w:start w:val="1"/>
      <w:numFmt w:val="lowerLetter"/>
      <w:lvlText w:val="%8."/>
      <w:lvlJc w:val="left"/>
      <w:pPr>
        <w:ind w:left="5803" w:hanging="360"/>
      </w:pPr>
    </w:lvl>
    <w:lvl w:ilvl="8">
      <w:start w:val="1"/>
      <w:numFmt w:val="lowerRoman"/>
      <w:lvlText w:val="%9."/>
      <w:lvlJc w:val="right"/>
      <w:pPr>
        <w:ind w:left="6523" w:hanging="180"/>
      </w:pPr>
    </w:lvl>
  </w:abstractNum>
  <w:abstractNum w:abstractNumId="28" w15:restartNumberingAfterBreak="0">
    <w:nsid w:val="6EBA2677"/>
    <w:multiLevelType w:val="multilevel"/>
    <w:tmpl w:val="6EBA2677"/>
    <w:lvl w:ilvl="0">
      <w:start w:val="1"/>
      <w:numFmt w:val="lowerLetter"/>
      <w:lvlText w:val="%1."/>
      <w:lvlJc w:val="left"/>
      <w:pPr>
        <w:ind w:left="720" w:hanging="360"/>
      </w:pPr>
      <w:rPr>
        <w:rFonts w:asciiTheme="majorBidi" w:eastAsiaTheme="minorEastAsia" w:hAnsiTheme="majorBidi" w:cstheme="majorBidi"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0066E0F"/>
    <w:multiLevelType w:val="multilevel"/>
    <w:tmpl w:val="259E6FA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4565E16"/>
    <w:multiLevelType w:val="multilevel"/>
    <w:tmpl w:val="74565E16"/>
    <w:lvl w:ilvl="0">
      <w:start w:val="1"/>
      <w:numFmt w:val="decimal"/>
      <w:lvlText w:val="1.%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6893433"/>
    <w:multiLevelType w:val="multilevel"/>
    <w:tmpl w:val="76893433"/>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70F5BE1"/>
    <w:multiLevelType w:val="multilevel"/>
    <w:tmpl w:val="770F5BE1"/>
    <w:lvl w:ilvl="0">
      <w:start w:val="1"/>
      <w:numFmt w:val="decimal"/>
      <w:lvlText w:val="2.5.%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EC17ABA"/>
    <w:multiLevelType w:val="multilevel"/>
    <w:tmpl w:val="74405EAA"/>
    <w:lvl w:ilvl="0">
      <w:start w:val="5"/>
      <w:numFmt w:val="decimal"/>
      <w:lvlText w:val="2.4.%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2020158719">
    <w:abstractNumId w:val="30"/>
  </w:num>
  <w:num w:numId="2" w16cid:durableId="2004812606">
    <w:abstractNumId w:val="24"/>
  </w:num>
  <w:num w:numId="3" w16cid:durableId="1176844512">
    <w:abstractNumId w:val="8"/>
  </w:num>
  <w:num w:numId="4" w16cid:durableId="1801454509">
    <w:abstractNumId w:val="13"/>
  </w:num>
  <w:num w:numId="5" w16cid:durableId="704257766">
    <w:abstractNumId w:val="31"/>
  </w:num>
  <w:num w:numId="6" w16cid:durableId="627467111">
    <w:abstractNumId w:val="3"/>
  </w:num>
  <w:num w:numId="7" w16cid:durableId="410003805">
    <w:abstractNumId w:val="5"/>
  </w:num>
  <w:num w:numId="8" w16cid:durableId="194588206">
    <w:abstractNumId w:val="4"/>
  </w:num>
  <w:num w:numId="9" w16cid:durableId="965889661">
    <w:abstractNumId w:val="11"/>
  </w:num>
  <w:num w:numId="10" w16cid:durableId="458494080">
    <w:abstractNumId w:val="32"/>
  </w:num>
  <w:num w:numId="11" w16cid:durableId="365714427">
    <w:abstractNumId w:val="19"/>
  </w:num>
  <w:num w:numId="12" w16cid:durableId="1043755205">
    <w:abstractNumId w:val="23"/>
  </w:num>
  <w:num w:numId="13" w16cid:durableId="1765608580">
    <w:abstractNumId w:val="22"/>
  </w:num>
  <w:num w:numId="14" w16cid:durableId="862354928">
    <w:abstractNumId w:val="12"/>
  </w:num>
  <w:num w:numId="15" w16cid:durableId="1062950438">
    <w:abstractNumId w:val="9"/>
  </w:num>
  <w:num w:numId="16" w16cid:durableId="2043044484">
    <w:abstractNumId w:val="18"/>
  </w:num>
  <w:num w:numId="17" w16cid:durableId="464155358">
    <w:abstractNumId w:val="10"/>
  </w:num>
  <w:num w:numId="18" w16cid:durableId="977564997">
    <w:abstractNumId w:val="0"/>
  </w:num>
  <w:num w:numId="19" w16cid:durableId="1437755080">
    <w:abstractNumId w:val="7"/>
  </w:num>
  <w:num w:numId="20" w16cid:durableId="1185242479">
    <w:abstractNumId w:val="27"/>
  </w:num>
  <w:num w:numId="21" w16cid:durableId="207954917">
    <w:abstractNumId w:val="17"/>
  </w:num>
  <w:num w:numId="22" w16cid:durableId="1507401098">
    <w:abstractNumId w:val="16"/>
  </w:num>
  <w:num w:numId="23" w16cid:durableId="673532773">
    <w:abstractNumId w:val="26"/>
  </w:num>
  <w:num w:numId="24" w16cid:durableId="1005978634">
    <w:abstractNumId w:val="20"/>
  </w:num>
  <w:num w:numId="25" w16cid:durableId="170263458">
    <w:abstractNumId w:val="2"/>
  </w:num>
  <w:num w:numId="26" w16cid:durableId="1450540690">
    <w:abstractNumId w:val="28"/>
  </w:num>
  <w:num w:numId="27" w16cid:durableId="914045341">
    <w:abstractNumId w:val="15"/>
  </w:num>
  <w:num w:numId="28" w16cid:durableId="2032291976">
    <w:abstractNumId w:val="6"/>
  </w:num>
  <w:num w:numId="29" w16cid:durableId="1132750270">
    <w:abstractNumId w:val="29"/>
  </w:num>
  <w:num w:numId="30" w16cid:durableId="234709367">
    <w:abstractNumId w:val="25"/>
  </w:num>
  <w:num w:numId="31" w16cid:durableId="1885823493">
    <w:abstractNumId w:val="1"/>
  </w:num>
  <w:num w:numId="32" w16cid:durableId="85201510">
    <w:abstractNumId w:val="14"/>
  </w:num>
  <w:num w:numId="33" w16cid:durableId="639262941">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51423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proofState w:spelling="clean" w:grammar="clean"/>
  <w:defaultTabStop w:val="720"/>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F37"/>
    <w:rsid w:val="0000077C"/>
    <w:rsid w:val="00001400"/>
    <w:rsid w:val="0000502E"/>
    <w:rsid w:val="00005448"/>
    <w:rsid w:val="00006510"/>
    <w:rsid w:val="00010A1E"/>
    <w:rsid w:val="0001206B"/>
    <w:rsid w:val="00014D3E"/>
    <w:rsid w:val="00022074"/>
    <w:rsid w:val="000233E5"/>
    <w:rsid w:val="00023BF7"/>
    <w:rsid w:val="000273FB"/>
    <w:rsid w:val="00027731"/>
    <w:rsid w:val="00030792"/>
    <w:rsid w:val="00032C89"/>
    <w:rsid w:val="00033381"/>
    <w:rsid w:val="00034502"/>
    <w:rsid w:val="00037B86"/>
    <w:rsid w:val="00037C7F"/>
    <w:rsid w:val="0005015B"/>
    <w:rsid w:val="000532C4"/>
    <w:rsid w:val="00053EB6"/>
    <w:rsid w:val="0005521B"/>
    <w:rsid w:val="00056657"/>
    <w:rsid w:val="0006315B"/>
    <w:rsid w:val="00067762"/>
    <w:rsid w:val="00070FEC"/>
    <w:rsid w:val="00071EF5"/>
    <w:rsid w:val="00073777"/>
    <w:rsid w:val="00073B77"/>
    <w:rsid w:val="000747BD"/>
    <w:rsid w:val="0007557F"/>
    <w:rsid w:val="00083C18"/>
    <w:rsid w:val="0008444C"/>
    <w:rsid w:val="00084C60"/>
    <w:rsid w:val="000858B2"/>
    <w:rsid w:val="00086886"/>
    <w:rsid w:val="0009147D"/>
    <w:rsid w:val="00093DFB"/>
    <w:rsid w:val="000940A7"/>
    <w:rsid w:val="00097441"/>
    <w:rsid w:val="000978C6"/>
    <w:rsid w:val="00097A4F"/>
    <w:rsid w:val="000A44F5"/>
    <w:rsid w:val="000A4CBF"/>
    <w:rsid w:val="000B1F6C"/>
    <w:rsid w:val="000B1FB5"/>
    <w:rsid w:val="000B2428"/>
    <w:rsid w:val="000B41AF"/>
    <w:rsid w:val="000B5BD7"/>
    <w:rsid w:val="000B66F9"/>
    <w:rsid w:val="000B7EDC"/>
    <w:rsid w:val="000C10F3"/>
    <w:rsid w:val="000C15B2"/>
    <w:rsid w:val="000C33DC"/>
    <w:rsid w:val="000C3707"/>
    <w:rsid w:val="000C4C1F"/>
    <w:rsid w:val="000C4E60"/>
    <w:rsid w:val="000C5139"/>
    <w:rsid w:val="000C6EE5"/>
    <w:rsid w:val="000D07BE"/>
    <w:rsid w:val="000D5561"/>
    <w:rsid w:val="000D5A23"/>
    <w:rsid w:val="000D6D53"/>
    <w:rsid w:val="000E0E4D"/>
    <w:rsid w:val="000E1070"/>
    <w:rsid w:val="000E1625"/>
    <w:rsid w:val="000E3694"/>
    <w:rsid w:val="000E38A5"/>
    <w:rsid w:val="000E5BB6"/>
    <w:rsid w:val="000E5D5F"/>
    <w:rsid w:val="000E6F35"/>
    <w:rsid w:val="000F1591"/>
    <w:rsid w:val="000F7D8D"/>
    <w:rsid w:val="00104276"/>
    <w:rsid w:val="00104AD8"/>
    <w:rsid w:val="0010563D"/>
    <w:rsid w:val="00111330"/>
    <w:rsid w:val="00111F34"/>
    <w:rsid w:val="00113588"/>
    <w:rsid w:val="0011487B"/>
    <w:rsid w:val="00115DBE"/>
    <w:rsid w:val="00116334"/>
    <w:rsid w:val="00122D74"/>
    <w:rsid w:val="001306C9"/>
    <w:rsid w:val="001309E3"/>
    <w:rsid w:val="00131097"/>
    <w:rsid w:val="00133A73"/>
    <w:rsid w:val="00134116"/>
    <w:rsid w:val="00134549"/>
    <w:rsid w:val="00134A03"/>
    <w:rsid w:val="00134F1A"/>
    <w:rsid w:val="001405F4"/>
    <w:rsid w:val="00140F54"/>
    <w:rsid w:val="001419A9"/>
    <w:rsid w:val="001438C7"/>
    <w:rsid w:val="001448BD"/>
    <w:rsid w:val="001459AE"/>
    <w:rsid w:val="001513E7"/>
    <w:rsid w:val="00151EFE"/>
    <w:rsid w:val="001608F5"/>
    <w:rsid w:val="0016120A"/>
    <w:rsid w:val="00174B1D"/>
    <w:rsid w:val="00182314"/>
    <w:rsid w:val="00184F04"/>
    <w:rsid w:val="001877C5"/>
    <w:rsid w:val="00190624"/>
    <w:rsid w:val="00190BC9"/>
    <w:rsid w:val="001926F4"/>
    <w:rsid w:val="001931F4"/>
    <w:rsid w:val="00196403"/>
    <w:rsid w:val="001A1B83"/>
    <w:rsid w:val="001A3A23"/>
    <w:rsid w:val="001A62C6"/>
    <w:rsid w:val="001B53EE"/>
    <w:rsid w:val="001B6A59"/>
    <w:rsid w:val="001C1A91"/>
    <w:rsid w:val="001C6031"/>
    <w:rsid w:val="001D01A4"/>
    <w:rsid w:val="001D21EE"/>
    <w:rsid w:val="001D3B8A"/>
    <w:rsid w:val="001E0A5B"/>
    <w:rsid w:val="001E0E67"/>
    <w:rsid w:val="001E20FD"/>
    <w:rsid w:val="001E678F"/>
    <w:rsid w:val="001E6FE4"/>
    <w:rsid w:val="001E7424"/>
    <w:rsid w:val="001F2804"/>
    <w:rsid w:val="001F2A62"/>
    <w:rsid w:val="001F46EB"/>
    <w:rsid w:val="001F4B64"/>
    <w:rsid w:val="001F6223"/>
    <w:rsid w:val="00205539"/>
    <w:rsid w:val="002058A0"/>
    <w:rsid w:val="0020669E"/>
    <w:rsid w:val="002118B6"/>
    <w:rsid w:val="00211EFD"/>
    <w:rsid w:val="00212B87"/>
    <w:rsid w:val="0021515E"/>
    <w:rsid w:val="00217D7B"/>
    <w:rsid w:val="00222C35"/>
    <w:rsid w:val="00223632"/>
    <w:rsid w:val="002236CD"/>
    <w:rsid w:val="00223E50"/>
    <w:rsid w:val="002243A9"/>
    <w:rsid w:val="00224940"/>
    <w:rsid w:val="00224B68"/>
    <w:rsid w:val="00224CDF"/>
    <w:rsid w:val="00226E7F"/>
    <w:rsid w:val="00230102"/>
    <w:rsid w:val="00230F4D"/>
    <w:rsid w:val="002313EB"/>
    <w:rsid w:val="00231BE0"/>
    <w:rsid w:val="002353B6"/>
    <w:rsid w:val="00236CAA"/>
    <w:rsid w:val="002431BA"/>
    <w:rsid w:val="00244ED7"/>
    <w:rsid w:val="00246D93"/>
    <w:rsid w:val="0024742A"/>
    <w:rsid w:val="00247979"/>
    <w:rsid w:val="002543DE"/>
    <w:rsid w:val="0026097A"/>
    <w:rsid w:val="00266495"/>
    <w:rsid w:val="00271840"/>
    <w:rsid w:val="00273DD7"/>
    <w:rsid w:val="00275E84"/>
    <w:rsid w:val="00281E17"/>
    <w:rsid w:val="00287BD5"/>
    <w:rsid w:val="00287CAF"/>
    <w:rsid w:val="00295467"/>
    <w:rsid w:val="00297AC0"/>
    <w:rsid w:val="002A13AD"/>
    <w:rsid w:val="002A2272"/>
    <w:rsid w:val="002A4C2D"/>
    <w:rsid w:val="002B0CDD"/>
    <w:rsid w:val="002B50B2"/>
    <w:rsid w:val="002B67B1"/>
    <w:rsid w:val="002B7F13"/>
    <w:rsid w:val="002C04B3"/>
    <w:rsid w:val="002C0A47"/>
    <w:rsid w:val="002C1EF2"/>
    <w:rsid w:val="002C388B"/>
    <w:rsid w:val="002C415C"/>
    <w:rsid w:val="002C660B"/>
    <w:rsid w:val="002D1531"/>
    <w:rsid w:val="002D2DF5"/>
    <w:rsid w:val="002D328B"/>
    <w:rsid w:val="002D35E6"/>
    <w:rsid w:val="002D4C81"/>
    <w:rsid w:val="002D7532"/>
    <w:rsid w:val="002E6A84"/>
    <w:rsid w:val="002E7E56"/>
    <w:rsid w:val="002F183B"/>
    <w:rsid w:val="002F19DE"/>
    <w:rsid w:val="002F78C5"/>
    <w:rsid w:val="00305492"/>
    <w:rsid w:val="003055F7"/>
    <w:rsid w:val="003060B9"/>
    <w:rsid w:val="00310CD6"/>
    <w:rsid w:val="003122BD"/>
    <w:rsid w:val="003142DB"/>
    <w:rsid w:val="00315197"/>
    <w:rsid w:val="00317AA3"/>
    <w:rsid w:val="003217B7"/>
    <w:rsid w:val="00323D7D"/>
    <w:rsid w:val="003265FB"/>
    <w:rsid w:val="00326FF6"/>
    <w:rsid w:val="00334561"/>
    <w:rsid w:val="00335FCA"/>
    <w:rsid w:val="003360E7"/>
    <w:rsid w:val="0034163F"/>
    <w:rsid w:val="00341953"/>
    <w:rsid w:val="003439DD"/>
    <w:rsid w:val="00343A12"/>
    <w:rsid w:val="00343DEF"/>
    <w:rsid w:val="00344AAE"/>
    <w:rsid w:val="0034786F"/>
    <w:rsid w:val="003501B8"/>
    <w:rsid w:val="0035308B"/>
    <w:rsid w:val="003534E1"/>
    <w:rsid w:val="0035446B"/>
    <w:rsid w:val="003552E9"/>
    <w:rsid w:val="00363C3B"/>
    <w:rsid w:val="003650DE"/>
    <w:rsid w:val="003651BF"/>
    <w:rsid w:val="00365969"/>
    <w:rsid w:val="003737E7"/>
    <w:rsid w:val="00374F09"/>
    <w:rsid w:val="003757D7"/>
    <w:rsid w:val="003811A0"/>
    <w:rsid w:val="003827C4"/>
    <w:rsid w:val="00383FD5"/>
    <w:rsid w:val="003841A8"/>
    <w:rsid w:val="00386A51"/>
    <w:rsid w:val="00390792"/>
    <w:rsid w:val="00394CDD"/>
    <w:rsid w:val="00396799"/>
    <w:rsid w:val="003A019D"/>
    <w:rsid w:val="003A22CF"/>
    <w:rsid w:val="003A2BFD"/>
    <w:rsid w:val="003A337B"/>
    <w:rsid w:val="003A340B"/>
    <w:rsid w:val="003A4F29"/>
    <w:rsid w:val="003A684F"/>
    <w:rsid w:val="003B07A1"/>
    <w:rsid w:val="003B0951"/>
    <w:rsid w:val="003B1B1C"/>
    <w:rsid w:val="003B1EF8"/>
    <w:rsid w:val="003B2C6F"/>
    <w:rsid w:val="003B3D08"/>
    <w:rsid w:val="003B526E"/>
    <w:rsid w:val="003B79BC"/>
    <w:rsid w:val="003C13B0"/>
    <w:rsid w:val="003C3E71"/>
    <w:rsid w:val="003C5DA5"/>
    <w:rsid w:val="003C72CB"/>
    <w:rsid w:val="003C78FE"/>
    <w:rsid w:val="003D1CC0"/>
    <w:rsid w:val="003D3AAD"/>
    <w:rsid w:val="003D3C68"/>
    <w:rsid w:val="003E17E4"/>
    <w:rsid w:val="003E3B2B"/>
    <w:rsid w:val="003E44AB"/>
    <w:rsid w:val="003F3C2B"/>
    <w:rsid w:val="003F4006"/>
    <w:rsid w:val="003F4615"/>
    <w:rsid w:val="003F51F9"/>
    <w:rsid w:val="00403541"/>
    <w:rsid w:val="004039BB"/>
    <w:rsid w:val="0040542E"/>
    <w:rsid w:val="00407B82"/>
    <w:rsid w:val="00410AC7"/>
    <w:rsid w:val="00412875"/>
    <w:rsid w:val="00414B21"/>
    <w:rsid w:val="004172A6"/>
    <w:rsid w:val="0042036F"/>
    <w:rsid w:val="00421376"/>
    <w:rsid w:val="0042221C"/>
    <w:rsid w:val="0042580D"/>
    <w:rsid w:val="00425D22"/>
    <w:rsid w:val="004300F7"/>
    <w:rsid w:val="004302D3"/>
    <w:rsid w:val="00432B65"/>
    <w:rsid w:val="004330A2"/>
    <w:rsid w:val="00433F4B"/>
    <w:rsid w:val="004402E6"/>
    <w:rsid w:val="004406B5"/>
    <w:rsid w:val="00440CC0"/>
    <w:rsid w:val="0044283B"/>
    <w:rsid w:val="00442F44"/>
    <w:rsid w:val="00444C8D"/>
    <w:rsid w:val="00444FED"/>
    <w:rsid w:val="004503DD"/>
    <w:rsid w:val="00451636"/>
    <w:rsid w:val="00451781"/>
    <w:rsid w:val="00455B32"/>
    <w:rsid w:val="00455C53"/>
    <w:rsid w:val="0046364C"/>
    <w:rsid w:val="00463EC0"/>
    <w:rsid w:val="00465323"/>
    <w:rsid w:val="004654ED"/>
    <w:rsid w:val="00465BF4"/>
    <w:rsid w:val="00471E96"/>
    <w:rsid w:val="00472CC0"/>
    <w:rsid w:val="00473769"/>
    <w:rsid w:val="00474FEC"/>
    <w:rsid w:val="00477134"/>
    <w:rsid w:val="004807E3"/>
    <w:rsid w:val="0048371B"/>
    <w:rsid w:val="004846A6"/>
    <w:rsid w:val="0048542B"/>
    <w:rsid w:val="00492C34"/>
    <w:rsid w:val="0049348D"/>
    <w:rsid w:val="00494D69"/>
    <w:rsid w:val="004A3124"/>
    <w:rsid w:val="004A70DA"/>
    <w:rsid w:val="004B26B1"/>
    <w:rsid w:val="004B7675"/>
    <w:rsid w:val="004C25F7"/>
    <w:rsid w:val="004C5CA6"/>
    <w:rsid w:val="004C7C4C"/>
    <w:rsid w:val="004D00A1"/>
    <w:rsid w:val="004D0B81"/>
    <w:rsid w:val="004D17B8"/>
    <w:rsid w:val="004D29C6"/>
    <w:rsid w:val="004D5187"/>
    <w:rsid w:val="004D5971"/>
    <w:rsid w:val="004D5AAE"/>
    <w:rsid w:val="004D6407"/>
    <w:rsid w:val="004D71CF"/>
    <w:rsid w:val="004E02D3"/>
    <w:rsid w:val="004E0466"/>
    <w:rsid w:val="004E0FDF"/>
    <w:rsid w:val="004E1A67"/>
    <w:rsid w:val="004E56B3"/>
    <w:rsid w:val="004E61D8"/>
    <w:rsid w:val="004F2076"/>
    <w:rsid w:val="004F2186"/>
    <w:rsid w:val="004F34C4"/>
    <w:rsid w:val="004F37FD"/>
    <w:rsid w:val="004F3ED1"/>
    <w:rsid w:val="004F5403"/>
    <w:rsid w:val="004F61A3"/>
    <w:rsid w:val="00502482"/>
    <w:rsid w:val="00505A7C"/>
    <w:rsid w:val="00507F29"/>
    <w:rsid w:val="005178E8"/>
    <w:rsid w:val="005240DC"/>
    <w:rsid w:val="005278B6"/>
    <w:rsid w:val="00527E40"/>
    <w:rsid w:val="005306CB"/>
    <w:rsid w:val="005360CA"/>
    <w:rsid w:val="00540EA2"/>
    <w:rsid w:val="005415B1"/>
    <w:rsid w:val="005419CE"/>
    <w:rsid w:val="00543102"/>
    <w:rsid w:val="00545EC4"/>
    <w:rsid w:val="0055316A"/>
    <w:rsid w:val="005567AF"/>
    <w:rsid w:val="0056088E"/>
    <w:rsid w:val="005608B0"/>
    <w:rsid w:val="00563545"/>
    <w:rsid w:val="0057352C"/>
    <w:rsid w:val="00576C83"/>
    <w:rsid w:val="0057724D"/>
    <w:rsid w:val="00577EEE"/>
    <w:rsid w:val="005817DB"/>
    <w:rsid w:val="0058193E"/>
    <w:rsid w:val="00581BCC"/>
    <w:rsid w:val="005822F3"/>
    <w:rsid w:val="00582B49"/>
    <w:rsid w:val="00587B47"/>
    <w:rsid w:val="005902D4"/>
    <w:rsid w:val="00590D61"/>
    <w:rsid w:val="00592347"/>
    <w:rsid w:val="00592DE2"/>
    <w:rsid w:val="0059402B"/>
    <w:rsid w:val="005942BC"/>
    <w:rsid w:val="00595518"/>
    <w:rsid w:val="00595ED8"/>
    <w:rsid w:val="005A068C"/>
    <w:rsid w:val="005A3A6B"/>
    <w:rsid w:val="005A7C1E"/>
    <w:rsid w:val="005B1637"/>
    <w:rsid w:val="005B1CF7"/>
    <w:rsid w:val="005B3A6B"/>
    <w:rsid w:val="005B4329"/>
    <w:rsid w:val="005B5347"/>
    <w:rsid w:val="005B6416"/>
    <w:rsid w:val="005B79D6"/>
    <w:rsid w:val="005B7B1A"/>
    <w:rsid w:val="005C1ED3"/>
    <w:rsid w:val="005D2AA8"/>
    <w:rsid w:val="005D2B0F"/>
    <w:rsid w:val="005D4AA6"/>
    <w:rsid w:val="005E12A4"/>
    <w:rsid w:val="005E30ED"/>
    <w:rsid w:val="005E47A6"/>
    <w:rsid w:val="005E5D16"/>
    <w:rsid w:val="005E74BD"/>
    <w:rsid w:val="005E75F4"/>
    <w:rsid w:val="005E7A7A"/>
    <w:rsid w:val="005E7C3C"/>
    <w:rsid w:val="005F760D"/>
    <w:rsid w:val="005F7EB2"/>
    <w:rsid w:val="00602263"/>
    <w:rsid w:val="006022BB"/>
    <w:rsid w:val="0060231C"/>
    <w:rsid w:val="006042BB"/>
    <w:rsid w:val="006043F0"/>
    <w:rsid w:val="00611A81"/>
    <w:rsid w:val="00613D42"/>
    <w:rsid w:val="00613F7E"/>
    <w:rsid w:val="00617A42"/>
    <w:rsid w:val="00622CF0"/>
    <w:rsid w:val="006238E5"/>
    <w:rsid w:val="0062711C"/>
    <w:rsid w:val="00633EE2"/>
    <w:rsid w:val="00634F71"/>
    <w:rsid w:val="0063731A"/>
    <w:rsid w:val="0064369F"/>
    <w:rsid w:val="00644639"/>
    <w:rsid w:val="00646223"/>
    <w:rsid w:val="0064670F"/>
    <w:rsid w:val="006544D2"/>
    <w:rsid w:val="00656EFE"/>
    <w:rsid w:val="00657BC3"/>
    <w:rsid w:val="0066055A"/>
    <w:rsid w:val="00661415"/>
    <w:rsid w:val="00662606"/>
    <w:rsid w:val="00665741"/>
    <w:rsid w:val="00671353"/>
    <w:rsid w:val="006769D9"/>
    <w:rsid w:val="00680840"/>
    <w:rsid w:val="006828BF"/>
    <w:rsid w:val="00682C94"/>
    <w:rsid w:val="006831C8"/>
    <w:rsid w:val="00686059"/>
    <w:rsid w:val="00691D3B"/>
    <w:rsid w:val="00692796"/>
    <w:rsid w:val="00693D12"/>
    <w:rsid w:val="00696813"/>
    <w:rsid w:val="006971EE"/>
    <w:rsid w:val="006A0511"/>
    <w:rsid w:val="006A1980"/>
    <w:rsid w:val="006A3A35"/>
    <w:rsid w:val="006A5A9E"/>
    <w:rsid w:val="006B03E5"/>
    <w:rsid w:val="006B45E0"/>
    <w:rsid w:val="006B603B"/>
    <w:rsid w:val="006B6A79"/>
    <w:rsid w:val="006C34C6"/>
    <w:rsid w:val="006C3DED"/>
    <w:rsid w:val="006C3ECA"/>
    <w:rsid w:val="006C538D"/>
    <w:rsid w:val="006C55A1"/>
    <w:rsid w:val="006C6310"/>
    <w:rsid w:val="006C6875"/>
    <w:rsid w:val="006C68CA"/>
    <w:rsid w:val="006D05A3"/>
    <w:rsid w:val="006D1D51"/>
    <w:rsid w:val="006D2EEA"/>
    <w:rsid w:val="006D56B8"/>
    <w:rsid w:val="006D7FDE"/>
    <w:rsid w:val="006E0F10"/>
    <w:rsid w:val="006E2223"/>
    <w:rsid w:val="006E2FD6"/>
    <w:rsid w:val="006E426B"/>
    <w:rsid w:val="006E6559"/>
    <w:rsid w:val="006E6EC5"/>
    <w:rsid w:val="006F1334"/>
    <w:rsid w:val="006F19F5"/>
    <w:rsid w:val="006F1FA7"/>
    <w:rsid w:val="006F246A"/>
    <w:rsid w:val="006F2657"/>
    <w:rsid w:val="006F44CB"/>
    <w:rsid w:val="006F5330"/>
    <w:rsid w:val="006F5678"/>
    <w:rsid w:val="006F6006"/>
    <w:rsid w:val="006F638E"/>
    <w:rsid w:val="0070167C"/>
    <w:rsid w:val="00701C16"/>
    <w:rsid w:val="00704FEC"/>
    <w:rsid w:val="00705772"/>
    <w:rsid w:val="0070685C"/>
    <w:rsid w:val="0070798A"/>
    <w:rsid w:val="00710BF7"/>
    <w:rsid w:val="007110BA"/>
    <w:rsid w:val="0071111F"/>
    <w:rsid w:val="007158FD"/>
    <w:rsid w:val="00715AC0"/>
    <w:rsid w:val="00720453"/>
    <w:rsid w:val="00720EC0"/>
    <w:rsid w:val="007214A8"/>
    <w:rsid w:val="00724F19"/>
    <w:rsid w:val="00725CBB"/>
    <w:rsid w:val="00736950"/>
    <w:rsid w:val="007424DA"/>
    <w:rsid w:val="007425B1"/>
    <w:rsid w:val="00745CE7"/>
    <w:rsid w:val="00752585"/>
    <w:rsid w:val="0075287E"/>
    <w:rsid w:val="00752EBE"/>
    <w:rsid w:val="00755C1A"/>
    <w:rsid w:val="00756549"/>
    <w:rsid w:val="00763C95"/>
    <w:rsid w:val="00766284"/>
    <w:rsid w:val="00774EBF"/>
    <w:rsid w:val="00780C2A"/>
    <w:rsid w:val="00784245"/>
    <w:rsid w:val="00784481"/>
    <w:rsid w:val="00784A2B"/>
    <w:rsid w:val="00786BFB"/>
    <w:rsid w:val="00790AA5"/>
    <w:rsid w:val="00791180"/>
    <w:rsid w:val="00791A63"/>
    <w:rsid w:val="007937E3"/>
    <w:rsid w:val="007950C0"/>
    <w:rsid w:val="00795F62"/>
    <w:rsid w:val="0079644F"/>
    <w:rsid w:val="00796748"/>
    <w:rsid w:val="007A192C"/>
    <w:rsid w:val="007A1AAC"/>
    <w:rsid w:val="007A2D02"/>
    <w:rsid w:val="007A2E5F"/>
    <w:rsid w:val="007A47B4"/>
    <w:rsid w:val="007A4D71"/>
    <w:rsid w:val="007A523F"/>
    <w:rsid w:val="007A6D4D"/>
    <w:rsid w:val="007B017C"/>
    <w:rsid w:val="007B0C44"/>
    <w:rsid w:val="007B4559"/>
    <w:rsid w:val="007B4A3E"/>
    <w:rsid w:val="007B4B37"/>
    <w:rsid w:val="007B5CFE"/>
    <w:rsid w:val="007B67D6"/>
    <w:rsid w:val="007C33AE"/>
    <w:rsid w:val="007C5B79"/>
    <w:rsid w:val="007C5EE6"/>
    <w:rsid w:val="007C5F42"/>
    <w:rsid w:val="007C65E4"/>
    <w:rsid w:val="007C6CE0"/>
    <w:rsid w:val="007C6E4D"/>
    <w:rsid w:val="007C7387"/>
    <w:rsid w:val="007D34DB"/>
    <w:rsid w:val="007D58CB"/>
    <w:rsid w:val="007D7609"/>
    <w:rsid w:val="007D7EFA"/>
    <w:rsid w:val="007E1BEF"/>
    <w:rsid w:val="007E35C8"/>
    <w:rsid w:val="007E4A35"/>
    <w:rsid w:val="007E4C1E"/>
    <w:rsid w:val="007E7C65"/>
    <w:rsid w:val="007F0410"/>
    <w:rsid w:val="007F453A"/>
    <w:rsid w:val="007F67E8"/>
    <w:rsid w:val="00800B67"/>
    <w:rsid w:val="00800FF7"/>
    <w:rsid w:val="00802A21"/>
    <w:rsid w:val="00802DAC"/>
    <w:rsid w:val="00803D84"/>
    <w:rsid w:val="0080416B"/>
    <w:rsid w:val="00805E81"/>
    <w:rsid w:val="00806F97"/>
    <w:rsid w:val="008075A8"/>
    <w:rsid w:val="00807811"/>
    <w:rsid w:val="00813A45"/>
    <w:rsid w:val="008146FD"/>
    <w:rsid w:val="00825F7F"/>
    <w:rsid w:val="00826A9D"/>
    <w:rsid w:val="0083069A"/>
    <w:rsid w:val="008325D5"/>
    <w:rsid w:val="00832AFA"/>
    <w:rsid w:val="0083509C"/>
    <w:rsid w:val="00841E16"/>
    <w:rsid w:val="00842079"/>
    <w:rsid w:val="00843B03"/>
    <w:rsid w:val="00843D91"/>
    <w:rsid w:val="00845C6E"/>
    <w:rsid w:val="00854065"/>
    <w:rsid w:val="00866F32"/>
    <w:rsid w:val="00866FBE"/>
    <w:rsid w:val="00871536"/>
    <w:rsid w:val="008716DB"/>
    <w:rsid w:val="00874AD5"/>
    <w:rsid w:val="00874B34"/>
    <w:rsid w:val="0087505F"/>
    <w:rsid w:val="00875AE0"/>
    <w:rsid w:val="00875DB0"/>
    <w:rsid w:val="00876701"/>
    <w:rsid w:val="0087713E"/>
    <w:rsid w:val="0088157D"/>
    <w:rsid w:val="00883FDD"/>
    <w:rsid w:val="0088509C"/>
    <w:rsid w:val="0088515C"/>
    <w:rsid w:val="00886E77"/>
    <w:rsid w:val="00887BCB"/>
    <w:rsid w:val="00890FEE"/>
    <w:rsid w:val="00892FD4"/>
    <w:rsid w:val="008956DE"/>
    <w:rsid w:val="00896399"/>
    <w:rsid w:val="008977B1"/>
    <w:rsid w:val="00897F59"/>
    <w:rsid w:val="008A04C5"/>
    <w:rsid w:val="008A2722"/>
    <w:rsid w:val="008A4F9A"/>
    <w:rsid w:val="008B1EBA"/>
    <w:rsid w:val="008B5252"/>
    <w:rsid w:val="008C1C9A"/>
    <w:rsid w:val="008C4D2E"/>
    <w:rsid w:val="008C60EB"/>
    <w:rsid w:val="008D0E18"/>
    <w:rsid w:val="008D1705"/>
    <w:rsid w:val="008D2148"/>
    <w:rsid w:val="008D3C05"/>
    <w:rsid w:val="008D7891"/>
    <w:rsid w:val="008E1006"/>
    <w:rsid w:val="008E13A7"/>
    <w:rsid w:val="008E290F"/>
    <w:rsid w:val="008E4D08"/>
    <w:rsid w:val="008E5952"/>
    <w:rsid w:val="008E7538"/>
    <w:rsid w:val="008F1CB7"/>
    <w:rsid w:val="008F31AE"/>
    <w:rsid w:val="008F4FAE"/>
    <w:rsid w:val="008F77F6"/>
    <w:rsid w:val="008F7808"/>
    <w:rsid w:val="00901F79"/>
    <w:rsid w:val="00903FF2"/>
    <w:rsid w:val="00905E07"/>
    <w:rsid w:val="0090799D"/>
    <w:rsid w:val="00911D02"/>
    <w:rsid w:val="0091299F"/>
    <w:rsid w:val="00916A18"/>
    <w:rsid w:val="00917ACA"/>
    <w:rsid w:val="00922A4C"/>
    <w:rsid w:val="00922B8B"/>
    <w:rsid w:val="00923F4A"/>
    <w:rsid w:val="009246BB"/>
    <w:rsid w:val="00925B45"/>
    <w:rsid w:val="00927692"/>
    <w:rsid w:val="009304B6"/>
    <w:rsid w:val="0093089D"/>
    <w:rsid w:val="00935BAE"/>
    <w:rsid w:val="00935E58"/>
    <w:rsid w:val="009368C3"/>
    <w:rsid w:val="00936B19"/>
    <w:rsid w:val="00937C72"/>
    <w:rsid w:val="00941D09"/>
    <w:rsid w:val="009447BE"/>
    <w:rsid w:val="00945077"/>
    <w:rsid w:val="009455C8"/>
    <w:rsid w:val="009463E5"/>
    <w:rsid w:val="00947EB9"/>
    <w:rsid w:val="00950A49"/>
    <w:rsid w:val="00951E37"/>
    <w:rsid w:val="00961DC2"/>
    <w:rsid w:val="00965AC9"/>
    <w:rsid w:val="00975533"/>
    <w:rsid w:val="00975ADE"/>
    <w:rsid w:val="009777F8"/>
    <w:rsid w:val="00981760"/>
    <w:rsid w:val="00981FC4"/>
    <w:rsid w:val="009820F8"/>
    <w:rsid w:val="00984E04"/>
    <w:rsid w:val="00985613"/>
    <w:rsid w:val="009862C0"/>
    <w:rsid w:val="0098639E"/>
    <w:rsid w:val="00991DA6"/>
    <w:rsid w:val="00994AA3"/>
    <w:rsid w:val="0099598F"/>
    <w:rsid w:val="00995A6D"/>
    <w:rsid w:val="009A07B3"/>
    <w:rsid w:val="009A129C"/>
    <w:rsid w:val="009A599C"/>
    <w:rsid w:val="009B1572"/>
    <w:rsid w:val="009B5B52"/>
    <w:rsid w:val="009B7DF9"/>
    <w:rsid w:val="009C23EB"/>
    <w:rsid w:val="009C2B0A"/>
    <w:rsid w:val="009C41FA"/>
    <w:rsid w:val="009D0235"/>
    <w:rsid w:val="009D2823"/>
    <w:rsid w:val="009D3D42"/>
    <w:rsid w:val="009D3D69"/>
    <w:rsid w:val="009D3D84"/>
    <w:rsid w:val="009D4669"/>
    <w:rsid w:val="009D64E5"/>
    <w:rsid w:val="009D6FD1"/>
    <w:rsid w:val="009E0C40"/>
    <w:rsid w:val="009E175C"/>
    <w:rsid w:val="009E2B13"/>
    <w:rsid w:val="009E34DA"/>
    <w:rsid w:val="009E3834"/>
    <w:rsid w:val="009E7543"/>
    <w:rsid w:val="009F2561"/>
    <w:rsid w:val="009F4F21"/>
    <w:rsid w:val="009F798E"/>
    <w:rsid w:val="00A01B89"/>
    <w:rsid w:val="00A043B2"/>
    <w:rsid w:val="00A0702F"/>
    <w:rsid w:val="00A075D7"/>
    <w:rsid w:val="00A07C45"/>
    <w:rsid w:val="00A07FE8"/>
    <w:rsid w:val="00A10E6F"/>
    <w:rsid w:val="00A15B12"/>
    <w:rsid w:val="00A20165"/>
    <w:rsid w:val="00A201A3"/>
    <w:rsid w:val="00A2039E"/>
    <w:rsid w:val="00A24CAE"/>
    <w:rsid w:val="00A26DBB"/>
    <w:rsid w:val="00A27EA5"/>
    <w:rsid w:val="00A30000"/>
    <w:rsid w:val="00A316BB"/>
    <w:rsid w:val="00A41F1F"/>
    <w:rsid w:val="00A42671"/>
    <w:rsid w:val="00A42D7B"/>
    <w:rsid w:val="00A43D64"/>
    <w:rsid w:val="00A44EFA"/>
    <w:rsid w:val="00A45897"/>
    <w:rsid w:val="00A47879"/>
    <w:rsid w:val="00A47D1A"/>
    <w:rsid w:val="00A47D71"/>
    <w:rsid w:val="00A47D9F"/>
    <w:rsid w:val="00A52106"/>
    <w:rsid w:val="00A537B6"/>
    <w:rsid w:val="00A55115"/>
    <w:rsid w:val="00A55BB5"/>
    <w:rsid w:val="00A578B0"/>
    <w:rsid w:val="00A60E88"/>
    <w:rsid w:val="00A6167E"/>
    <w:rsid w:val="00A62581"/>
    <w:rsid w:val="00A6490F"/>
    <w:rsid w:val="00A6624C"/>
    <w:rsid w:val="00A67103"/>
    <w:rsid w:val="00A7076F"/>
    <w:rsid w:val="00A712A5"/>
    <w:rsid w:val="00A77CF3"/>
    <w:rsid w:val="00A77D50"/>
    <w:rsid w:val="00A80055"/>
    <w:rsid w:val="00A80226"/>
    <w:rsid w:val="00A811AC"/>
    <w:rsid w:val="00A81F46"/>
    <w:rsid w:val="00A8312D"/>
    <w:rsid w:val="00A844E6"/>
    <w:rsid w:val="00A85736"/>
    <w:rsid w:val="00A864A4"/>
    <w:rsid w:val="00A93AAB"/>
    <w:rsid w:val="00A93E28"/>
    <w:rsid w:val="00A977BF"/>
    <w:rsid w:val="00AA3219"/>
    <w:rsid w:val="00AA6818"/>
    <w:rsid w:val="00AA6DE5"/>
    <w:rsid w:val="00AB495B"/>
    <w:rsid w:val="00AB685D"/>
    <w:rsid w:val="00AC2BA2"/>
    <w:rsid w:val="00AC520C"/>
    <w:rsid w:val="00AC63B4"/>
    <w:rsid w:val="00AC796B"/>
    <w:rsid w:val="00AD0156"/>
    <w:rsid w:val="00AD062F"/>
    <w:rsid w:val="00AD1932"/>
    <w:rsid w:val="00AD2F06"/>
    <w:rsid w:val="00AD5D3E"/>
    <w:rsid w:val="00AD6FC1"/>
    <w:rsid w:val="00AE0B4F"/>
    <w:rsid w:val="00AE0BF5"/>
    <w:rsid w:val="00AE4121"/>
    <w:rsid w:val="00AE609F"/>
    <w:rsid w:val="00AF224A"/>
    <w:rsid w:val="00AF6965"/>
    <w:rsid w:val="00B004BD"/>
    <w:rsid w:val="00B01CA9"/>
    <w:rsid w:val="00B07E46"/>
    <w:rsid w:val="00B10FAF"/>
    <w:rsid w:val="00B112AD"/>
    <w:rsid w:val="00B11C28"/>
    <w:rsid w:val="00B1337E"/>
    <w:rsid w:val="00B137C2"/>
    <w:rsid w:val="00B17122"/>
    <w:rsid w:val="00B30A5D"/>
    <w:rsid w:val="00B30C4D"/>
    <w:rsid w:val="00B32CA5"/>
    <w:rsid w:val="00B33397"/>
    <w:rsid w:val="00B41BFC"/>
    <w:rsid w:val="00B428B4"/>
    <w:rsid w:val="00B444DE"/>
    <w:rsid w:val="00B44AD7"/>
    <w:rsid w:val="00B50EE9"/>
    <w:rsid w:val="00B52409"/>
    <w:rsid w:val="00B52CCD"/>
    <w:rsid w:val="00B56C2E"/>
    <w:rsid w:val="00B5736A"/>
    <w:rsid w:val="00B61FC0"/>
    <w:rsid w:val="00B63F6E"/>
    <w:rsid w:val="00B644D2"/>
    <w:rsid w:val="00B65284"/>
    <w:rsid w:val="00B66054"/>
    <w:rsid w:val="00B70302"/>
    <w:rsid w:val="00B70472"/>
    <w:rsid w:val="00B72399"/>
    <w:rsid w:val="00B77518"/>
    <w:rsid w:val="00B77DEE"/>
    <w:rsid w:val="00B81341"/>
    <w:rsid w:val="00B81A9D"/>
    <w:rsid w:val="00B82E7F"/>
    <w:rsid w:val="00B876CA"/>
    <w:rsid w:val="00B92E37"/>
    <w:rsid w:val="00B9309C"/>
    <w:rsid w:val="00B94AE5"/>
    <w:rsid w:val="00BA109F"/>
    <w:rsid w:val="00BA1349"/>
    <w:rsid w:val="00BA52A8"/>
    <w:rsid w:val="00BB06DC"/>
    <w:rsid w:val="00BB220E"/>
    <w:rsid w:val="00BB45D8"/>
    <w:rsid w:val="00BB4E73"/>
    <w:rsid w:val="00BC7D93"/>
    <w:rsid w:val="00BD0EDA"/>
    <w:rsid w:val="00BD3DB1"/>
    <w:rsid w:val="00BD4AB1"/>
    <w:rsid w:val="00BD5B19"/>
    <w:rsid w:val="00BD65B1"/>
    <w:rsid w:val="00BD6D6C"/>
    <w:rsid w:val="00BE7067"/>
    <w:rsid w:val="00BF0FD9"/>
    <w:rsid w:val="00BF322F"/>
    <w:rsid w:val="00BF539A"/>
    <w:rsid w:val="00BF5B30"/>
    <w:rsid w:val="00BF6A4A"/>
    <w:rsid w:val="00C01132"/>
    <w:rsid w:val="00C01FA5"/>
    <w:rsid w:val="00C14005"/>
    <w:rsid w:val="00C174B9"/>
    <w:rsid w:val="00C20B5E"/>
    <w:rsid w:val="00C22F78"/>
    <w:rsid w:val="00C23D71"/>
    <w:rsid w:val="00C30E11"/>
    <w:rsid w:val="00C31C73"/>
    <w:rsid w:val="00C329E2"/>
    <w:rsid w:val="00C364AF"/>
    <w:rsid w:val="00C406FC"/>
    <w:rsid w:val="00C44616"/>
    <w:rsid w:val="00C47A89"/>
    <w:rsid w:val="00C502D1"/>
    <w:rsid w:val="00C505BD"/>
    <w:rsid w:val="00C52395"/>
    <w:rsid w:val="00C5593F"/>
    <w:rsid w:val="00C57E59"/>
    <w:rsid w:val="00C607E2"/>
    <w:rsid w:val="00C60A9D"/>
    <w:rsid w:val="00C621FE"/>
    <w:rsid w:val="00C62434"/>
    <w:rsid w:val="00C62657"/>
    <w:rsid w:val="00C6345E"/>
    <w:rsid w:val="00C6632E"/>
    <w:rsid w:val="00C664BC"/>
    <w:rsid w:val="00C73F78"/>
    <w:rsid w:val="00C75EA5"/>
    <w:rsid w:val="00C75FBE"/>
    <w:rsid w:val="00C76E24"/>
    <w:rsid w:val="00C81B0E"/>
    <w:rsid w:val="00C85D57"/>
    <w:rsid w:val="00C8635F"/>
    <w:rsid w:val="00C87515"/>
    <w:rsid w:val="00C90DEB"/>
    <w:rsid w:val="00C96038"/>
    <w:rsid w:val="00CA0345"/>
    <w:rsid w:val="00CA07F7"/>
    <w:rsid w:val="00CA08C2"/>
    <w:rsid w:val="00CA2F4F"/>
    <w:rsid w:val="00CA429F"/>
    <w:rsid w:val="00CA610C"/>
    <w:rsid w:val="00CB0DC5"/>
    <w:rsid w:val="00CB3AD4"/>
    <w:rsid w:val="00CC2410"/>
    <w:rsid w:val="00CC638B"/>
    <w:rsid w:val="00CD1739"/>
    <w:rsid w:val="00CD4661"/>
    <w:rsid w:val="00CD64E3"/>
    <w:rsid w:val="00CE23F9"/>
    <w:rsid w:val="00CE28D9"/>
    <w:rsid w:val="00CE5106"/>
    <w:rsid w:val="00CE7A98"/>
    <w:rsid w:val="00CF03CF"/>
    <w:rsid w:val="00CF1045"/>
    <w:rsid w:val="00CF2D88"/>
    <w:rsid w:val="00CF2E86"/>
    <w:rsid w:val="00D02DD4"/>
    <w:rsid w:val="00D039C1"/>
    <w:rsid w:val="00D03D38"/>
    <w:rsid w:val="00D05037"/>
    <w:rsid w:val="00D06C4C"/>
    <w:rsid w:val="00D12BD6"/>
    <w:rsid w:val="00D13423"/>
    <w:rsid w:val="00D156B9"/>
    <w:rsid w:val="00D15943"/>
    <w:rsid w:val="00D16C04"/>
    <w:rsid w:val="00D17E66"/>
    <w:rsid w:val="00D32E24"/>
    <w:rsid w:val="00D35293"/>
    <w:rsid w:val="00D356D9"/>
    <w:rsid w:val="00D40B10"/>
    <w:rsid w:val="00D41E8E"/>
    <w:rsid w:val="00D42804"/>
    <w:rsid w:val="00D44E2A"/>
    <w:rsid w:val="00D50634"/>
    <w:rsid w:val="00D5586D"/>
    <w:rsid w:val="00D55BF0"/>
    <w:rsid w:val="00D570F4"/>
    <w:rsid w:val="00D577D5"/>
    <w:rsid w:val="00D62AAD"/>
    <w:rsid w:val="00D633FE"/>
    <w:rsid w:val="00D671E3"/>
    <w:rsid w:val="00D7173E"/>
    <w:rsid w:val="00D72714"/>
    <w:rsid w:val="00D72FD9"/>
    <w:rsid w:val="00D745CF"/>
    <w:rsid w:val="00D81E53"/>
    <w:rsid w:val="00D824BB"/>
    <w:rsid w:val="00D907AD"/>
    <w:rsid w:val="00D90AB1"/>
    <w:rsid w:val="00D912B0"/>
    <w:rsid w:val="00D93431"/>
    <w:rsid w:val="00D9523A"/>
    <w:rsid w:val="00D97CF1"/>
    <w:rsid w:val="00DA3C0F"/>
    <w:rsid w:val="00DA3C9F"/>
    <w:rsid w:val="00DA529B"/>
    <w:rsid w:val="00DA77CE"/>
    <w:rsid w:val="00DB2D9E"/>
    <w:rsid w:val="00DB3ADB"/>
    <w:rsid w:val="00DC1367"/>
    <w:rsid w:val="00DC67FE"/>
    <w:rsid w:val="00DC739B"/>
    <w:rsid w:val="00DD016B"/>
    <w:rsid w:val="00DD04C1"/>
    <w:rsid w:val="00DD33D4"/>
    <w:rsid w:val="00DD59D6"/>
    <w:rsid w:val="00DD5F9C"/>
    <w:rsid w:val="00DD7842"/>
    <w:rsid w:val="00DD7A6E"/>
    <w:rsid w:val="00DE174E"/>
    <w:rsid w:val="00DE37F7"/>
    <w:rsid w:val="00DE4D18"/>
    <w:rsid w:val="00DF7049"/>
    <w:rsid w:val="00DF7229"/>
    <w:rsid w:val="00E00AD9"/>
    <w:rsid w:val="00E01370"/>
    <w:rsid w:val="00E015FB"/>
    <w:rsid w:val="00E03D6C"/>
    <w:rsid w:val="00E07554"/>
    <w:rsid w:val="00E10A93"/>
    <w:rsid w:val="00E14384"/>
    <w:rsid w:val="00E16A0F"/>
    <w:rsid w:val="00E16DCC"/>
    <w:rsid w:val="00E16E8C"/>
    <w:rsid w:val="00E1777A"/>
    <w:rsid w:val="00E20ECB"/>
    <w:rsid w:val="00E238DE"/>
    <w:rsid w:val="00E25917"/>
    <w:rsid w:val="00E266EC"/>
    <w:rsid w:val="00E26DB3"/>
    <w:rsid w:val="00E35993"/>
    <w:rsid w:val="00E35EDF"/>
    <w:rsid w:val="00E37209"/>
    <w:rsid w:val="00E40B80"/>
    <w:rsid w:val="00E41868"/>
    <w:rsid w:val="00E44D69"/>
    <w:rsid w:val="00E44E3E"/>
    <w:rsid w:val="00E51357"/>
    <w:rsid w:val="00E514CB"/>
    <w:rsid w:val="00E531DA"/>
    <w:rsid w:val="00E53EB6"/>
    <w:rsid w:val="00E55A18"/>
    <w:rsid w:val="00E55DCC"/>
    <w:rsid w:val="00E560D1"/>
    <w:rsid w:val="00E632B1"/>
    <w:rsid w:val="00E63B74"/>
    <w:rsid w:val="00E650E9"/>
    <w:rsid w:val="00E6683B"/>
    <w:rsid w:val="00E67542"/>
    <w:rsid w:val="00E675E0"/>
    <w:rsid w:val="00E6781E"/>
    <w:rsid w:val="00E67E23"/>
    <w:rsid w:val="00E7069E"/>
    <w:rsid w:val="00E70C47"/>
    <w:rsid w:val="00E727CE"/>
    <w:rsid w:val="00E805A9"/>
    <w:rsid w:val="00E82C86"/>
    <w:rsid w:val="00E84415"/>
    <w:rsid w:val="00E869E6"/>
    <w:rsid w:val="00E87E43"/>
    <w:rsid w:val="00E90294"/>
    <w:rsid w:val="00E9038F"/>
    <w:rsid w:val="00E90625"/>
    <w:rsid w:val="00E9083C"/>
    <w:rsid w:val="00E90F37"/>
    <w:rsid w:val="00E91634"/>
    <w:rsid w:val="00E9193F"/>
    <w:rsid w:val="00E924E2"/>
    <w:rsid w:val="00E94102"/>
    <w:rsid w:val="00E95250"/>
    <w:rsid w:val="00E95284"/>
    <w:rsid w:val="00EA03E3"/>
    <w:rsid w:val="00EA283F"/>
    <w:rsid w:val="00EA3982"/>
    <w:rsid w:val="00EA4365"/>
    <w:rsid w:val="00EB3A80"/>
    <w:rsid w:val="00EC6A53"/>
    <w:rsid w:val="00EC7370"/>
    <w:rsid w:val="00ED35A0"/>
    <w:rsid w:val="00ED3F45"/>
    <w:rsid w:val="00ED5C55"/>
    <w:rsid w:val="00EE2F0F"/>
    <w:rsid w:val="00EE4751"/>
    <w:rsid w:val="00EE4BD1"/>
    <w:rsid w:val="00EE5F45"/>
    <w:rsid w:val="00EF0BD6"/>
    <w:rsid w:val="00EF0C7A"/>
    <w:rsid w:val="00EF11E0"/>
    <w:rsid w:val="00EF5194"/>
    <w:rsid w:val="00EF59FF"/>
    <w:rsid w:val="00EF5CE2"/>
    <w:rsid w:val="00EF74B1"/>
    <w:rsid w:val="00F03964"/>
    <w:rsid w:val="00F041A5"/>
    <w:rsid w:val="00F048EC"/>
    <w:rsid w:val="00F05147"/>
    <w:rsid w:val="00F05CC2"/>
    <w:rsid w:val="00F05E81"/>
    <w:rsid w:val="00F1071A"/>
    <w:rsid w:val="00F12E1D"/>
    <w:rsid w:val="00F2184A"/>
    <w:rsid w:val="00F23582"/>
    <w:rsid w:val="00F23A8C"/>
    <w:rsid w:val="00F27D56"/>
    <w:rsid w:val="00F3048F"/>
    <w:rsid w:val="00F328A7"/>
    <w:rsid w:val="00F367EF"/>
    <w:rsid w:val="00F40419"/>
    <w:rsid w:val="00F426C1"/>
    <w:rsid w:val="00F434BA"/>
    <w:rsid w:val="00F449E4"/>
    <w:rsid w:val="00F45480"/>
    <w:rsid w:val="00F4764C"/>
    <w:rsid w:val="00F5434A"/>
    <w:rsid w:val="00F60847"/>
    <w:rsid w:val="00F61DED"/>
    <w:rsid w:val="00F63109"/>
    <w:rsid w:val="00F64648"/>
    <w:rsid w:val="00F65A9A"/>
    <w:rsid w:val="00F66844"/>
    <w:rsid w:val="00F7164B"/>
    <w:rsid w:val="00F7180F"/>
    <w:rsid w:val="00F72B61"/>
    <w:rsid w:val="00F80670"/>
    <w:rsid w:val="00F81850"/>
    <w:rsid w:val="00F8276F"/>
    <w:rsid w:val="00F84D8C"/>
    <w:rsid w:val="00F85EC3"/>
    <w:rsid w:val="00FA45F0"/>
    <w:rsid w:val="00FA6E0E"/>
    <w:rsid w:val="00FA7DEF"/>
    <w:rsid w:val="00FB06FD"/>
    <w:rsid w:val="00FB1DC3"/>
    <w:rsid w:val="00FB20CB"/>
    <w:rsid w:val="00FB3814"/>
    <w:rsid w:val="00FB4614"/>
    <w:rsid w:val="00FB7177"/>
    <w:rsid w:val="00FC096F"/>
    <w:rsid w:val="00FC0A89"/>
    <w:rsid w:val="00FC3EA7"/>
    <w:rsid w:val="00FC40E2"/>
    <w:rsid w:val="00FC7F45"/>
    <w:rsid w:val="00FD6AC0"/>
    <w:rsid w:val="00FD6F00"/>
    <w:rsid w:val="00FD733C"/>
    <w:rsid w:val="00FE1986"/>
    <w:rsid w:val="00FE1E55"/>
    <w:rsid w:val="00FE489D"/>
    <w:rsid w:val="00FE4AFE"/>
    <w:rsid w:val="00FE5172"/>
    <w:rsid w:val="00FE6905"/>
    <w:rsid w:val="00FF22A9"/>
    <w:rsid w:val="00FF3484"/>
    <w:rsid w:val="041462F9"/>
    <w:rsid w:val="07DE2603"/>
    <w:rsid w:val="124E4E4A"/>
    <w:rsid w:val="18F15A28"/>
    <w:rsid w:val="1A0B4523"/>
    <w:rsid w:val="27552AFC"/>
    <w:rsid w:val="2CBA286B"/>
    <w:rsid w:val="2E015571"/>
    <w:rsid w:val="3D4835AA"/>
    <w:rsid w:val="47A047C7"/>
    <w:rsid w:val="4E602A50"/>
    <w:rsid w:val="70901346"/>
    <w:rsid w:val="75560A0F"/>
    <w:rsid w:val="75AF7C17"/>
    <w:rsid w:val="75CC4194"/>
    <w:rsid w:val="77986DDA"/>
    <w:rsid w:val="7F2273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92B7007"/>
  <w15:docId w15:val="{48168062-3D65-44A7-AEB0-24A37FE4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val="zh-CN" w:eastAsia="en-US"/>
    </w:rPr>
  </w:style>
  <w:style w:type="paragraph" w:styleId="Heading1">
    <w:name w:val="heading 1"/>
    <w:basedOn w:val="Normal"/>
    <w:next w:val="Normal"/>
    <w:link w:val="Heading1Char"/>
    <w:uiPriority w:val="9"/>
    <w:qFormat/>
    <w:pPr>
      <w:keepNext/>
      <w:keepLines/>
      <w:spacing w:after="240" w:line="360" w:lineRule="auto"/>
      <w:ind w:right="567"/>
      <w:jc w:val="center"/>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pPr>
      <w:keepNext/>
      <w:keepLines/>
      <w:spacing w:after="120" w:line="360" w:lineRule="auto"/>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pPr>
      <w:keepNext/>
      <w:keepLines/>
      <w:spacing w:before="40" w:after="120"/>
      <w:outlineLvl w:val="2"/>
    </w:pPr>
    <w:rPr>
      <w:rFonts w:eastAsiaTheme="majorEastAsia" w:cstheme="majorBidi"/>
      <w:b/>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Indent">
    <w:name w:val="Body Text Indent"/>
    <w:basedOn w:val="Normal"/>
    <w:link w:val="BodyTextIndentChar"/>
    <w:uiPriority w:val="99"/>
    <w:qFormat/>
    <w:pPr>
      <w:spacing w:after="120"/>
      <w:ind w:left="283"/>
    </w:pPr>
  </w:style>
  <w:style w:type="paragraph" w:styleId="Caption">
    <w:name w:val="caption"/>
    <w:basedOn w:val="Normal"/>
    <w:next w:val="Normal"/>
    <w:uiPriority w:val="35"/>
    <w:unhideWhenUsed/>
    <w:qFormat/>
    <w:pPr>
      <w:spacing w:after="200"/>
    </w:pPr>
    <w:rPr>
      <w:i/>
      <w:iCs/>
      <w:color w:val="1F497D" w:themeColor="text2"/>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after="160"/>
    </w:pPr>
    <w:rPr>
      <w:rFonts w:asciiTheme="minorHAnsi" w:eastAsiaTheme="minorHAnsi" w:hAnsiTheme="minorHAnsi" w:cstheme="minorBidi"/>
      <w:kern w:val="2"/>
      <w:sz w:val="20"/>
      <w:szCs w:val="20"/>
      <w:lang w:val="id-ID"/>
      <w14:ligatures w14:val="standardContextual"/>
    </w:rPr>
  </w:style>
  <w:style w:type="paragraph" w:styleId="CommentSubject">
    <w:name w:val="annotation subject"/>
    <w:basedOn w:val="CommentText"/>
    <w:next w:val="CommentText"/>
    <w:link w:val="CommentSubjectChar"/>
    <w:uiPriority w:val="99"/>
    <w:semiHidden/>
    <w:unhideWhenUsed/>
    <w:pPr>
      <w:spacing w:after="0"/>
    </w:pPr>
    <w:rPr>
      <w:rFonts w:ascii="Times New Roman" w:eastAsia="Times New Roman" w:hAnsi="Times New Roman" w:cs="Times New Roman"/>
      <w:b/>
      <w:bCs/>
      <w:kern w:val="0"/>
      <w:lang w:val="zh-CN"/>
      <w14:ligatures w14:val="none"/>
    </w:rPr>
  </w:style>
  <w:style w:type="paragraph" w:styleId="DocumentMap">
    <w:name w:val="Document Map"/>
    <w:basedOn w:val="Normal"/>
    <w:link w:val="DocumentMapChar"/>
    <w:uiPriority w:val="99"/>
    <w:semiHidden/>
    <w:unhideWhenUsed/>
    <w:rPr>
      <w:rFonts w:ascii="Lucida Grande" w:hAnsi="Lucida Grande" w:cs="Lucida Grande"/>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pPr>
    <w:rPr>
      <w:rFonts w:ascii="Calibri" w:eastAsia="Calibri" w:hAnsi="Calibri"/>
      <w:sz w:val="22"/>
      <w:szCs w:val="22"/>
      <w:lang w:val="id-ID"/>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paragraph" w:styleId="Header">
    <w:name w:val="header"/>
    <w:basedOn w:val="Normal"/>
    <w:link w:val="HeaderChar"/>
    <w:uiPriority w:val="99"/>
    <w:unhideWhenUsed/>
    <w:qFormat/>
    <w:pPr>
      <w:tabs>
        <w:tab w:val="center" w:pos="4513"/>
        <w:tab w:val="right" w:pos="9026"/>
      </w:tabs>
    </w:pPr>
  </w:style>
  <w:style w:type="paragraph" w:styleId="HTMLPreformatted">
    <w:name w:val="HTML Preformatted"/>
    <w:basedOn w:val="Normal"/>
    <w:link w:val="HTMLPreformatted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eastAsiaTheme="minorEastAsia" w:hAnsi="Courier" w:cs="Courier"/>
      <w:sz w:val="20"/>
      <w:szCs w:val="20"/>
      <w:lang w:val="en-US"/>
    </w:rPr>
  </w:style>
  <w:style w:type="character" w:styleId="Hyperlink">
    <w:name w:val="Hyperlink"/>
    <w:uiPriority w:val="99"/>
    <w:qFormat/>
    <w:rPr>
      <w:color w:val="0000FF"/>
      <w:u w:val="single"/>
    </w:rPr>
  </w:style>
  <w:style w:type="paragraph" w:styleId="NormalWeb">
    <w:name w:val="Normal (Web)"/>
    <w:basedOn w:val="Normal"/>
    <w:uiPriority w:val="99"/>
    <w:unhideWhenUsed/>
    <w:qFormat/>
    <w:pPr>
      <w:spacing w:before="100" w:beforeAutospacing="1" w:after="100" w:afterAutospacing="1"/>
    </w:pPr>
    <w:rPr>
      <w:rFonts w:ascii="Times" w:eastAsiaTheme="minorEastAsia" w:hAnsi="Times"/>
      <w:sz w:val="20"/>
      <w:szCs w:val="20"/>
      <w:lang w:val="en-US"/>
    </w:rPr>
  </w:style>
  <w:style w:type="character" w:styleId="PageNumber">
    <w:name w:val="page number"/>
    <w:basedOn w:val="DefaultParagraphFont"/>
    <w:uiPriority w:val="99"/>
    <w:semiHidden/>
    <w:unhideWhenUsed/>
    <w:qFormat/>
  </w:style>
  <w:style w:type="character" w:styleId="Strong">
    <w:name w:val="Strong"/>
    <w:basedOn w:val="DefaultParagraphFont"/>
    <w:uiPriority w:val="22"/>
    <w:qFormat/>
    <w:rPr>
      <w:b/>
      <w:bCs/>
    </w:rPr>
  </w:style>
  <w:style w:type="table" w:styleId="TableGrid">
    <w:name w:val="Table Grid"/>
    <w:basedOn w:val="TableNormal"/>
    <w:uiPriority w:val="39"/>
    <w:qFormat/>
    <w:rPr>
      <w:rFonts w:eastAsiaTheme="minorHAnsi"/>
      <w:sz w:val="22"/>
      <w:szCs w:val="22"/>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b/>
      <w:bCs/>
      <w:lang w:val="en-US"/>
    </w:rPr>
  </w:style>
  <w:style w:type="paragraph" w:styleId="TOC1">
    <w:name w:val="toc 1"/>
    <w:basedOn w:val="Normal"/>
    <w:next w:val="Normal"/>
    <w:uiPriority w:val="39"/>
    <w:unhideWhenUsed/>
    <w:qFormat/>
    <w:pPr>
      <w:tabs>
        <w:tab w:val="left" w:pos="851"/>
        <w:tab w:val="right" w:leader="dot" w:pos="8261"/>
      </w:tabs>
      <w:spacing w:after="100"/>
    </w:pPr>
  </w:style>
  <w:style w:type="paragraph" w:styleId="TOC2">
    <w:name w:val="toc 2"/>
    <w:basedOn w:val="Normal"/>
    <w:next w:val="Normal"/>
    <w:uiPriority w:val="39"/>
    <w:unhideWhenUsed/>
    <w:qFormat/>
    <w:pPr>
      <w:tabs>
        <w:tab w:val="left" w:pos="1418"/>
        <w:tab w:val="right" w:leader="dot" w:pos="8261"/>
      </w:tabs>
      <w:spacing w:after="100"/>
      <w:ind w:left="851"/>
    </w:pPr>
  </w:style>
  <w:style w:type="paragraph" w:styleId="TOC3">
    <w:name w:val="toc 3"/>
    <w:basedOn w:val="Normal"/>
    <w:next w:val="Normal"/>
    <w:uiPriority w:val="39"/>
    <w:unhideWhenUsed/>
    <w:qFormat/>
    <w:pPr>
      <w:tabs>
        <w:tab w:val="left" w:pos="1985"/>
        <w:tab w:val="right" w:leader="dot" w:pos="8261"/>
      </w:tabs>
      <w:spacing w:after="100"/>
      <w:ind w:left="1418"/>
    </w:pPr>
  </w:style>
  <w:style w:type="paragraph" w:customStyle="1" w:styleId="ColorfulList-Accent11">
    <w:name w:val="Colorful List - Accent 11"/>
    <w:basedOn w:val="Normal"/>
    <w:link w:val="ColorfulList-Accent1Char"/>
    <w:qFormat/>
    <w:pPr>
      <w:spacing w:after="160" w:line="259" w:lineRule="auto"/>
      <w:ind w:left="720"/>
      <w:contextualSpacing/>
    </w:pPr>
    <w:rPr>
      <w:rFonts w:ascii="Cambria" w:eastAsia="MS Mincho" w:hAnsi="Cambria"/>
      <w:lang w:val="id-ID" w:eastAsia="ko-KR"/>
    </w:rPr>
  </w:style>
  <w:style w:type="paragraph" w:customStyle="1" w:styleId="Default">
    <w:name w:val="Default"/>
    <w:qFormat/>
    <w:pPr>
      <w:autoSpaceDE w:val="0"/>
      <w:autoSpaceDN w:val="0"/>
      <w:adjustRightInd w:val="0"/>
    </w:pPr>
    <w:rPr>
      <w:rFonts w:ascii="Times New Roman" w:eastAsia="MS Mincho" w:hAnsi="Times New Roman" w:cs="Times New Roman"/>
      <w:color w:val="000000"/>
      <w:sz w:val="24"/>
      <w:szCs w:val="24"/>
      <w:lang w:val="id-ID" w:eastAsia="ko-KR"/>
    </w:rPr>
  </w:style>
  <w:style w:type="character" w:customStyle="1" w:styleId="BodyTextIndentChar">
    <w:name w:val="Body Text Indent Char"/>
    <w:link w:val="BodyTextIndent"/>
    <w:uiPriority w:val="99"/>
    <w:qFormat/>
    <w:rPr>
      <w:rFonts w:ascii="Times New Roman" w:eastAsia="Times New Roman" w:hAnsi="Times New Roman" w:cs="Times New Roman"/>
    </w:rPr>
  </w:style>
  <w:style w:type="character" w:customStyle="1" w:styleId="BodyTextIndentChar1">
    <w:name w:val="Body Text Indent Char1"/>
    <w:basedOn w:val="DefaultParagraphFont"/>
    <w:uiPriority w:val="99"/>
    <w:semiHidden/>
    <w:qFormat/>
  </w:style>
  <w:style w:type="paragraph" w:styleId="ListParagraph">
    <w:name w:val="List Paragraph"/>
    <w:aliases w:val="1.2,Heading 31,Heading 2 Char1,Char Char,List Paragraph1,List Paragraph11,Daftar Acuan,heading 3,Sub-Judul 1,Paragraph"/>
    <w:basedOn w:val="Normal"/>
    <w:link w:val="ListParagraphChar"/>
    <w:uiPriority w:val="34"/>
    <w:qFormat/>
    <w:pPr>
      <w:ind w:left="720"/>
      <w:contextualSpacing/>
    </w:pPr>
  </w:style>
  <w:style w:type="character" w:customStyle="1" w:styleId="hps">
    <w:name w:val="hps"/>
    <w:basedOn w:val="DefaultParagraphFont"/>
    <w:qFormat/>
  </w:style>
  <w:style w:type="character" w:customStyle="1" w:styleId="apple-style-span">
    <w:name w:val="apple-style-span"/>
    <w:basedOn w:val="DefaultParagraphFont"/>
    <w:qFormat/>
  </w:style>
  <w:style w:type="character" w:customStyle="1" w:styleId="apple-converted-space">
    <w:name w:val="apple-converted-space"/>
    <w:basedOn w:val="DefaultParagraphFont"/>
    <w:qFormat/>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ListParagraphChar">
    <w:name w:val="List Paragraph Char"/>
    <w:aliases w:val="1.2 Char,Heading 31 Char,Heading 2 Char1 Char,Char Char Char,List Paragraph1 Char,List Paragraph11 Char,Daftar Acuan Char,heading 3 Char,Sub-Judul 1 Char,Paragraph Char"/>
    <w:basedOn w:val="DefaultParagraphFont"/>
    <w:link w:val="ListParagraph"/>
    <w:uiPriority w:val="34"/>
    <w:qFormat/>
    <w:rPr>
      <w:sz w:val="24"/>
      <w:szCs w:val="24"/>
    </w:rPr>
  </w:style>
  <w:style w:type="character" w:customStyle="1" w:styleId="atn">
    <w:name w:val="atn"/>
    <w:basedOn w:val="DefaultParagraphFont"/>
    <w:qFormat/>
  </w:style>
  <w:style w:type="character" w:customStyle="1" w:styleId="Heading1Char">
    <w:name w:val="Heading 1 Char"/>
    <w:basedOn w:val="DefaultParagraphFont"/>
    <w:link w:val="Heading1"/>
    <w:uiPriority w:val="9"/>
    <w:qFormat/>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sz w:val="24"/>
      <w:szCs w:val="24"/>
    </w:rPr>
  </w:style>
  <w:style w:type="paragraph" w:styleId="NoSpacing">
    <w:name w:val="No Spacing"/>
    <w:uiPriority w:val="1"/>
    <w:qFormat/>
    <w:rPr>
      <w:rFonts w:ascii="Calibri" w:eastAsia="Calibri" w:hAnsi="Calibri" w:cs="Times New Roman"/>
      <w:sz w:val="22"/>
      <w:szCs w:val="22"/>
      <w:lang w:val="en-US" w:eastAsia="en-US"/>
    </w:rPr>
  </w:style>
  <w:style w:type="character" w:styleId="PlaceholderText">
    <w:name w:val="Placeholder Text"/>
    <w:basedOn w:val="DefaultParagraphFont"/>
    <w:uiPriority w:val="99"/>
    <w:semiHidden/>
    <w:qFormat/>
    <w:rPr>
      <w:color w:val="808080"/>
    </w:rPr>
  </w:style>
  <w:style w:type="paragraph" w:customStyle="1" w:styleId="MediumGrid21">
    <w:name w:val="Medium Grid 21"/>
    <w:uiPriority w:val="1"/>
    <w:qFormat/>
    <w:rPr>
      <w:rFonts w:ascii="Calibri" w:eastAsia="Calibri" w:hAnsi="Calibri" w:cs="Times New Roman"/>
      <w:sz w:val="22"/>
      <w:szCs w:val="22"/>
      <w:lang w:val="en-US" w:eastAsia="en-US"/>
    </w:rPr>
  </w:style>
  <w:style w:type="character" w:customStyle="1" w:styleId="ColorfulList-Accent1Char">
    <w:name w:val="Colorful List - Accent 1 Char"/>
    <w:basedOn w:val="DefaultParagraphFont"/>
    <w:link w:val="ColorfulList-Accent11"/>
    <w:qFormat/>
    <w:rPr>
      <w:rFonts w:ascii="Cambria" w:eastAsia="MS Mincho" w:hAnsi="Cambria" w:cs="Times New Roman"/>
      <w:sz w:val="24"/>
      <w:szCs w:val="24"/>
      <w:lang w:val="id-ID" w:eastAsia="ko-KR"/>
    </w:rPr>
  </w:style>
  <w:style w:type="character" w:customStyle="1" w:styleId="ej-keyword">
    <w:name w:val="ej-keyword"/>
    <w:basedOn w:val="DefaultParagraphFont"/>
    <w:qFormat/>
  </w:style>
  <w:style w:type="character" w:customStyle="1" w:styleId="Heading4Char">
    <w:name w:val="Heading 4 Char"/>
    <w:basedOn w:val="DefaultParagraphFont"/>
    <w:link w:val="Heading4"/>
    <w:uiPriority w:val="9"/>
    <w:qFormat/>
    <w:rPr>
      <w:rFonts w:asciiTheme="majorHAnsi" w:eastAsiaTheme="majorEastAsia" w:hAnsiTheme="majorHAnsi" w:cstheme="majorBidi"/>
      <w:i/>
      <w:iCs/>
      <w:color w:val="365F91" w:themeColor="accent1" w:themeShade="BF"/>
      <w:sz w:val="24"/>
      <w:szCs w:val="24"/>
      <w:lang w:val="zh-CN"/>
    </w:rPr>
  </w:style>
  <w:style w:type="paragraph" w:customStyle="1" w:styleId="p">
    <w:name w:val="p"/>
    <w:basedOn w:val="Normal"/>
    <w:qFormat/>
    <w:pPr>
      <w:spacing w:before="100" w:beforeAutospacing="1" w:after="100" w:afterAutospacing="1"/>
    </w:pPr>
    <w:rPr>
      <w:lang w:val="en-US"/>
    </w:rPr>
  </w:style>
  <w:style w:type="paragraph" w:customStyle="1" w:styleId="halfrhythm">
    <w:name w:val="half_rhythm"/>
    <w:basedOn w:val="Normal"/>
    <w:qFormat/>
    <w:pPr>
      <w:spacing w:before="100" w:beforeAutospacing="1" w:after="100" w:afterAutospacing="1"/>
    </w:pPr>
    <w:rPr>
      <w:lang w:val="en-US"/>
    </w:rPr>
  </w:style>
  <w:style w:type="character" w:customStyle="1" w:styleId="markedcontent">
    <w:name w:val="markedcontent"/>
    <w:basedOn w:val="DefaultParagraphFont"/>
    <w:qFormat/>
  </w:style>
  <w:style w:type="character" w:customStyle="1" w:styleId="q4iawc">
    <w:name w:val="q4iawc"/>
    <w:basedOn w:val="DefaultParagraphFont"/>
    <w:qFormat/>
  </w:style>
  <w:style w:type="character" w:customStyle="1" w:styleId="FooterChar">
    <w:name w:val="Footer Char"/>
    <w:basedOn w:val="DefaultParagraphFont"/>
    <w:link w:val="Footer"/>
    <w:uiPriority w:val="99"/>
    <w:qFormat/>
    <w:rPr>
      <w:rFonts w:ascii="Calibri" w:eastAsia="Calibri" w:hAnsi="Calibri" w:cs="Times New Roman"/>
      <w:sz w:val="22"/>
      <w:szCs w:val="22"/>
      <w:lang w:val="id-ID"/>
    </w:rPr>
  </w:style>
  <w:style w:type="character" w:customStyle="1" w:styleId="HTMLPreformattedChar">
    <w:name w:val="HTML Preformatted Char"/>
    <w:basedOn w:val="DefaultParagraphFont"/>
    <w:link w:val="HTMLPreformatted"/>
    <w:uiPriority w:val="99"/>
    <w:qFormat/>
    <w:rPr>
      <w:rFonts w:ascii="Courier" w:hAnsi="Courier" w:cs="Courier"/>
      <w:lang w:val="en-US"/>
    </w:rPr>
  </w:style>
  <w:style w:type="table" w:customStyle="1" w:styleId="GridTable1Light1">
    <w:name w:val="Grid Table 1 Light1"/>
    <w:basedOn w:val="TableNormal"/>
    <w:uiPriority w:val="46"/>
    <w:qFormat/>
    <w:rPr>
      <w:sz w:val="24"/>
      <w:szCs w:val="24"/>
      <w:lang w:eastAsia="ko-KR"/>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OCHeading1">
    <w:name w:val="TOC Heading1"/>
    <w:basedOn w:val="Heading1"/>
    <w:next w:val="Normal"/>
    <w:uiPriority w:val="39"/>
    <w:unhideWhenUsed/>
    <w:qFormat/>
    <w:pPr>
      <w:spacing w:before="240" w:after="0" w:line="259" w:lineRule="auto"/>
      <w:ind w:right="0"/>
      <w:jc w:val="left"/>
      <w:outlineLvl w:val="9"/>
    </w:pPr>
    <w:rPr>
      <w:rFonts w:asciiTheme="majorHAnsi" w:hAnsiTheme="majorHAnsi"/>
      <w:b w:val="0"/>
      <w:color w:val="365F91" w:themeColor="accent1" w:themeShade="BF"/>
      <w:sz w:val="32"/>
      <w:lang w:val="en-US"/>
    </w:rPr>
  </w:style>
  <w:style w:type="character" w:customStyle="1" w:styleId="HeaderChar">
    <w:name w:val="Header Char"/>
    <w:basedOn w:val="DefaultParagraphFont"/>
    <w:link w:val="Header"/>
    <w:uiPriority w:val="99"/>
    <w:qFormat/>
    <w:rPr>
      <w:rFonts w:ascii="Times New Roman" w:eastAsia="Times New Roman" w:hAnsi="Times New Roman" w:cs="Times New Roman"/>
      <w:sz w:val="24"/>
      <w:szCs w:val="24"/>
      <w:lang w:val="zh-CN"/>
    </w:rPr>
  </w:style>
  <w:style w:type="character" w:customStyle="1" w:styleId="TitleChar">
    <w:name w:val="Title Char"/>
    <w:basedOn w:val="DefaultParagraphFont"/>
    <w:link w:val="Title"/>
    <w:qFormat/>
    <w:rPr>
      <w:rFonts w:ascii="Times New Roman" w:eastAsia="Times New Roman" w:hAnsi="Times New Roman" w:cs="Times New Roman"/>
      <w:b/>
      <w:bCs/>
      <w:sz w:val="24"/>
      <w:szCs w:val="24"/>
      <w:lang w:val="en-US"/>
    </w:rPr>
  </w:style>
  <w:style w:type="character" w:customStyle="1" w:styleId="DocumentMapChar">
    <w:name w:val="Document Map Char"/>
    <w:basedOn w:val="DefaultParagraphFont"/>
    <w:link w:val="DocumentMap"/>
    <w:uiPriority w:val="99"/>
    <w:semiHidden/>
    <w:rPr>
      <w:rFonts w:ascii="Lucida Grande" w:eastAsia="Times New Roman" w:hAnsi="Lucida Grande" w:cs="Lucida Grande"/>
      <w:sz w:val="24"/>
      <w:szCs w:val="24"/>
      <w:lang w:val="zh-CN"/>
    </w:rPr>
  </w:style>
  <w:style w:type="character" w:customStyle="1" w:styleId="CommentTextChar">
    <w:name w:val="Comment Text Char"/>
    <w:basedOn w:val="DefaultParagraphFont"/>
    <w:link w:val="CommentText"/>
    <w:uiPriority w:val="99"/>
    <w:semiHidden/>
    <w:rPr>
      <w:rFonts w:eastAsiaTheme="minorHAnsi"/>
      <w:kern w:val="2"/>
      <w:lang w:val="id-ID"/>
      <w14:ligatures w14:val="standardContextual"/>
    </w:rPr>
  </w:style>
  <w:style w:type="paragraph" w:customStyle="1" w:styleId="Pa27">
    <w:name w:val="Pa27"/>
    <w:basedOn w:val="Default"/>
    <w:next w:val="Default"/>
    <w:uiPriority w:val="99"/>
    <w:pPr>
      <w:spacing w:line="211" w:lineRule="atLeast"/>
    </w:pPr>
    <w:rPr>
      <w:rFonts w:ascii="Univers 47 CondensedLight" w:eastAsiaTheme="minorHAnsi" w:hAnsi="Univers 47 CondensedLight" w:cstheme="minorBidi"/>
      <w:color w:val="auto"/>
      <w:lang w:val="en-US" w:eastAsia="en-US"/>
      <w14:ligatures w14:val="standardContextual"/>
    </w:rPr>
  </w:style>
  <w:style w:type="character" w:customStyle="1" w:styleId="A1">
    <w:name w:val="A1"/>
    <w:uiPriority w:val="99"/>
    <w:rPr>
      <w:rFonts w:cs="Minion Pro"/>
      <w:color w:val="000000"/>
      <w:sz w:val="10"/>
      <w:szCs w:val="10"/>
    </w:rPr>
  </w:style>
  <w:style w:type="character" w:customStyle="1" w:styleId="A20">
    <w:name w:val="A20"/>
    <w:uiPriority w:val="99"/>
    <w:rPr>
      <w:rFonts w:cs="Minion Pro"/>
      <w:color w:val="000000"/>
      <w:sz w:val="10"/>
      <w:szCs w:val="10"/>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kern w:val="2"/>
      <w:lang w:val="zh-CN"/>
      <w14:ligatures w14:val="standardContextual"/>
    </w:rPr>
  </w:style>
  <w:style w:type="paragraph" w:customStyle="1" w:styleId="Revision1">
    <w:name w:val="Revision1"/>
    <w:hidden/>
    <w:uiPriority w:val="99"/>
    <w:semiHidden/>
    <w:rPr>
      <w:rFonts w:ascii="Times New Roman" w:eastAsia="Times New Roman" w:hAnsi="Times New Roman" w:cs="Times New Roman"/>
      <w:sz w:val="24"/>
      <w:szCs w:val="24"/>
      <w:lang w:val="zh-CN" w:eastAsia="en-US"/>
    </w:rPr>
  </w:style>
  <w:style w:type="character" w:customStyle="1" w:styleId="title-text">
    <w:name w:val="title-text"/>
    <w:basedOn w:val="DefaultParagraphFont"/>
  </w:style>
  <w:style w:type="character" w:customStyle="1" w:styleId="hwtze">
    <w:name w:val="hwtze"/>
    <w:basedOn w:val="DefaultParagraphFont"/>
  </w:style>
  <w:style w:type="character" w:customStyle="1" w:styleId="rynqvb">
    <w:name w:val="rynqvb"/>
    <w:basedOn w:val="DefaultParagraphFont"/>
  </w:style>
  <w:style w:type="paragraph" w:customStyle="1" w:styleId="Bibliography1">
    <w:name w:val="Bibliography1"/>
    <w:basedOn w:val="Normal"/>
    <w:next w:val="Normal"/>
    <w:uiPriority w:val="37"/>
    <w:unhideWhenUsed/>
  </w:style>
  <w:style w:type="paragraph" w:customStyle="1" w:styleId="Pa5">
    <w:name w:val="Pa5"/>
    <w:basedOn w:val="Default"/>
    <w:next w:val="Default"/>
    <w:uiPriority w:val="99"/>
    <w:pPr>
      <w:spacing w:line="211" w:lineRule="atLeast"/>
    </w:pPr>
    <w:rPr>
      <w:rFonts w:ascii="Helvetica" w:eastAsiaTheme="minorHAnsi" w:hAnsi="Helvetica" w:cstheme="minorBidi"/>
      <w:color w:val="auto"/>
      <w:lang w:val="en-US" w:eastAsia="en-US"/>
      <w14:ligatures w14:val="standardContextual"/>
    </w:rPr>
  </w:style>
  <w:style w:type="character" w:customStyle="1" w:styleId="A6">
    <w:name w:val="A6"/>
    <w:uiPriority w:val="99"/>
    <w:rPr>
      <w:rFonts w:cs="Palatino"/>
      <w:color w:val="000000"/>
      <w:sz w:val="14"/>
      <w:szCs w:val="14"/>
    </w:rPr>
  </w:style>
  <w:style w:type="paragraph" w:customStyle="1" w:styleId="Pa18">
    <w:name w:val="Pa18"/>
    <w:basedOn w:val="Default"/>
    <w:next w:val="Default"/>
    <w:uiPriority w:val="99"/>
    <w:pPr>
      <w:spacing w:line="221" w:lineRule="atLeast"/>
    </w:pPr>
    <w:rPr>
      <w:rFonts w:ascii="Garamond" w:eastAsiaTheme="minorHAnsi" w:hAnsi="Garamond" w:cstheme="minorBidi"/>
      <w:color w:val="auto"/>
      <w:lang w:val="en-US" w:eastAsia="en-US"/>
      <w14:ligatures w14:val="standardContextual"/>
    </w:rPr>
  </w:style>
  <w:style w:type="paragraph" w:customStyle="1" w:styleId="Pa14">
    <w:name w:val="Pa14"/>
    <w:basedOn w:val="Default"/>
    <w:next w:val="Default"/>
    <w:uiPriority w:val="99"/>
    <w:qFormat/>
    <w:pPr>
      <w:spacing w:line="191" w:lineRule="atLeast"/>
    </w:pPr>
    <w:rPr>
      <w:rFonts w:ascii="Minion Pro" w:eastAsiaTheme="minorHAnsi" w:hAnsi="Minion Pro" w:cstheme="minorBidi"/>
      <w:color w:val="auto"/>
      <w:lang w:val="en-US" w:eastAsia="en-US"/>
      <w14:ligatures w14:val="standardContextual"/>
    </w:rPr>
  </w:style>
  <w:style w:type="paragraph" w:customStyle="1" w:styleId="Pa3">
    <w:name w:val="Pa3"/>
    <w:basedOn w:val="Default"/>
    <w:next w:val="Default"/>
    <w:uiPriority w:val="99"/>
    <w:pPr>
      <w:spacing w:line="201" w:lineRule="atLeast"/>
    </w:pPr>
    <w:rPr>
      <w:rFonts w:ascii="Times" w:eastAsiaTheme="minorHAnsi" w:hAnsi="Times" w:cstheme="minorBidi"/>
      <w:color w:val="auto"/>
      <w:lang w:val="en-US" w:eastAsia="en-US"/>
      <w14:ligatures w14:val="standardContextual"/>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lang w:val="zh-CN"/>
    </w:rPr>
  </w:style>
  <w:style w:type="paragraph" w:styleId="TOC4">
    <w:name w:val="toc 4"/>
    <w:basedOn w:val="Normal"/>
    <w:next w:val="Normal"/>
    <w:autoRedefine/>
    <w:uiPriority w:val="39"/>
    <w:unhideWhenUsed/>
    <w:rsid w:val="006F2657"/>
    <w:pPr>
      <w:spacing w:after="100" w:line="259" w:lineRule="auto"/>
      <w:ind w:left="660"/>
    </w:pPr>
    <w:rPr>
      <w:rFonts w:asciiTheme="minorHAnsi" w:eastAsiaTheme="minorEastAsia" w:hAnsiTheme="minorHAnsi" w:cstheme="minorBidi"/>
      <w:kern w:val="2"/>
      <w:sz w:val="22"/>
      <w:szCs w:val="22"/>
      <w:lang w:val="id-ID" w:eastAsia="id-ID"/>
      <w14:ligatures w14:val="standardContextual"/>
    </w:rPr>
  </w:style>
  <w:style w:type="paragraph" w:styleId="TOC5">
    <w:name w:val="toc 5"/>
    <w:basedOn w:val="Normal"/>
    <w:next w:val="Normal"/>
    <w:autoRedefine/>
    <w:uiPriority w:val="39"/>
    <w:unhideWhenUsed/>
    <w:rsid w:val="006F2657"/>
    <w:pPr>
      <w:spacing w:after="100" w:line="259" w:lineRule="auto"/>
      <w:ind w:left="880"/>
    </w:pPr>
    <w:rPr>
      <w:rFonts w:asciiTheme="minorHAnsi" w:eastAsiaTheme="minorEastAsia" w:hAnsiTheme="minorHAnsi" w:cstheme="minorBidi"/>
      <w:kern w:val="2"/>
      <w:sz w:val="22"/>
      <w:szCs w:val="22"/>
      <w:lang w:val="id-ID" w:eastAsia="id-ID"/>
      <w14:ligatures w14:val="standardContextual"/>
    </w:rPr>
  </w:style>
  <w:style w:type="paragraph" w:styleId="TOC6">
    <w:name w:val="toc 6"/>
    <w:basedOn w:val="Normal"/>
    <w:next w:val="Normal"/>
    <w:autoRedefine/>
    <w:uiPriority w:val="39"/>
    <w:unhideWhenUsed/>
    <w:rsid w:val="006F2657"/>
    <w:pPr>
      <w:spacing w:after="100" w:line="259" w:lineRule="auto"/>
      <w:ind w:left="1100"/>
    </w:pPr>
    <w:rPr>
      <w:rFonts w:asciiTheme="minorHAnsi" w:eastAsiaTheme="minorEastAsia" w:hAnsiTheme="minorHAnsi" w:cstheme="minorBidi"/>
      <w:kern w:val="2"/>
      <w:sz w:val="22"/>
      <w:szCs w:val="22"/>
      <w:lang w:val="id-ID" w:eastAsia="id-ID"/>
      <w14:ligatures w14:val="standardContextual"/>
    </w:rPr>
  </w:style>
  <w:style w:type="paragraph" w:styleId="TOC7">
    <w:name w:val="toc 7"/>
    <w:basedOn w:val="Normal"/>
    <w:next w:val="Normal"/>
    <w:autoRedefine/>
    <w:uiPriority w:val="39"/>
    <w:unhideWhenUsed/>
    <w:rsid w:val="006F2657"/>
    <w:pPr>
      <w:spacing w:after="100" w:line="259" w:lineRule="auto"/>
      <w:ind w:left="1320"/>
    </w:pPr>
    <w:rPr>
      <w:rFonts w:asciiTheme="minorHAnsi" w:eastAsiaTheme="minorEastAsia" w:hAnsiTheme="minorHAnsi" w:cstheme="minorBidi"/>
      <w:kern w:val="2"/>
      <w:sz w:val="22"/>
      <w:szCs w:val="22"/>
      <w:lang w:val="id-ID" w:eastAsia="id-ID"/>
      <w14:ligatures w14:val="standardContextual"/>
    </w:rPr>
  </w:style>
  <w:style w:type="paragraph" w:styleId="TOC8">
    <w:name w:val="toc 8"/>
    <w:basedOn w:val="Normal"/>
    <w:next w:val="Normal"/>
    <w:autoRedefine/>
    <w:uiPriority w:val="39"/>
    <w:unhideWhenUsed/>
    <w:rsid w:val="006F2657"/>
    <w:pPr>
      <w:spacing w:after="100" w:line="259" w:lineRule="auto"/>
      <w:ind w:left="1540"/>
    </w:pPr>
    <w:rPr>
      <w:rFonts w:asciiTheme="minorHAnsi" w:eastAsiaTheme="minorEastAsia" w:hAnsiTheme="minorHAnsi" w:cstheme="minorBidi"/>
      <w:kern w:val="2"/>
      <w:sz w:val="22"/>
      <w:szCs w:val="22"/>
      <w:lang w:val="id-ID" w:eastAsia="id-ID"/>
      <w14:ligatures w14:val="standardContextual"/>
    </w:rPr>
  </w:style>
  <w:style w:type="paragraph" w:styleId="TOC9">
    <w:name w:val="toc 9"/>
    <w:basedOn w:val="Normal"/>
    <w:next w:val="Normal"/>
    <w:autoRedefine/>
    <w:uiPriority w:val="39"/>
    <w:unhideWhenUsed/>
    <w:rsid w:val="006F2657"/>
    <w:pPr>
      <w:spacing w:after="100" w:line="259" w:lineRule="auto"/>
      <w:ind w:left="1760"/>
    </w:pPr>
    <w:rPr>
      <w:rFonts w:asciiTheme="minorHAnsi" w:eastAsiaTheme="minorEastAsia" w:hAnsiTheme="minorHAnsi" w:cstheme="minorBidi"/>
      <w:kern w:val="2"/>
      <w:sz w:val="22"/>
      <w:szCs w:val="22"/>
      <w:lang w:val="id-ID" w:eastAsia="id-ID"/>
      <w14:ligatures w14:val="standardContextual"/>
    </w:rPr>
  </w:style>
  <w:style w:type="character" w:styleId="UnresolvedMention">
    <w:name w:val="Unresolved Mention"/>
    <w:basedOn w:val="DefaultParagraphFont"/>
    <w:uiPriority w:val="99"/>
    <w:semiHidden/>
    <w:unhideWhenUsed/>
    <w:rsid w:val="006F2657"/>
    <w:rPr>
      <w:color w:val="605E5C"/>
      <w:shd w:val="clear" w:color="auto" w:fill="E1DFDD"/>
    </w:rPr>
  </w:style>
  <w:style w:type="paragraph" w:styleId="BodyText">
    <w:name w:val="Body Text"/>
    <w:basedOn w:val="Normal"/>
    <w:link w:val="BodyTextChar"/>
    <w:uiPriority w:val="99"/>
    <w:unhideWhenUsed/>
    <w:rsid w:val="00D72714"/>
    <w:pPr>
      <w:spacing w:after="120"/>
    </w:pPr>
  </w:style>
  <w:style w:type="character" w:customStyle="1" w:styleId="BodyTextChar">
    <w:name w:val="Body Text Char"/>
    <w:basedOn w:val="DefaultParagraphFont"/>
    <w:link w:val="BodyText"/>
    <w:uiPriority w:val="99"/>
    <w:rsid w:val="00D72714"/>
    <w:rPr>
      <w:rFonts w:ascii="Times New Roman" w:eastAsia="Times New Roman" w:hAnsi="Times New Roman" w:cs="Times New Roman"/>
      <w:sz w:val="24"/>
      <w:szCs w:val="24"/>
      <w:lang w:val="zh-CN" w:eastAsia="en-US"/>
    </w:rPr>
  </w:style>
  <w:style w:type="paragraph" w:customStyle="1" w:styleId="TableParagraph">
    <w:name w:val="Table Paragraph"/>
    <w:basedOn w:val="Normal"/>
    <w:uiPriority w:val="1"/>
    <w:qFormat/>
    <w:rsid w:val="00D72714"/>
    <w:pPr>
      <w:widowControl w:val="0"/>
      <w:autoSpaceDE w:val="0"/>
      <w:autoSpaceDN w:val="0"/>
      <w:ind w:left="105"/>
    </w:pPr>
    <w:rPr>
      <w:sz w:val="22"/>
      <w:szCs w:val="2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4463306">
      <w:bodyDiv w:val="1"/>
      <w:marLeft w:val="0"/>
      <w:marRight w:val="0"/>
      <w:marTop w:val="0"/>
      <w:marBottom w:val="0"/>
      <w:divBdr>
        <w:top w:val="none" w:sz="0" w:space="0" w:color="auto"/>
        <w:left w:val="none" w:sz="0" w:space="0" w:color="auto"/>
        <w:bottom w:val="none" w:sz="0" w:space="0" w:color="auto"/>
        <w:right w:val="none" w:sz="0" w:space="0" w:color="auto"/>
      </w:divBdr>
    </w:div>
    <w:div w:id="1675912199">
      <w:bodyDiv w:val="1"/>
      <w:marLeft w:val="0"/>
      <w:marRight w:val="0"/>
      <w:marTop w:val="0"/>
      <w:marBottom w:val="0"/>
      <w:divBdr>
        <w:top w:val="none" w:sz="0" w:space="0" w:color="auto"/>
        <w:left w:val="none" w:sz="0" w:space="0" w:color="auto"/>
        <w:bottom w:val="none" w:sz="0" w:space="0" w:color="auto"/>
        <w:right w:val="none" w:sz="0" w:space="0" w:color="auto"/>
      </w:divBdr>
    </w:div>
    <w:div w:id="1821799713">
      <w:bodyDiv w:val="1"/>
      <w:marLeft w:val="0"/>
      <w:marRight w:val="0"/>
      <w:marTop w:val="0"/>
      <w:marBottom w:val="0"/>
      <w:divBdr>
        <w:top w:val="none" w:sz="0" w:space="0" w:color="auto"/>
        <w:left w:val="none" w:sz="0" w:space="0" w:color="auto"/>
        <w:bottom w:val="none" w:sz="0" w:space="0" w:color="auto"/>
        <w:right w:val="none" w:sz="0" w:space="0" w:color="auto"/>
      </w:divBdr>
    </w:div>
    <w:div w:id="18768502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3.jpe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png"/><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B7CD95-106F-074C-BCEF-4388A56B3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Pages>
  <Words>100920</Words>
  <Characters>575250</Characters>
  <Application>Microsoft Office Word</Application>
  <DocSecurity>0</DocSecurity>
  <Lines>4793</Lines>
  <Paragraphs>1349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Ahmad Fathoni</cp:lastModifiedBy>
  <cp:revision>43</cp:revision>
  <cp:lastPrinted>2024-02-13T05:09:00Z</cp:lastPrinted>
  <dcterms:created xsi:type="dcterms:W3CDTF">2024-02-07T07:16:00Z</dcterms:created>
  <dcterms:modified xsi:type="dcterms:W3CDTF">2024-05-04T02:05:00Z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7th edition</vt:lpwstr>
  </property>
  <property fmtid="{D5CDD505-2E9C-101B-9397-08002B2CF9AE}" pid="4" name="Mendeley Recent Style Id 1_1">
    <vt:lpwstr>http://www.zotero.org/styles/annals-of-medicine-and-surgery</vt:lpwstr>
  </property>
  <property fmtid="{D5CDD505-2E9C-101B-9397-08002B2CF9AE}" pid="5" name="Mendeley Recent Style Name 1_1">
    <vt:lpwstr>Annals of Medicine and Surgery</vt:lpwstr>
  </property>
  <property fmtid="{D5CDD505-2E9C-101B-9397-08002B2CF9AE}" pid="6" name="Mendeley Recent Style Id 2_1">
    <vt:lpwstr>http://www.zotero.org/styles/harvard-cite-them-right</vt:lpwstr>
  </property>
  <property fmtid="{D5CDD505-2E9C-101B-9397-08002B2CF9AE}" pid="7" name="Mendeley Recent Style Name 2_1">
    <vt:lpwstr>Cite Them Right 10th edition - Harvard</vt:lpwstr>
  </property>
  <property fmtid="{D5CDD505-2E9C-101B-9397-08002B2CF9AE}" pid="8" name="Mendeley Recent Style Id 3_1">
    <vt:lpwstr>http://www.zotero.org/styles/harvard1</vt:lpwstr>
  </property>
  <property fmtid="{D5CDD505-2E9C-101B-9397-08002B2CF9AE}" pid="9" name="Mendeley Recent Style Name 3_1">
    <vt:lpwstr>Harvard reference format 1 (deprecated)</vt:lpwstr>
  </property>
  <property fmtid="{D5CDD505-2E9C-101B-9397-08002B2CF9AE}" pid="10" name="Mendeley Recent Style Id 4_1">
    <vt:lpwstr>http://www.zotero.org/styles/sage-vancouver-brackets</vt:lpwstr>
  </property>
  <property fmtid="{D5CDD505-2E9C-101B-9397-08002B2CF9AE}" pid="11" name="Mendeley Recent Style Name 4_1">
    <vt:lpwstr>SAGE - Vancouver (brackets)</vt:lpwstr>
  </property>
  <property fmtid="{D5CDD505-2E9C-101B-9397-08002B2CF9AE}" pid="12" name="Mendeley Recent Style Id 5_1">
    <vt:lpwstr>http://www.zotero.org/styles/vancouver</vt:lpwstr>
  </property>
  <property fmtid="{D5CDD505-2E9C-101B-9397-08002B2CF9AE}" pid="13" name="Mendeley Recent Style Name 5_1">
    <vt:lpwstr>Vancouver</vt:lpwstr>
  </property>
  <property fmtid="{D5CDD505-2E9C-101B-9397-08002B2CF9AE}" pid="14" name="Mendeley Recent Style Id 6_1">
    <vt:lpwstr>http://www.zotero.org/styles/vancouver-brackets</vt:lpwstr>
  </property>
  <property fmtid="{D5CDD505-2E9C-101B-9397-08002B2CF9AE}" pid="15" name="Mendeley Recent Style Name 6_1">
    <vt:lpwstr>Vancouver (brackets)</vt:lpwstr>
  </property>
  <property fmtid="{D5CDD505-2E9C-101B-9397-08002B2CF9AE}" pid="16" name="Mendeley Recent Style Id 7_1">
    <vt:lpwstr>http://www.zotero.org/styles/vancouver-superscript</vt:lpwstr>
  </property>
  <property fmtid="{D5CDD505-2E9C-101B-9397-08002B2CF9AE}" pid="17" name="Mendeley Recent Style Name 7_1">
    <vt:lpwstr>Vancouver (superscript)</vt:lpwstr>
  </property>
  <property fmtid="{D5CDD505-2E9C-101B-9397-08002B2CF9AE}" pid="18" name="Mendeley Recent Style Id 8_1">
    <vt:lpwstr>http://csl.mendeley.com/styles/543954541/vancouver-superscript-brackets-only-year</vt:lpwstr>
  </property>
  <property fmtid="{D5CDD505-2E9C-101B-9397-08002B2CF9AE}" pid="19" name="Mendeley Recent Style Name 8_1">
    <vt:lpwstr>Vancouver (superscript, brackets, year) - widya darma</vt:lpwstr>
  </property>
  <property fmtid="{D5CDD505-2E9C-101B-9397-08002B2CF9AE}" pid="20" name="Mendeley Recent Style Id 9_1">
    <vt:lpwstr>http://csl.mendeley.com/styles/652245721/vancouver-2</vt:lpwstr>
  </property>
  <property fmtid="{D5CDD505-2E9C-101B-9397-08002B2CF9AE}" pid="21" name="Mendeley Recent Style Name 9_1">
    <vt:lpwstr>Vancouver - Fadhillawatie Maanaiya</vt:lpwstr>
  </property>
  <property fmtid="{D5CDD505-2E9C-101B-9397-08002B2CF9AE}" pid="22" name="Mendeley Document_1">
    <vt:lpwstr>True</vt:lpwstr>
  </property>
  <property fmtid="{D5CDD505-2E9C-101B-9397-08002B2CF9AE}" pid="23" name="Mendeley Citation Style_1">
    <vt:lpwstr>http://csl.mendeley.com/styles/652245721/vancouver-2</vt:lpwstr>
  </property>
  <property fmtid="{D5CDD505-2E9C-101B-9397-08002B2CF9AE}" pid="24" name="Mendeley Unique User Id_1">
    <vt:lpwstr>25099535-37aa-3caf-9353-81a4fe597a53</vt:lpwstr>
  </property>
  <property fmtid="{D5CDD505-2E9C-101B-9397-08002B2CF9AE}" pid="25" name="KSOProductBuildVer">
    <vt:lpwstr>1033-11.2.0.11225</vt:lpwstr>
  </property>
  <property fmtid="{D5CDD505-2E9C-101B-9397-08002B2CF9AE}" pid="26" name="ICV">
    <vt:lpwstr>46CEEED110C442FC82B545C4A36029FC</vt:lpwstr>
  </property>
</Properties>
</file>