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6BB4C" w14:textId="2F6EE1E9" w:rsidR="007757AB" w:rsidRPr="0035519F" w:rsidRDefault="003E72B1" w:rsidP="005254ED">
      <w:pPr>
        <w:spacing w:after="120"/>
        <w:jc w:val="center"/>
        <w:rPr>
          <w:rFonts w:ascii="Arial" w:hAnsi="Arial" w:cs="Arial"/>
          <w:b/>
          <w:sz w:val="28"/>
          <w:szCs w:val="28"/>
        </w:rPr>
      </w:pPr>
      <w:r w:rsidRPr="0035519F">
        <w:rPr>
          <w:rFonts w:ascii="Arial" w:hAnsi="Arial" w:cs="Arial"/>
          <w:b/>
          <w:sz w:val="28"/>
          <w:szCs w:val="28"/>
          <w:lang w:val="id-ID"/>
        </w:rPr>
        <w:t xml:space="preserve">ANALISIS </w:t>
      </w:r>
      <w:r w:rsidR="005254ED" w:rsidRPr="0035519F">
        <w:rPr>
          <w:rFonts w:ascii="Arial" w:hAnsi="Arial" w:cs="Arial"/>
          <w:b/>
          <w:sz w:val="28"/>
          <w:szCs w:val="28"/>
        </w:rPr>
        <w:t xml:space="preserve">RESISTENSI </w:t>
      </w:r>
      <w:r w:rsidRPr="0035519F">
        <w:rPr>
          <w:rFonts w:ascii="Arial" w:hAnsi="Arial" w:cs="Arial"/>
          <w:b/>
          <w:sz w:val="28"/>
          <w:szCs w:val="28"/>
        </w:rPr>
        <w:t>INSULIN</w:t>
      </w:r>
      <w:r w:rsidR="007757AB" w:rsidRPr="0035519F">
        <w:rPr>
          <w:rFonts w:ascii="Arial" w:hAnsi="Arial" w:cs="Arial"/>
          <w:b/>
          <w:sz w:val="28"/>
          <w:szCs w:val="28"/>
          <w:lang w:val="id-ID"/>
        </w:rPr>
        <w:t xml:space="preserve"> </w:t>
      </w:r>
      <w:r w:rsidR="00F8103D" w:rsidRPr="0035519F">
        <w:rPr>
          <w:rFonts w:ascii="Arial" w:hAnsi="Arial" w:cs="Arial"/>
          <w:b/>
          <w:sz w:val="28"/>
          <w:szCs w:val="28"/>
        </w:rPr>
        <w:t>DENGAN</w:t>
      </w:r>
      <w:r w:rsidR="00DA366B" w:rsidRPr="0035519F">
        <w:rPr>
          <w:rFonts w:ascii="Arial" w:hAnsi="Arial" w:cs="Arial"/>
          <w:b/>
          <w:sz w:val="28"/>
          <w:szCs w:val="28"/>
        </w:rPr>
        <w:t xml:space="preserve"> </w:t>
      </w:r>
      <w:r w:rsidRPr="0035519F">
        <w:rPr>
          <w:rFonts w:ascii="Arial" w:hAnsi="Arial" w:cs="Arial"/>
          <w:b/>
          <w:i/>
          <w:sz w:val="28"/>
          <w:szCs w:val="28"/>
        </w:rPr>
        <w:t>INSULIN-LIKE GROWTH FACTOR 1</w:t>
      </w:r>
      <w:r w:rsidRPr="0035519F">
        <w:rPr>
          <w:rFonts w:ascii="Arial" w:hAnsi="Arial" w:cs="Arial"/>
          <w:b/>
          <w:sz w:val="28"/>
          <w:szCs w:val="28"/>
        </w:rPr>
        <w:t xml:space="preserve"> (</w:t>
      </w:r>
      <w:r w:rsidR="007757AB" w:rsidRPr="0035519F">
        <w:rPr>
          <w:rFonts w:ascii="Arial" w:hAnsi="Arial" w:cs="Arial"/>
          <w:b/>
          <w:sz w:val="28"/>
          <w:szCs w:val="28"/>
          <w:lang w:val="id-ID"/>
        </w:rPr>
        <w:t>IGF-1</w:t>
      </w:r>
      <w:r w:rsidRPr="0035519F">
        <w:rPr>
          <w:rFonts w:ascii="Arial" w:hAnsi="Arial" w:cs="Arial"/>
          <w:b/>
          <w:sz w:val="28"/>
          <w:szCs w:val="28"/>
        </w:rPr>
        <w:t>)</w:t>
      </w:r>
      <w:r w:rsidR="007757AB" w:rsidRPr="0035519F">
        <w:rPr>
          <w:rFonts w:ascii="Arial" w:hAnsi="Arial" w:cs="Arial"/>
          <w:b/>
          <w:sz w:val="28"/>
          <w:szCs w:val="28"/>
          <w:lang w:val="id-ID"/>
        </w:rPr>
        <w:t xml:space="preserve"> </w:t>
      </w:r>
      <w:r w:rsidR="007757AB" w:rsidRPr="0035519F">
        <w:rPr>
          <w:rFonts w:ascii="Arial" w:hAnsi="Arial" w:cs="Arial"/>
          <w:b/>
          <w:sz w:val="28"/>
          <w:szCs w:val="28"/>
        </w:rPr>
        <w:t>PADA DEWASA</w:t>
      </w:r>
      <w:r w:rsidRPr="0035519F">
        <w:rPr>
          <w:rFonts w:ascii="Arial" w:hAnsi="Arial" w:cs="Arial"/>
          <w:b/>
          <w:sz w:val="28"/>
          <w:szCs w:val="28"/>
        </w:rPr>
        <w:t xml:space="preserve"> </w:t>
      </w:r>
      <w:r w:rsidRPr="0035519F">
        <w:rPr>
          <w:rFonts w:ascii="Arial" w:hAnsi="Arial" w:cs="Arial"/>
          <w:b/>
          <w:i/>
          <w:sz w:val="28"/>
          <w:szCs w:val="28"/>
        </w:rPr>
        <w:t>NON DIABETES MELLITUS</w:t>
      </w:r>
      <w:r w:rsidRPr="0035519F">
        <w:rPr>
          <w:rFonts w:ascii="Arial" w:hAnsi="Arial" w:cs="Arial"/>
          <w:b/>
          <w:sz w:val="28"/>
          <w:szCs w:val="28"/>
        </w:rPr>
        <w:t xml:space="preserve"> (DM)</w:t>
      </w:r>
      <w:r w:rsidR="007757AB" w:rsidRPr="0035519F">
        <w:rPr>
          <w:rFonts w:ascii="Arial" w:hAnsi="Arial" w:cs="Arial"/>
          <w:b/>
          <w:sz w:val="28"/>
          <w:szCs w:val="28"/>
        </w:rPr>
        <w:t xml:space="preserve"> DENGAN DAN </w:t>
      </w:r>
      <w:r w:rsidR="002E13B4" w:rsidRPr="0035519F">
        <w:rPr>
          <w:rFonts w:ascii="Arial" w:hAnsi="Arial" w:cs="Arial"/>
          <w:b/>
          <w:sz w:val="28"/>
          <w:szCs w:val="28"/>
        </w:rPr>
        <w:t>TANPA OBESITAS SENTRAL</w:t>
      </w:r>
    </w:p>
    <w:p w14:paraId="162C04E4" w14:textId="77777777" w:rsidR="007757AB" w:rsidRPr="0035519F" w:rsidRDefault="007757AB" w:rsidP="005254ED">
      <w:pPr>
        <w:spacing w:after="120"/>
        <w:jc w:val="center"/>
        <w:rPr>
          <w:rFonts w:ascii="Arial" w:hAnsi="Arial" w:cs="Arial"/>
          <w:b/>
          <w:sz w:val="28"/>
          <w:szCs w:val="28"/>
        </w:rPr>
      </w:pPr>
    </w:p>
    <w:p w14:paraId="31C44DBC" w14:textId="0A2540BB" w:rsidR="007757AB" w:rsidRPr="0035519F" w:rsidRDefault="007757AB" w:rsidP="00BA23FD">
      <w:pPr>
        <w:jc w:val="center"/>
        <w:rPr>
          <w:rFonts w:ascii="Arial" w:eastAsia="Times New Roman" w:hAnsi="Arial" w:cs="Arial"/>
          <w:b/>
          <w:sz w:val="28"/>
          <w:szCs w:val="28"/>
        </w:rPr>
      </w:pPr>
      <w:r w:rsidRPr="0035519F">
        <w:rPr>
          <w:rFonts w:ascii="Arial" w:eastAsia="Times New Roman" w:hAnsi="Arial" w:cs="Arial"/>
          <w:b/>
          <w:sz w:val="28"/>
          <w:szCs w:val="28"/>
          <w:lang w:val="en"/>
        </w:rPr>
        <w:t xml:space="preserve">ANALYSIS OF </w:t>
      </w:r>
      <w:r w:rsidR="003E72B1" w:rsidRPr="0035519F">
        <w:rPr>
          <w:rFonts w:ascii="Arial" w:hAnsi="Arial" w:cs="Arial"/>
          <w:b/>
          <w:sz w:val="28"/>
          <w:szCs w:val="28"/>
        </w:rPr>
        <w:t>INSULIN RESISTANCE</w:t>
      </w:r>
      <w:r w:rsidRPr="0035519F">
        <w:rPr>
          <w:rFonts w:ascii="Arial" w:hAnsi="Arial" w:cs="Arial"/>
          <w:b/>
          <w:sz w:val="28"/>
          <w:szCs w:val="28"/>
          <w:lang w:val="id-ID"/>
        </w:rPr>
        <w:t xml:space="preserve"> </w:t>
      </w:r>
      <w:r w:rsidR="00F8103D" w:rsidRPr="0035519F">
        <w:rPr>
          <w:rFonts w:ascii="Arial" w:hAnsi="Arial" w:cs="Arial"/>
          <w:b/>
          <w:sz w:val="28"/>
          <w:szCs w:val="28"/>
        </w:rPr>
        <w:t xml:space="preserve">WITH </w:t>
      </w:r>
      <w:r w:rsidR="003E72B1" w:rsidRPr="0035519F">
        <w:rPr>
          <w:rFonts w:ascii="Arial" w:hAnsi="Arial" w:cs="Arial"/>
          <w:b/>
          <w:sz w:val="28"/>
          <w:szCs w:val="28"/>
        </w:rPr>
        <w:t>INSULIN-LIKE GROWT</w:t>
      </w:r>
      <w:r w:rsidR="006468B1" w:rsidRPr="0035519F">
        <w:rPr>
          <w:rFonts w:ascii="Arial" w:hAnsi="Arial" w:cs="Arial"/>
          <w:b/>
          <w:sz w:val="28"/>
          <w:szCs w:val="28"/>
        </w:rPr>
        <w:t>H FAC</w:t>
      </w:r>
      <w:r w:rsidR="003E72B1" w:rsidRPr="0035519F">
        <w:rPr>
          <w:rFonts w:ascii="Arial" w:hAnsi="Arial" w:cs="Arial"/>
          <w:b/>
          <w:sz w:val="28"/>
          <w:szCs w:val="28"/>
        </w:rPr>
        <w:t>T</w:t>
      </w:r>
      <w:r w:rsidR="006468B1" w:rsidRPr="0035519F">
        <w:rPr>
          <w:rFonts w:ascii="Arial" w:hAnsi="Arial" w:cs="Arial"/>
          <w:b/>
          <w:sz w:val="28"/>
          <w:szCs w:val="28"/>
        </w:rPr>
        <w:t>O</w:t>
      </w:r>
      <w:r w:rsidR="003E72B1" w:rsidRPr="0035519F">
        <w:rPr>
          <w:rFonts w:ascii="Arial" w:hAnsi="Arial" w:cs="Arial"/>
          <w:b/>
          <w:sz w:val="28"/>
          <w:szCs w:val="28"/>
        </w:rPr>
        <w:t>R (</w:t>
      </w:r>
      <w:r w:rsidRPr="0035519F">
        <w:rPr>
          <w:rFonts w:ascii="Arial" w:hAnsi="Arial" w:cs="Arial"/>
          <w:b/>
          <w:sz w:val="28"/>
          <w:szCs w:val="28"/>
          <w:lang w:val="id-ID"/>
        </w:rPr>
        <w:t>IGF-1</w:t>
      </w:r>
      <w:r w:rsidR="003E72B1" w:rsidRPr="0035519F">
        <w:rPr>
          <w:rFonts w:ascii="Arial" w:hAnsi="Arial" w:cs="Arial"/>
          <w:b/>
          <w:sz w:val="28"/>
          <w:szCs w:val="28"/>
        </w:rPr>
        <w:t>)</w:t>
      </w:r>
      <w:r w:rsidRPr="0035519F">
        <w:rPr>
          <w:rFonts w:ascii="Arial" w:hAnsi="Arial" w:cs="Arial"/>
          <w:b/>
          <w:sz w:val="28"/>
          <w:szCs w:val="28"/>
          <w:lang w:val="id-ID"/>
        </w:rPr>
        <w:t xml:space="preserve"> </w:t>
      </w:r>
      <w:r w:rsidRPr="0035519F">
        <w:rPr>
          <w:rFonts w:ascii="Arial" w:eastAsia="Times New Roman" w:hAnsi="Arial" w:cs="Arial"/>
          <w:b/>
          <w:sz w:val="28"/>
          <w:szCs w:val="28"/>
          <w:lang w:val="en"/>
        </w:rPr>
        <w:t xml:space="preserve">IN ADULT </w:t>
      </w:r>
      <w:r w:rsidR="003E72B1" w:rsidRPr="0035519F">
        <w:rPr>
          <w:rFonts w:ascii="Arial" w:eastAsia="Times New Roman" w:hAnsi="Arial" w:cs="Arial"/>
          <w:b/>
          <w:sz w:val="28"/>
          <w:szCs w:val="28"/>
          <w:lang w:val="en"/>
        </w:rPr>
        <w:t xml:space="preserve">NON DIABETES MELLITUS (DM) </w:t>
      </w:r>
      <w:r w:rsidRPr="0035519F">
        <w:rPr>
          <w:rFonts w:ascii="Arial" w:eastAsia="Times New Roman" w:hAnsi="Arial" w:cs="Arial"/>
          <w:b/>
          <w:sz w:val="28"/>
          <w:szCs w:val="28"/>
          <w:lang w:val="en"/>
        </w:rPr>
        <w:t xml:space="preserve">WITH AND </w:t>
      </w:r>
      <w:r w:rsidR="002E13B4" w:rsidRPr="0035519F">
        <w:rPr>
          <w:rFonts w:ascii="Arial" w:eastAsia="Times New Roman" w:hAnsi="Arial" w:cs="Arial"/>
          <w:b/>
          <w:sz w:val="28"/>
          <w:szCs w:val="28"/>
          <w:lang w:val="en"/>
        </w:rPr>
        <w:t>WITHOUT</w:t>
      </w:r>
      <w:r w:rsidRPr="0035519F">
        <w:rPr>
          <w:rFonts w:ascii="Arial" w:eastAsia="Times New Roman" w:hAnsi="Arial" w:cs="Arial"/>
          <w:b/>
          <w:sz w:val="28"/>
          <w:szCs w:val="28"/>
          <w:lang w:val="en"/>
        </w:rPr>
        <w:t xml:space="preserve"> CENTRAL OBESITY</w:t>
      </w:r>
    </w:p>
    <w:p w14:paraId="52E6F3E5" w14:textId="77777777" w:rsidR="00F366CB" w:rsidRPr="0035519F" w:rsidRDefault="00F366CB" w:rsidP="00BA23FD">
      <w:pPr>
        <w:jc w:val="center"/>
        <w:rPr>
          <w:rFonts w:ascii="Arial" w:hAnsi="Arial" w:cs="Arial"/>
          <w:b/>
          <w:sz w:val="24"/>
          <w:szCs w:val="24"/>
        </w:rPr>
      </w:pPr>
    </w:p>
    <w:p w14:paraId="012786CA" w14:textId="77777777" w:rsidR="007757AB" w:rsidRPr="0035519F" w:rsidRDefault="007757AB" w:rsidP="00BA23FD">
      <w:pPr>
        <w:jc w:val="center"/>
        <w:rPr>
          <w:rFonts w:ascii="Arial" w:hAnsi="Arial" w:cs="Arial"/>
          <w:b/>
          <w:sz w:val="24"/>
          <w:szCs w:val="24"/>
        </w:rPr>
      </w:pPr>
      <w:r w:rsidRPr="0035519F">
        <w:rPr>
          <w:rFonts w:ascii="Arial" w:hAnsi="Arial" w:cs="Arial"/>
          <w:b/>
          <w:sz w:val="24"/>
          <w:szCs w:val="24"/>
        </w:rPr>
        <w:t>ABD. RAHIM MUBARAK</w:t>
      </w:r>
    </w:p>
    <w:p w14:paraId="646AAAC1" w14:textId="492F996A" w:rsidR="007757AB" w:rsidRPr="0035519F" w:rsidRDefault="007757AB" w:rsidP="00BA23FD">
      <w:pPr>
        <w:jc w:val="center"/>
        <w:rPr>
          <w:rFonts w:ascii="Arial" w:hAnsi="Arial" w:cs="Arial"/>
          <w:b/>
          <w:sz w:val="24"/>
          <w:szCs w:val="24"/>
        </w:rPr>
      </w:pPr>
      <w:r w:rsidRPr="0035519F">
        <w:rPr>
          <w:rFonts w:ascii="Arial" w:hAnsi="Arial" w:cs="Arial"/>
          <w:b/>
          <w:sz w:val="24"/>
          <w:szCs w:val="24"/>
        </w:rPr>
        <w:t>C085172002</w:t>
      </w:r>
    </w:p>
    <w:p w14:paraId="6B2590DE" w14:textId="77777777" w:rsidR="007757AB" w:rsidRPr="0035519F" w:rsidRDefault="007757AB" w:rsidP="00BA23FD">
      <w:pPr>
        <w:jc w:val="center"/>
        <w:rPr>
          <w:rFonts w:ascii="Arial" w:hAnsi="Arial" w:cs="Arial"/>
          <w:b/>
          <w:sz w:val="24"/>
          <w:szCs w:val="24"/>
        </w:rPr>
      </w:pPr>
    </w:p>
    <w:p w14:paraId="1B338964" w14:textId="3C77D876" w:rsidR="007757AB" w:rsidRPr="0035519F" w:rsidRDefault="007757AB" w:rsidP="00BA23FD">
      <w:pPr>
        <w:jc w:val="center"/>
        <w:rPr>
          <w:rFonts w:ascii="Arial" w:hAnsi="Arial" w:cs="Arial"/>
          <w:b/>
        </w:rPr>
      </w:pPr>
    </w:p>
    <w:p w14:paraId="232A74CE" w14:textId="2F24A427" w:rsidR="007757AB" w:rsidRPr="0035519F" w:rsidRDefault="003B3EAA" w:rsidP="00BA23FD">
      <w:pPr>
        <w:jc w:val="center"/>
        <w:rPr>
          <w:rFonts w:ascii="Arial" w:hAnsi="Arial" w:cs="Arial"/>
          <w:b/>
        </w:rPr>
      </w:pPr>
      <w:r w:rsidRPr="0035519F">
        <w:rPr>
          <w:rFonts w:ascii="Arial" w:hAnsi="Arial" w:cs="Arial"/>
          <w:b/>
          <w:noProof/>
        </w:rPr>
        <w:drawing>
          <wp:anchor distT="0" distB="0" distL="114300" distR="114300" simplePos="0" relativeHeight="251702272" behindDoc="1" locked="0" layoutInCell="1" allowOverlap="1" wp14:anchorId="3835CD39" wp14:editId="1F4B63E2">
            <wp:simplePos x="0" y="0"/>
            <wp:positionH relativeFrom="column">
              <wp:posOffset>2085431</wp:posOffset>
            </wp:positionH>
            <wp:positionV relativeFrom="paragraph">
              <wp:posOffset>133350</wp:posOffset>
            </wp:positionV>
            <wp:extent cx="1141095" cy="1117600"/>
            <wp:effectExtent l="0" t="0" r="1905" b="6350"/>
            <wp:wrapTight wrapText="bothSides">
              <wp:wrapPolygon edited="0">
                <wp:start x="0" y="0"/>
                <wp:lineTo x="0" y="21355"/>
                <wp:lineTo x="21275" y="21355"/>
                <wp:lineTo x="212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095" cy="1117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ECFD482" w14:textId="07F3A759" w:rsidR="007757AB" w:rsidRPr="0035519F" w:rsidRDefault="007757AB" w:rsidP="00BA23FD">
      <w:pPr>
        <w:jc w:val="center"/>
        <w:rPr>
          <w:rFonts w:ascii="Arial" w:hAnsi="Arial" w:cs="Arial"/>
          <w:b/>
        </w:rPr>
      </w:pPr>
    </w:p>
    <w:p w14:paraId="7618589D" w14:textId="1D852FCF" w:rsidR="007757AB" w:rsidRPr="0035519F" w:rsidRDefault="007757AB" w:rsidP="00BA23FD">
      <w:pPr>
        <w:jc w:val="center"/>
        <w:rPr>
          <w:rFonts w:ascii="Arial" w:hAnsi="Arial" w:cs="Arial"/>
          <w:b/>
        </w:rPr>
      </w:pPr>
    </w:p>
    <w:p w14:paraId="1F0C73A0" w14:textId="4F262B4E" w:rsidR="007757AB" w:rsidRPr="0035519F" w:rsidRDefault="007757AB" w:rsidP="00BA23FD">
      <w:pPr>
        <w:jc w:val="center"/>
        <w:rPr>
          <w:rFonts w:ascii="Arial" w:hAnsi="Arial" w:cs="Arial"/>
          <w:b/>
        </w:rPr>
      </w:pPr>
    </w:p>
    <w:p w14:paraId="3BBC8CE1" w14:textId="00AB6C3D" w:rsidR="007757AB" w:rsidRPr="0035519F" w:rsidRDefault="007757AB" w:rsidP="00BA23FD">
      <w:pPr>
        <w:jc w:val="center"/>
        <w:rPr>
          <w:rFonts w:ascii="Arial" w:hAnsi="Arial" w:cs="Arial"/>
          <w:b/>
        </w:rPr>
      </w:pPr>
    </w:p>
    <w:p w14:paraId="4B755FB7" w14:textId="79596496" w:rsidR="007757AB" w:rsidRPr="0035519F" w:rsidRDefault="007757AB" w:rsidP="00BA23FD">
      <w:pPr>
        <w:jc w:val="center"/>
        <w:rPr>
          <w:rFonts w:ascii="Arial" w:hAnsi="Arial" w:cs="Arial"/>
          <w:b/>
        </w:rPr>
      </w:pPr>
    </w:p>
    <w:p w14:paraId="70E5D05C" w14:textId="60700C54" w:rsidR="00F366CB" w:rsidRPr="0035519F" w:rsidRDefault="00F366CB" w:rsidP="00BA23FD">
      <w:pPr>
        <w:jc w:val="center"/>
        <w:rPr>
          <w:rFonts w:ascii="Arial" w:hAnsi="Arial" w:cs="Arial"/>
          <w:b/>
          <w:sz w:val="24"/>
          <w:szCs w:val="24"/>
        </w:rPr>
      </w:pPr>
    </w:p>
    <w:p w14:paraId="3B77544E" w14:textId="67448627" w:rsidR="00F366CB" w:rsidRPr="0035519F" w:rsidRDefault="00F366CB" w:rsidP="00BA23FD">
      <w:pPr>
        <w:jc w:val="center"/>
        <w:rPr>
          <w:rFonts w:ascii="Arial" w:hAnsi="Arial" w:cs="Arial"/>
          <w:b/>
          <w:sz w:val="24"/>
          <w:szCs w:val="24"/>
        </w:rPr>
      </w:pPr>
    </w:p>
    <w:p w14:paraId="6BEA09FA" w14:textId="11C6C78E" w:rsidR="007757AB" w:rsidRPr="0035519F" w:rsidRDefault="007757AB" w:rsidP="00BA23FD">
      <w:pPr>
        <w:jc w:val="center"/>
        <w:rPr>
          <w:rFonts w:ascii="Arial" w:hAnsi="Arial" w:cs="Arial"/>
          <w:b/>
          <w:sz w:val="24"/>
          <w:szCs w:val="24"/>
        </w:rPr>
      </w:pPr>
      <w:r w:rsidRPr="0035519F">
        <w:rPr>
          <w:rFonts w:ascii="Arial" w:hAnsi="Arial" w:cs="Arial"/>
          <w:b/>
          <w:sz w:val="24"/>
          <w:szCs w:val="24"/>
        </w:rPr>
        <w:t>PROGR</w:t>
      </w:r>
      <w:r w:rsidR="00F468A7" w:rsidRPr="0035519F">
        <w:rPr>
          <w:rFonts w:ascii="Arial" w:hAnsi="Arial" w:cs="Arial"/>
          <w:b/>
          <w:sz w:val="24"/>
          <w:szCs w:val="24"/>
        </w:rPr>
        <w:t>AM PENDIDIKAN DOKTER SPESIALIS</w:t>
      </w:r>
    </w:p>
    <w:p w14:paraId="0C8DAD44" w14:textId="0079CE9B" w:rsidR="007757AB" w:rsidRPr="0035519F" w:rsidRDefault="007757AB" w:rsidP="00BA23FD">
      <w:pPr>
        <w:jc w:val="center"/>
        <w:rPr>
          <w:rFonts w:ascii="Arial" w:hAnsi="Arial" w:cs="Arial"/>
          <w:b/>
          <w:sz w:val="24"/>
          <w:szCs w:val="24"/>
        </w:rPr>
      </w:pPr>
      <w:r w:rsidRPr="0035519F">
        <w:rPr>
          <w:rFonts w:ascii="Arial" w:hAnsi="Arial" w:cs="Arial"/>
          <w:b/>
          <w:sz w:val="24"/>
          <w:szCs w:val="24"/>
        </w:rPr>
        <w:t>PROGRAM STUDI ILMU PATOLOGI KLINIK</w:t>
      </w:r>
    </w:p>
    <w:p w14:paraId="323CBD7B" w14:textId="536C8105" w:rsidR="007757AB" w:rsidRPr="0035519F" w:rsidRDefault="007757AB" w:rsidP="00BA23FD">
      <w:pPr>
        <w:jc w:val="center"/>
        <w:rPr>
          <w:rFonts w:ascii="Arial" w:hAnsi="Arial" w:cs="Arial"/>
          <w:b/>
          <w:sz w:val="24"/>
          <w:szCs w:val="24"/>
        </w:rPr>
      </w:pPr>
      <w:r w:rsidRPr="0035519F">
        <w:rPr>
          <w:rFonts w:ascii="Arial" w:hAnsi="Arial" w:cs="Arial"/>
          <w:b/>
          <w:sz w:val="24"/>
          <w:szCs w:val="24"/>
        </w:rPr>
        <w:t>FAKULTAS KEDOKTERAN UNIVERSITAS HASANUDDIN</w:t>
      </w:r>
    </w:p>
    <w:p w14:paraId="5F3DDEDD" w14:textId="70C8ED68" w:rsidR="007757AB" w:rsidRPr="0035519F" w:rsidRDefault="007757AB" w:rsidP="00BA23FD">
      <w:pPr>
        <w:jc w:val="center"/>
        <w:rPr>
          <w:rFonts w:ascii="Arial" w:hAnsi="Arial" w:cs="Arial"/>
          <w:b/>
          <w:sz w:val="24"/>
          <w:szCs w:val="24"/>
        </w:rPr>
      </w:pPr>
      <w:r w:rsidRPr="0035519F">
        <w:rPr>
          <w:rFonts w:ascii="Arial" w:hAnsi="Arial" w:cs="Arial"/>
          <w:b/>
          <w:sz w:val="24"/>
          <w:szCs w:val="24"/>
        </w:rPr>
        <w:t>MAKASSAR</w:t>
      </w:r>
    </w:p>
    <w:p w14:paraId="639BB38D" w14:textId="7853F75C" w:rsidR="007757AB" w:rsidRPr="0035519F" w:rsidRDefault="0043450B" w:rsidP="00BA23FD">
      <w:pPr>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56576" behindDoc="0" locked="0" layoutInCell="1" allowOverlap="1" wp14:anchorId="48458419" wp14:editId="5BB5FBB3">
                <wp:simplePos x="0" y="0"/>
                <wp:positionH relativeFrom="column">
                  <wp:posOffset>5162639</wp:posOffset>
                </wp:positionH>
                <wp:positionV relativeFrom="paragraph">
                  <wp:posOffset>1179476</wp:posOffset>
                </wp:positionV>
                <wp:extent cx="152400" cy="170121"/>
                <wp:effectExtent l="0" t="0" r="0" b="1905"/>
                <wp:wrapNone/>
                <wp:docPr id="16" name="Rectangle 16"/>
                <wp:cNvGraphicFramePr/>
                <a:graphic xmlns:a="http://schemas.openxmlformats.org/drawingml/2006/main">
                  <a:graphicData uri="http://schemas.microsoft.com/office/word/2010/wordprocessingShape">
                    <wps:wsp>
                      <wps:cNvSpPr/>
                      <wps:spPr>
                        <a:xfrm>
                          <a:off x="0" y="0"/>
                          <a:ext cx="152400" cy="170121"/>
                        </a:xfrm>
                        <a:prstGeom prst="rect">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185B2" id="Rectangle 16" o:spid="_x0000_s1026" style="position:absolute;margin-left:406.5pt;margin-top:92.85pt;width:12pt;height:13.4pt;z-index:25205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" fillcolor="white [3212]" stroked="f" strokeweight="1pt"/>
            </w:pict>
          </mc:Fallback>
        </mc:AlternateContent>
      </w:r>
      <w:r w:rsidR="007757AB" w:rsidRPr="0035519F">
        <w:rPr>
          <w:rFonts w:ascii="Arial" w:hAnsi="Arial" w:cs="Arial"/>
          <w:b/>
          <w:noProof/>
          <w:sz w:val="24"/>
          <w:szCs w:val="24"/>
        </w:rPr>
        <mc:AlternateContent>
          <mc:Choice Requires="wps">
            <w:drawing>
              <wp:anchor distT="0" distB="0" distL="114300" distR="114300" simplePos="0" relativeHeight="251707392" behindDoc="0" locked="0" layoutInCell="1" allowOverlap="1" wp14:anchorId="6C3C36B1" wp14:editId="5D0B22C8">
                <wp:simplePos x="0" y="0"/>
                <wp:positionH relativeFrom="column">
                  <wp:posOffset>5160645</wp:posOffset>
                </wp:positionH>
                <wp:positionV relativeFrom="paragraph">
                  <wp:posOffset>548005</wp:posOffset>
                </wp:positionV>
                <wp:extent cx="152400" cy="228600"/>
                <wp:effectExtent l="0" t="0" r="0" b="0"/>
                <wp:wrapNone/>
                <wp:docPr id="241" name="Rectangle 241"/>
                <wp:cNvGraphicFramePr/>
                <a:graphic xmlns:a="http://schemas.openxmlformats.org/drawingml/2006/main">
                  <a:graphicData uri="http://schemas.microsoft.com/office/word/2010/wordprocessingShape">
                    <wps:wsp>
                      <wps:cNvSpPr/>
                      <wps:spPr>
                        <a:xfrm>
                          <a:off x="0" y="0"/>
                          <a:ext cx="152400" cy="228600"/>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9F79B" id="Rectangle 241" o:spid="_x0000_s1026" style="position:absolute;margin-left:406.35pt;margin-top:43.15pt;width:12pt;height:1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" fillcolor="white [3201]" stroked="f" strokeweight="1pt"/>
            </w:pict>
          </mc:Fallback>
        </mc:AlternateContent>
      </w:r>
      <w:r w:rsidR="00746352" w:rsidRPr="0035519F">
        <w:rPr>
          <w:rFonts w:ascii="Arial" w:hAnsi="Arial" w:cs="Arial"/>
          <w:b/>
          <w:sz w:val="24"/>
          <w:szCs w:val="24"/>
        </w:rPr>
        <w:t>2022</w:t>
      </w:r>
      <w:r w:rsidR="007757AB" w:rsidRPr="0035519F">
        <w:rPr>
          <w:rFonts w:ascii="Arial" w:hAnsi="Arial" w:cs="Arial"/>
          <w:b/>
        </w:rPr>
        <w:br w:type="page"/>
      </w:r>
    </w:p>
    <w:p w14:paraId="67441E4F" w14:textId="77777777" w:rsidR="007A22B7" w:rsidRPr="0035519F" w:rsidRDefault="007A22B7" w:rsidP="00BA23FD">
      <w:pPr>
        <w:jc w:val="center"/>
        <w:rPr>
          <w:rFonts w:ascii="Arial" w:hAnsi="Arial" w:cs="Arial"/>
          <w:b/>
          <w:sz w:val="28"/>
          <w:szCs w:val="24"/>
          <w:lang w:val="id-ID"/>
        </w:rPr>
        <w:sectPr w:rsidR="007A22B7" w:rsidRPr="0035519F" w:rsidSect="007A22B7">
          <w:footerReference w:type="default" r:id="rId9"/>
          <w:pgSz w:w="12240" w:h="15840"/>
          <w:pgMar w:top="2268" w:right="1701" w:bottom="1701" w:left="2268" w:header="709" w:footer="709" w:gutter="0"/>
          <w:pgNumType w:start="1"/>
          <w:cols w:space="708"/>
          <w:docGrid w:linePitch="360"/>
        </w:sectPr>
      </w:pPr>
    </w:p>
    <w:p w14:paraId="3B4BA0BB" w14:textId="4975B5FA" w:rsidR="00F366CB" w:rsidRPr="0035519F" w:rsidRDefault="00F366CB" w:rsidP="00BA23FD">
      <w:pPr>
        <w:jc w:val="center"/>
        <w:rPr>
          <w:rFonts w:ascii="Arial" w:hAnsi="Arial" w:cs="Arial"/>
          <w:b/>
          <w:sz w:val="28"/>
        </w:rPr>
      </w:pPr>
      <w:r w:rsidRPr="0035519F">
        <w:rPr>
          <w:rFonts w:ascii="Arial" w:hAnsi="Arial" w:cs="Arial"/>
          <w:b/>
          <w:sz w:val="28"/>
          <w:lang w:val="id-ID"/>
        </w:rPr>
        <w:lastRenderedPageBreak/>
        <w:t xml:space="preserve">ANALISIS </w:t>
      </w:r>
      <w:r w:rsidRPr="0035519F">
        <w:rPr>
          <w:rFonts w:ascii="Arial" w:hAnsi="Arial" w:cs="Arial"/>
          <w:b/>
          <w:sz w:val="28"/>
        </w:rPr>
        <w:t>RESISTENSI INSULIN</w:t>
      </w:r>
      <w:r w:rsidRPr="0035519F">
        <w:rPr>
          <w:rFonts w:ascii="Arial" w:hAnsi="Arial" w:cs="Arial"/>
          <w:b/>
          <w:sz w:val="28"/>
          <w:lang w:val="id-ID"/>
        </w:rPr>
        <w:t xml:space="preserve"> </w:t>
      </w:r>
      <w:r w:rsidR="007D1566" w:rsidRPr="0035519F">
        <w:rPr>
          <w:rFonts w:ascii="Arial" w:hAnsi="Arial" w:cs="Arial"/>
          <w:b/>
          <w:sz w:val="28"/>
        </w:rPr>
        <w:t>D</w:t>
      </w:r>
      <w:r w:rsidR="00F8103D" w:rsidRPr="0035519F">
        <w:rPr>
          <w:rFonts w:ascii="Arial" w:hAnsi="Arial" w:cs="Arial"/>
          <w:b/>
          <w:sz w:val="28"/>
        </w:rPr>
        <w:t>ENG</w:t>
      </w:r>
      <w:r w:rsidR="007D1566" w:rsidRPr="0035519F">
        <w:rPr>
          <w:rFonts w:ascii="Arial" w:hAnsi="Arial" w:cs="Arial"/>
          <w:b/>
          <w:sz w:val="28"/>
        </w:rPr>
        <w:t>AN</w:t>
      </w:r>
      <w:r w:rsidRPr="0035519F">
        <w:rPr>
          <w:rFonts w:ascii="Arial" w:hAnsi="Arial" w:cs="Arial"/>
          <w:b/>
          <w:sz w:val="28"/>
          <w:lang w:val="id-ID"/>
        </w:rPr>
        <w:t xml:space="preserve">  </w:t>
      </w:r>
      <w:r w:rsidRPr="0035519F">
        <w:rPr>
          <w:rFonts w:ascii="Arial" w:hAnsi="Arial" w:cs="Arial"/>
          <w:b/>
          <w:i/>
          <w:sz w:val="28"/>
        </w:rPr>
        <w:t>INSULIN-LIKE GROWTH FACTOR 1</w:t>
      </w:r>
      <w:r w:rsidRPr="0035519F">
        <w:rPr>
          <w:rFonts w:ascii="Arial" w:hAnsi="Arial" w:cs="Arial"/>
          <w:b/>
          <w:sz w:val="28"/>
        </w:rPr>
        <w:t xml:space="preserve"> (</w:t>
      </w:r>
      <w:r w:rsidRPr="0035519F">
        <w:rPr>
          <w:rFonts w:ascii="Arial" w:hAnsi="Arial" w:cs="Arial"/>
          <w:b/>
          <w:sz w:val="28"/>
          <w:lang w:val="id-ID"/>
        </w:rPr>
        <w:t>IGF-1</w:t>
      </w:r>
      <w:r w:rsidRPr="0035519F">
        <w:rPr>
          <w:rFonts w:ascii="Arial" w:hAnsi="Arial" w:cs="Arial"/>
          <w:b/>
          <w:sz w:val="28"/>
        </w:rPr>
        <w:t>)</w:t>
      </w:r>
      <w:r w:rsidRPr="0035519F">
        <w:rPr>
          <w:rFonts w:ascii="Arial" w:hAnsi="Arial" w:cs="Arial"/>
          <w:b/>
          <w:sz w:val="28"/>
          <w:lang w:val="id-ID"/>
        </w:rPr>
        <w:t xml:space="preserve"> </w:t>
      </w:r>
      <w:r w:rsidRPr="0035519F">
        <w:rPr>
          <w:rFonts w:ascii="Arial" w:hAnsi="Arial" w:cs="Arial"/>
          <w:b/>
          <w:sz w:val="28"/>
        </w:rPr>
        <w:t xml:space="preserve">PADA DEWASA </w:t>
      </w:r>
      <w:r w:rsidRPr="0035519F">
        <w:rPr>
          <w:rFonts w:ascii="Arial" w:hAnsi="Arial" w:cs="Arial"/>
          <w:b/>
          <w:i/>
          <w:sz w:val="28"/>
        </w:rPr>
        <w:t>NON DIABETES MELLITUS</w:t>
      </w:r>
      <w:r w:rsidRPr="0035519F">
        <w:rPr>
          <w:rFonts w:ascii="Arial" w:hAnsi="Arial" w:cs="Arial"/>
          <w:b/>
          <w:sz w:val="28"/>
        </w:rPr>
        <w:t xml:space="preserve"> (DM) DENGAN DAN TANPA OBESITAS SENTRAL</w:t>
      </w:r>
    </w:p>
    <w:p w14:paraId="2611C185" w14:textId="469B3F6A" w:rsidR="003B3EAA" w:rsidRPr="0035519F" w:rsidRDefault="003B3EAA" w:rsidP="00BA23FD">
      <w:pPr>
        <w:jc w:val="center"/>
        <w:rPr>
          <w:rFonts w:ascii="Arial" w:hAnsi="Arial" w:cs="Arial"/>
          <w:b/>
          <w:sz w:val="24"/>
          <w:szCs w:val="24"/>
        </w:rPr>
      </w:pPr>
    </w:p>
    <w:p w14:paraId="4CDCA03F" w14:textId="77777777" w:rsidR="003B3EAA" w:rsidRPr="0035519F" w:rsidRDefault="003B3EAA" w:rsidP="00BA23FD">
      <w:pPr>
        <w:jc w:val="center"/>
        <w:rPr>
          <w:rFonts w:ascii="Arial" w:hAnsi="Arial" w:cs="Arial"/>
          <w:b/>
          <w:sz w:val="24"/>
          <w:szCs w:val="24"/>
        </w:rPr>
      </w:pPr>
    </w:p>
    <w:p w14:paraId="4AAFE25B" w14:textId="77777777" w:rsidR="006468B1" w:rsidRPr="0035519F" w:rsidRDefault="006468B1" w:rsidP="00BA23FD">
      <w:pPr>
        <w:jc w:val="center"/>
        <w:rPr>
          <w:rFonts w:ascii="Arial" w:hAnsi="Arial" w:cs="Arial"/>
          <w:b/>
          <w:sz w:val="24"/>
          <w:szCs w:val="24"/>
        </w:rPr>
      </w:pPr>
      <w:r w:rsidRPr="0035519F">
        <w:rPr>
          <w:rFonts w:ascii="Arial" w:hAnsi="Arial" w:cs="Arial"/>
          <w:b/>
          <w:sz w:val="24"/>
          <w:szCs w:val="24"/>
        </w:rPr>
        <w:t>Karya Akhir</w:t>
      </w:r>
    </w:p>
    <w:p w14:paraId="588B97DF" w14:textId="77777777" w:rsidR="00F366CB" w:rsidRPr="0035519F" w:rsidRDefault="006468B1" w:rsidP="00BA23FD">
      <w:pPr>
        <w:jc w:val="center"/>
        <w:rPr>
          <w:rFonts w:ascii="Arial" w:hAnsi="Arial" w:cs="Arial"/>
          <w:b/>
          <w:sz w:val="24"/>
          <w:szCs w:val="24"/>
        </w:rPr>
      </w:pPr>
      <w:r w:rsidRPr="0035519F">
        <w:rPr>
          <w:rFonts w:ascii="Arial" w:hAnsi="Arial" w:cs="Arial"/>
          <w:b/>
          <w:sz w:val="24"/>
          <w:szCs w:val="24"/>
        </w:rPr>
        <w:t>Sebagai Salah Satu Syarat Mencapai Gelar Spesialis</w:t>
      </w:r>
    </w:p>
    <w:p w14:paraId="7E4E258B" w14:textId="77777777" w:rsidR="00F366CB" w:rsidRPr="0035519F" w:rsidRDefault="00F366CB" w:rsidP="00BA23FD">
      <w:pPr>
        <w:jc w:val="center"/>
        <w:rPr>
          <w:rFonts w:ascii="Arial" w:hAnsi="Arial" w:cs="Arial"/>
          <w:b/>
          <w:sz w:val="24"/>
          <w:szCs w:val="24"/>
        </w:rPr>
      </w:pPr>
    </w:p>
    <w:p w14:paraId="1703360B" w14:textId="77777777" w:rsidR="006468B1" w:rsidRPr="0035519F" w:rsidRDefault="006468B1" w:rsidP="00BA23FD">
      <w:pPr>
        <w:jc w:val="center"/>
        <w:rPr>
          <w:rFonts w:ascii="Arial" w:hAnsi="Arial" w:cs="Arial"/>
          <w:b/>
          <w:sz w:val="24"/>
          <w:szCs w:val="24"/>
        </w:rPr>
      </w:pPr>
      <w:r w:rsidRPr="0035519F">
        <w:rPr>
          <w:rFonts w:ascii="Arial" w:hAnsi="Arial" w:cs="Arial"/>
          <w:b/>
          <w:sz w:val="24"/>
          <w:szCs w:val="24"/>
        </w:rPr>
        <w:t>Program Studi</w:t>
      </w:r>
    </w:p>
    <w:p w14:paraId="713CF0E0" w14:textId="77777777" w:rsidR="00F366CB" w:rsidRPr="0035519F" w:rsidRDefault="006468B1" w:rsidP="00BA23FD">
      <w:pPr>
        <w:jc w:val="center"/>
        <w:rPr>
          <w:rFonts w:ascii="Arial" w:hAnsi="Arial" w:cs="Arial"/>
          <w:b/>
          <w:sz w:val="24"/>
          <w:szCs w:val="24"/>
        </w:rPr>
      </w:pPr>
      <w:r w:rsidRPr="0035519F">
        <w:rPr>
          <w:rFonts w:ascii="Arial" w:hAnsi="Arial" w:cs="Arial"/>
          <w:b/>
          <w:sz w:val="24"/>
          <w:szCs w:val="24"/>
        </w:rPr>
        <w:t>Ilmu Patologi Klinik</w:t>
      </w:r>
    </w:p>
    <w:p w14:paraId="49F1BA02" w14:textId="77777777" w:rsidR="00F366CB" w:rsidRPr="0035519F" w:rsidRDefault="00F366CB" w:rsidP="00BA23FD">
      <w:pPr>
        <w:jc w:val="center"/>
        <w:rPr>
          <w:rFonts w:ascii="Arial" w:hAnsi="Arial" w:cs="Arial"/>
          <w:b/>
          <w:sz w:val="24"/>
          <w:szCs w:val="24"/>
        </w:rPr>
      </w:pPr>
    </w:p>
    <w:p w14:paraId="5979C9A6" w14:textId="77777777" w:rsidR="006468B1" w:rsidRPr="0035519F" w:rsidRDefault="006468B1" w:rsidP="00BA23FD">
      <w:pPr>
        <w:jc w:val="center"/>
        <w:rPr>
          <w:rFonts w:ascii="Arial" w:hAnsi="Arial" w:cs="Arial"/>
          <w:b/>
          <w:sz w:val="24"/>
          <w:szCs w:val="24"/>
        </w:rPr>
      </w:pPr>
      <w:r w:rsidRPr="0035519F">
        <w:rPr>
          <w:rFonts w:ascii="Arial" w:hAnsi="Arial" w:cs="Arial"/>
          <w:b/>
          <w:sz w:val="24"/>
          <w:szCs w:val="24"/>
        </w:rPr>
        <w:t>Disusun dan Diajukan oleh</w:t>
      </w:r>
    </w:p>
    <w:p w14:paraId="3EAA8AEF" w14:textId="59A3E82B" w:rsidR="003B3EAA" w:rsidRPr="0035519F" w:rsidRDefault="003B3EAA" w:rsidP="00BA23FD">
      <w:pPr>
        <w:jc w:val="center"/>
        <w:rPr>
          <w:rFonts w:ascii="Arial" w:hAnsi="Arial" w:cs="Arial"/>
          <w:b/>
          <w:sz w:val="24"/>
          <w:szCs w:val="24"/>
        </w:rPr>
      </w:pPr>
    </w:p>
    <w:p w14:paraId="000E8ED2" w14:textId="77777777" w:rsidR="003B3EAA" w:rsidRPr="0035519F" w:rsidRDefault="003B3EAA" w:rsidP="00BA23FD">
      <w:pPr>
        <w:jc w:val="center"/>
        <w:rPr>
          <w:rFonts w:ascii="Arial" w:hAnsi="Arial" w:cs="Arial"/>
          <w:b/>
          <w:sz w:val="24"/>
          <w:szCs w:val="24"/>
        </w:rPr>
      </w:pPr>
    </w:p>
    <w:p w14:paraId="338ED2CB" w14:textId="77777777" w:rsidR="006468B1" w:rsidRPr="0035519F" w:rsidRDefault="00F366CB" w:rsidP="00BA23FD">
      <w:pPr>
        <w:jc w:val="center"/>
        <w:rPr>
          <w:rFonts w:ascii="Arial" w:hAnsi="Arial" w:cs="Arial"/>
          <w:b/>
          <w:sz w:val="26"/>
          <w:szCs w:val="24"/>
        </w:rPr>
      </w:pPr>
      <w:r w:rsidRPr="0035519F">
        <w:rPr>
          <w:rFonts w:ascii="Arial" w:hAnsi="Arial" w:cs="Arial"/>
          <w:b/>
          <w:sz w:val="26"/>
          <w:szCs w:val="24"/>
        </w:rPr>
        <w:t>ABD. RAHIM MUBARAK C085172002</w:t>
      </w:r>
    </w:p>
    <w:p w14:paraId="09398CAB" w14:textId="77777777" w:rsidR="006468B1" w:rsidRPr="0035519F" w:rsidRDefault="006468B1" w:rsidP="00BA23FD">
      <w:pPr>
        <w:jc w:val="center"/>
        <w:rPr>
          <w:rFonts w:ascii="Arial" w:hAnsi="Arial" w:cs="Arial"/>
          <w:b/>
          <w:sz w:val="24"/>
          <w:szCs w:val="24"/>
        </w:rPr>
      </w:pPr>
    </w:p>
    <w:p w14:paraId="7FD62434" w14:textId="77777777" w:rsidR="006468B1" w:rsidRPr="0035519F" w:rsidRDefault="006468B1" w:rsidP="00BA23FD">
      <w:pPr>
        <w:jc w:val="center"/>
        <w:rPr>
          <w:rFonts w:ascii="Arial" w:hAnsi="Arial" w:cs="Arial"/>
          <w:b/>
          <w:sz w:val="24"/>
          <w:szCs w:val="24"/>
        </w:rPr>
      </w:pPr>
      <w:r w:rsidRPr="0035519F">
        <w:rPr>
          <w:rFonts w:ascii="Arial" w:hAnsi="Arial" w:cs="Arial"/>
          <w:b/>
          <w:sz w:val="24"/>
          <w:szCs w:val="24"/>
        </w:rPr>
        <w:t>Kepada</w:t>
      </w:r>
    </w:p>
    <w:p w14:paraId="5537E5E9" w14:textId="77777777" w:rsidR="00F366CB" w:rsidRPr="0035519F" w:rsidRDefault="00F366CB" w:rsidP="00BA23FD">
      <w:pPr>
        <w:jc w:val="center"/>
        <w:rPr>
          <w:rFonts w:ascii="Arial" w:hAnsi="Arial" w:cs="Arial"/>
          <w:b/>
          <w:sz w:val="24"/>
          <w:szCs w:val="24"/>
        </w:rPr>
      </w:pPr>
    </w:p>
    <w:p w14:paraId="5C7C01C5" w14:textId="77777777" w:rsidR="00A92C37" w:rsidRPr="0035519F" w:rsidRDefault="006468B1" w:rsidP="003B3EAA">
      <w:pPr>
        <w:spacing w:line="360" w:lineRule="auto"/>
        <w:jc w:val="center"/>
        <w:rPr>
          <w:rFonts w:ascii="Arial" w:hAnsi="Arial" w:cs="Arial"/>
          <w:b/>
          <w:sz w:val="28"/>
          <w:szCs w:val="28"/>
        </w:rPr>
      </w:pPr>
      <w:r w:rsidRPr="0035519F">
        <w:rPr>
          <w:rFonts w:ascii="Arial" w:hAnsi="Arial" w:cs="Arial"/>
          <w:b/>
          <w:sz w:val="28"/>
          <w:szCs w:val="28"/>
        </w:rPr>
        <w:t>PROGRAM PENDIDIKAN DOKTER SPESIALIS</w:t>
      </w:r>
    </w:p>
    <w:p w14:paraId="1C5CD283" w14:textId="77777777" w:rsidR="00A92C37" w:rsidRPr="0035519F" w:rsidRDefault="006468B1" w:rsidP="003B3EAA">
      <w:pPr>
        <w:spacing w:line="360" w:lineRule="auto"/>
        <w:jc w:val="center"/>
        <w:rPr>
          <w:rFonts w:ascii="Arial" w:hAnsi="Arial" w:cs="Arial"/>
          <w:b/>
          <w:sz w:val="28"/>
          <w:szCs w:val="28"/>
        </w:rPr>
      </w:pPr>
      <w:r w:rsidRPr="0035519F">
        <w:rPr>
          <w:rFonts w:ascii="Arial" w:hAnsi="Arial" w:cs="Arial"/>
          <w:b/>
          <w:sz w:val="28"/>
          <w:szCs w:val="28"/>
        </w:rPr>
        <w:t>DEPARTEMEN ILMU PATOLOGI KLINIK</w:t>
      </w:r>
    </w:p>
    <w:p w14:paraId="3004AD4E" w14:textId="77777777" w:rsidR="006468B1" w:rsidRPr="0035519F" w:rsidRDefault="006468B1" w:rsidP="003B3EAA">
      <w:pPr>
        <w:spacing w:line="360" w:lineRule="auto"/>
        <w:jc w:val="center"/>
        <w:rPr>
          <w:rFonts w:ascii="Arial" w:hAnsi="Arial" w:cs="Arial"/>
          <w:b/>
          <w:sz w:val="28"/>
          <w:szCs w:val="28"/>
        </w:rPr>
      </w:pPr>
      <w:r w:rsidRPr="0035519F">
        <w:rPr>
          <w:rFonts w:ascii="Arial" w:hAnsi="Arial" w:cs="Arial"/>
          <w:b/>
          <w:sz w:val="28"/>
          <w:szCs w:val="28"/>
        </w:rPr>
        <w:t>FAKULTAS KEDOKTERAN</w:t>
      </w:r>
    </w:p>
    <w:p w14:paraId="3E794847" w14:textId="77777777" w:rsidR="00F366CB" w:rsidRPr="0035519F" w:rsidRDefault="006468B1" w:rsidP="003B3EAA">
      <w:pPr>
        <w:spacing w:line="360" w:lineRule="auto"/>
        <w:jc w:val="center"/>
        <w:rPr>
          <w:rFonts w:ascii="Arial" w:hAnsi="Arial" w:cs="Arial"/>
          <w:b/>
          <w:sz w:val="28"/>
          <w:szCs w:val="28"/>
        </w:rPr>
      </w:pPr>
      <w:r w:rsidRPr="0035519F">
        <w:rPr>
          <w:rFonts w:ascii="Arial" w:hAnsi="Arial" w:cs="Arial"/>
          <w:b/>
          <w:sz w:val="28"/>
          <w:szCs w:val="28"/>
        </w:rPr>
        <w:t>UNIVERSITAS HASANUDDIN</w:t>
      </w:r>
    </w:p>
    <w:p w14:paraId="4DD69572" w14:textId="77777777" w:rsidR="00F366CB" w:rsidRPr="0035519F" w:rsidRDefault="00F366CB" w:rsidP="003B3EAA">
      <w:pPr>
        <w:spacing w:line="360" w:lineRule="auto"/>
        <w:jc w:val="center"/>
        <w:rPr>
          <w:rFonts w:ascii="Arial" w:hAnsi="Arial" w:cs="Arial"/>
          <w:b/>
          <w:sz w:val="28"/>
          <w:szCs w:val="28"/>
        </w:rPr>
      </w:pPr>
      <w:r w:rsidRPr="0035519F">
        <w:rPr>
          <w:rFonts w:ascii="Arial" w:hAnsi="Arial" w:cs="Arial"/>
          <w:b/>
          <w:sz w:val="28"/>
          <w:szCs w:val="28"/>
        </w:rPr>
        <w:t>MAKASSAR</w:t>
      </w:r>
    </w:p>
    <w:p w14:paraId="3C302575" w14:textId="0C77384C" w:rsidR="006468B1" w:rsidRPr="0035519F" w:rsidRDefault="00F366CB" w:rsidP="003B3EAA">
      <w:pPr>
        <w:spacing w:line="360" w:lineRule="auto"/>
        <w:jc w:val="center"/>
        <w:rPr>
          <w:rFonts w:ascii="Arial" w:hAnsi="Arial" w:cs="Arial"/>
          <w:b/>
          <w:sz w:val="28"/>
          <w:szCs w:val="28"/>
        </w:rPr>
      </w:pPr>
      <w:r w:rsidRPr="0035519F">
        <w:rPr>
          <w:rFonts w:ascii="Arial" w:hAnsi="Arial" w:cs="Arial"/>
          <w:b/>
          <w:sz w:val="28"/>
          <w:szCs w:val="28"/>
        </w:rPr>
        <w:t>2022</w:t>
      </w:r>
    </w:p>
    <w:p w14:paraId="29350132" w14:textId="1D6F8583" w:rsidR="00A13545" w:rsidRPr="0035519F" w:rsidRDefault="00A13545" w:rsidP="00A13545">
      <w:pPr>
        <w:spacing w:line="360" w:lineRule="auto"/>
        <w:rPr>
          <w:rFonts w:ascii="Arial" w:hAnsi="Arial" w:cs="Arial"/>
          <w:b/>
          <w:sz w:val="28"/>
          <w:szCs w:val="28"/>
        </w:rPr>
      </w:pPr>
      <w:r w:rsidRPr="0035519F">
        <w:rPr>
          <w:noProof/>
        </w:rPr>
        <w:lastRenderedPageBreak/>
        <w:drawing>
          <wp:anchor distT="0" distB="0" distL="114300" distR="114300" simplePos="0" relativeHeight="252058624" behindDoc="0" locked="0" layoutInCell="1" allowOverlap="1" wp14:anchorId="7DA5930C" wp14:editId="7A050BF6">
            <wp:simplePos x="0" y="0"/>
            <wp:positionH relativeFrom="column">
              <wp:posOffset>-40005</wp:posOffset>
            </wp:positionH>
            <wp:positionV relativeFrom="paragraph">
              <wp:posOffset>0</wp:posOffset>
            </wp:positionV>
            <wp:extent cx="5232400" cy="7848600"/>
            <wp:effectExtent l="0" t="0" r="635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4276" t="15161" r="37069" b="8387"/>
                    <a:stretch/>
                  </pic:blipFill>
                  <pic:spPr bwMode="auto">
                    <a:xfrm>
                      <a:off x="0" y="0"/>
                      <a:ext cx="5232400" cy="784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9BAFA" w14:textId="43424E99" w:rsidR="006468B1" w:rsidRPr="0035519F" w:rsidRDefault="00A13545" w:rsidP="00A13545">
      <w:pPr>
        <w:jc w:val="center"/>
        <w:rPr>
          <w:rFonts w:ascii="Arial" w:hAnsi="Arial" w:cs="Arial"/>
          <w:color w:val="FFFFFF" w:themeColor="background1"/>
          <w:sz w:val="24"/>
          <w:szCs w:val="24"/>
        </w:rPr>
      </w:pPr>
      <w:r w:rsidRPr="0035519F">
        <w:rPr>
          <w:noProof/>
        </w:rPr>
        <w:lastRenderedPageBreak/>
        <w:drawing>
          <wp:anchor distT="0" distB="0" distL="114300" distR="114300" simplePos="0" relativeHeight="252057600" behindDoc="0" locked="0" layoutInCell="1" allowOverlap="1" wp14:anchorId="4C62C77D" wp14:editId="266F4C03">
            <wp:simplePos x="0" y="0"/>
            <wp:positionH relativeFrom="column">
              <wp:posOffset>-1402080</wp:posOffset>
            </wp:positionH>
            <wp:positionV relativeFrom="paragraph">
              <wp:posOffset>-1363980</wp:posOffset>
            </wp:positionV>
            <wp:extent cx="7820025" cy="9116813"/>
            <wp:effectExtent l="0" t="0" r="0" b="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rcRect l="29131" t="16171" r="33946" b="7260"/>
                    <a:stretch/>
                  </pic:blipFill>
                  <pic:spPr bwMode="auto">
                    <a:xfrm>
                      <a:off x="0" y="0"/>
                      <a:ext cx="7820025" cy="91168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68B1" w:rsidRPr="0035519F">
        <w:rPr>
          <w:rFonts w:ascii="Arial" w:hAnsi="Arial" w:cs="Arial"/>
          <w:color w:val="FFFFFF" w:themeColor="background1"/>
          <w:sz w:val="24"/>
          <w:szCs w:val="24"/>
        </w:rPr>
        <w:t>nda tangan di bawah ini:</w:t>
      </w:r>
    </w:p>
    <w:p w14:paraId="3C54A7FB" w14:textId="187ADBCA" w:rsidR="003B3EAA" w:rsidRPr="0035519F" w:rsidRDefault="003B3EAA" w:rsidP="004A0188">
      <w:pPr>
        <w:spacing w:line="240" w:lineRule="auto"/>
        <w:jc w:val="both"/>
        <w:rPr>
          <w:rFonts w:ascii="Arial" w:hAnsi="Arial" w:cs="Arial"/>
          <w:color w:val="FFFFFF" w:themeColor="background1"/>
          <w:sz w:val="24"/>
          <w:szCs w:val="24"/>
        </w:rPr>
      </w:pPr>
    </w:p>
    <w:p w14:paraId="4A46DE17" w14:textId="49B714D5" w:rsidR="006468B1" w:rsidRPr="0035519F" w:rsidRDefault="006468B1" w:rsidP="003B3EAA">
      <w:pPr>
        <w:spacing w:after="0" w:line="240" w:lineRule="auto"/>
        <w:ind w:left="720"/>
        <w:jc w:val="both"/>
        <w:rPr>
          <w:rFonts w:ascii="Arial" w:hAnsi="Arial" w:cs="Arial"/>
          <w:color w:val="FFFFFF" w:themeColor="background1"/>
          <w:sz w:val="24"/>
          <w:szCs w:val="24"/>
        </w:rPr>
      </w:pPr>
      <w:r w:rsidRPr="0035519F">
        <w:rPr>
          <w:rFonts w:ascii="Arial" w:hAnsi="Arial" w:cs="Arial"/>
          <w:color w:val="FFFFFF" w:themeColor="background1"/>
          <w:sz w:val="24"/>
          <w:szCs w:val="24"/>
        </w:rPr>
        <w:t>Nama</w:t>
      </w:r>
      <w:r w:rsidRPr="0035519F">
        <w:rPr>
          <w:rFonts w:ascii="Arial" w:hAnsi="Arial" w:cs="Arial"/>
          <w:color w:val="FFFFFF" w:themeColor="background1"/>
          <w:sz w:val="24"/>
          <w:szCs w:val="24"/>
        </w:rPr>
        <w:tab/>
      </w:r>
      <w:r w:rsidR="00A92C37" w:rsidRPr="0035519F">
        <w:rPr>
          <w:rFonts w:ascii="Arial" w:hAnsi="Arial" w:cs="Arial"/>
          <w:color w:val="FFFFFF" w:themeColor="background1"/>
          <w:sz w:val="24"/>
          <w:szCs w:val="24"/>
        </w:rPr>
        <w:tab/>
      </w:r>
      <w:r w:rsidR="00A92C37" w:rsidRPr="0035519F">
        <w:rPr>
          <w:rFonts w:ascii="Arial" w:hAnsi="Arial" w:cs="Arial"/>
          <w:color w:val="FFFFFF" w:themeColor="background1"/>
          <w:sz w:val="24"/>
          <w:szCs w:val="24"/>
        </w:rPr>
        <w:tab/>
      </w:r>
      <w:r w:rsidRPr="0035519F">
        <w:rPr>
          <w:rFonts w:ascii="Arial" w:hAnsi="Arial" w:cs="Arial"/>
          <w:color w:val="FFFFFF" w:themeColor="background1"/>
          <w:sz w:val="24"/>
          <w:szCs w:val="24"/>
        </w:rPr>
        <w:t xml:space="preserve">: </w:t>
      </w:r>
      <w:r w:rsidR="00A92C37" w:rsidRPr="0035519F">
        <w:rPr>
          <w:rFonts w:ascii="Arial" w:hAnsi="Arial" w:cs="Arial"/>
          <w:color w:val="FFFFFF" w:themeColor="background1"/>
          <w:sz w:val="24"/>
          <w:szCs w:val="24"/>
        </w:rPr>
        <w:t>ABD. RAHIM MUBARAK</w:t>
      </w:r>
    </w:p>
    <w:p w14:paraId="1BC2E6F5" w14:textId="1385798F" w:rsidR="00A92C37" w:rsidRPr="0035519F" w:rsidRDefault="006468B1" w:rsidP="003B3EAA">
      <w:pPr>
        <w:spacing w:after="0" w:line="240" w:lineRule="auto"/>
        <w:ind w:left="720"/>
        <w:jc w:val="both"/>
        <w:rPr>
          <w:rFonts w:ascii="Arial" w:hAnsi="Arial" w:cs="Arial"/>
          <w:color w:val="FFFFFF" w:themeColor="background1"/>
          <w:sz w:val="24"/>
          <w:szCs w:val="24"/>
        </w:rPr>
      </w:pPr>
      <w:r w:rsidRPr="0035519F">
        <w:rPr>
          <w:rFonts w:ascii="Arial" w:hAnsi="Arial" w:cs="Arial"/>
          <w:color w:val="FFFFFF" w:themeColor="background1"/>
          <w:sz w:val="24"/>
          <w:szCs w:val="24"/>
        </w:rPr>
        <w:t>Nomor</w:t>
      </w:r>
      <w:r w:rsidRPr="0035519F">
        <w:rPr>
          <w:rFonts w:ascii="Arial" w:hAnsi="Arial" w:cs="Arial"/>
          <w:color w:val="FFFFFF" w:themeColor="background1"/>
          <w:spacing w:val="-3"/>
          <w:sz w:val="24"/>
          <w:szCs w:val="24"/>
        </w:rPr>
        <w:t xml:space="preserve"> </w:t>
      </w:r>
      <w:r w:rsidR="00A92C37" w:rsidRPr="0035519F">
        <w:rPr>
          <w:rFonts w:ascii="Arial" w:hAnsi="Arial" w:cs="Arial"/>
          <w:color w:val="FFFFFF" w:themeColor="background1"/>
          <w:sz w:val="24"/>
          <w:szCs w:val="24"/>
        </w:rPr>
        <w:t>Pokok</w:t>
      </w:r>
      <w:r w:rsidR="00A92C37" w:rsidRPr="0035519F">
        <w:rPr>
          <w:rFonts w:ascii="Arial" w:hAnsi="Arial" w:cs="Arial"/>
          <w:color w:val="FFFFFF" w:themeColor="background1"/>
          <w:sz w:val="24"/>
          <w:szCs w:val="24"/>
        </w:rPr>
        <w:tab/>
        <w:t>: C085172002</w:t>
      </w:r>
    </w:p>
    <w:p w14:paraId="1F230D3D" w14:textId="77777777" w:rsidR="006468B1" w:rsidRPr="0035519F" w:rsidRDefault="006468B1" w:rsidP="003B3EAA">
      <w:pPr>
        <w:spacing w:after="0" w:line="240" w:lineRule="auto"/>
        <w:ind w:left="720"/>
        <w:jc w:val="both"/>
        <w:rPr>
          <w:rFonts w:ascii="Arial" w:hAnsi="Arial" w:cs="Arial"/>
          <w:color w:val="FFFFFF" w:themeColor="background1"/>
          <w:sz w:val="24"/>
          <w:szCs w:val="24"/>
        </w:rPr>
      </w:pPr>
      <w:r w:rsidRPr="0035519F">
        <w:rPr>
          <w:rFonts w:ascii="Arial" w:hAnsi="Arial" w:cs="Arial"/>
          <w:color w:val="FFFFFF" w:themeColor="background1"/>
          <w:sz w:val="24"/>
          <w:szCs w:val="24"/>
        </w:rPr>
        <w:t>Program</w:t>
      </w:r>
      <w:r w:rsidRPr="0035519F">
        <w:rPr>
          <w:rFonts w:ascii="Arial" w:hAnsi="Arial" w:cs="Arial"/>
          <w:color w:val="FFFFFF" w:themeColor="background1"/>
          <w:spacing w:val="-3"/>
          <w:sz w:val="24"/>
          <w:szCs w:val="24"/>
        </w:rPr>
        <w:t xml:space="preserve"> </w:t>
      </w:r>
      <w:r w:rsidRPr="0035519F">
        <w:rPr>
          <w:rFonts w:ascii="Arial" w:hAnsi="Arial" w:cs="Arial"/>
          <w:color w:val="FFFFFF" w:themeColor="background1"/>
          <w:sz w:val="24"/>
          <w:szCs w:val="24"/>
        </w:rPr>
        <w:t>Studi</w:t>
      </w:r>
      <w:r w:rsidRPr="0035519F">
        <w:rPr>
          <w:rFonts w:ascii="Arial" w:hAnsi="Arial" w:cs="Arial"/>
          <w:color w:val="FFFFFF" w:themeColor="background1"/>
          <w:sz w:val="24"/>
          <w:szCs w:val="24"/>
        </w:rPr>
        <w:tab/>
        <w:t>: Ilmu Patologi</w:t>
      </w:r>
      <w:r w:rsidRPr="0035519F">
        <w:rPr>
          <w:rFonts w:ascii="Arial" w:hAnsi="Arial" w:cs="Arial"/>
          <w:color w:val="FFFFFF" w:themeColor="background1"/>
          <w:spacing w:val="-16"/>
          <w:sz w:val="24"/>
          <w:szCs w:val="24"/>
        </w:rPr>
        <w:t xml:space="preserve"> </w:t>
      </w:r>
      <w:r w:rsidRPr="0035519F">
        <w:rPr>
          <w:rFonts w:ascii="Arial" w:hAnsi="Arial" w:cs="Arial"/>
          <w:color w:val="FFFFFF" w:themeColor="background1"/>
          <w:sz w:val="24"/>
          <w:szCs w:val="24"/>
        </w:rPr>
        <w:t>Klinik</w:t>
      </w:r>
    </w:p>
    <w:p w14:paraId="1EBF9489" w14:textId="77777777" w:rsidR="00A92C37" w:rsidRPr="0035519F" w:rsidRDefault="00A92C37" w:rsidP="004A0188">
      <w:pPr>
        <w:spacing w:line="240" w:lineRule="auto"/>
        <w:jc w:val="center"/>
        <w:rPr>
          <w:rFonts w:ascii="Arial" w:hAnsi="Arial" w:cs="Arial"/>
          <w:b/>
          <w:color w:val="FFFFFF" w:themeColor="background1"/>
          <w:sz w:val="24"/>
          <w:szCs w:val="24"/>
        </w:rPr>
      </w:pPr>
    </w:p>
    <w:p w14:paraId="36B2082A" w14:textId="77777777" w:rsidR="006468B1" w:rsidRPr="0035519F" w:rsidRDefault="006468B1" w:rsidP="004A0188">
      <w:pPr>
        <w:spacing w:line="240" w:lineRule="auto"/>
        <w:jc w:val="both"/>
        <w:rPr>
          <w:rFonts w:ascii="Arial" w:hAnsi="Arial" w:cs="Arial"/>
          <w:b/>
          <w:color w:val="FFFFFF" w:themeColor="background1"/>
          <w:sz w:val="24"/>
          <w:szCs w:val="24"/>
        </w:rPr>
      </w:pPr>
      <w:r w:rsidRPr="0035519F">
        <w:rPr>
          <w:rFonts w:ascii="Arial" w:hAnsi="Arial" w:cs="Arial"/>
          <w:color w:val="FFFFFF" w:themeColor="background1"/>
          <w:sz w:val="24"/>
          <w:szCs w:val="24"/>
        </w:rPr>
        <w:t>Menyatakan dengan sebenarnya bahwa tesis yang saya tulis ini, benar-benar merupakan hasil karya saya sendiri, bukan merupakan pengambilalihan</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tulisan</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atau</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pemikiran</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orang</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lain.</w:t>
      </w:r>
      <w:r w:rsidRPr="0035519F">
        <w:rPr>
          <w:rFonts w:ascii="Arial" w:hAnsi="Arial" w:cs="Arial"/>
          <w:color w:val="FFFFFF" w:themeColor="background1"/>
          <w:spacing w:val="-6"/>
          <w:sz w:val="24"/>
          <w:szCs w:val="24"/>
        </w:rPr>
        <w:t xml:space="preserve"> </w:t>
      </w:r>
      <w:r w:rsidRPr="0035519F">
        <w:rPr>
          <w:rFonts w:ascii="Arial" w:hAnsi="Arial" w:cs="Arial"/>
          <w:color w:val="FFFFFF" w:themeColor="background1"/>
          <w:sz w:val="24"/>
          <w:szCs w:val="24"/>
        </w:rPr>
        <w:t>Apabila</w:t>
      </w:r>
      <w:r w:rsidRPr="0035519F">
        <w:rPr>
          <w:rFonts w:ascii="Arial" w:hAnsi="Arial" w:cs="Arial"/>
          <w:color w:val="FFFFFF" w:themeColor="background1"/>
          <w:spacing w:val="-9"/>
          <w:sz w:val="24"/>
          <w:szCs w:val="24"/>
        </w:rPr>
        <w:t xml:space="preserve"> </w:t>
      </w:r>
      <w:r w:rsidRPr="0035519F">
        <w:rPr>
          <w:rFonts w:ascii="Arial" w:hAnsi="Arial" w:cs="Arial"/>
          <w:color w:val="FFFFFF" w:themeColor="background1"/>
          <w:sz w:val="24"/>
          <w:szCs w:val="24"/>
        </w:rPr>
        <w:t>dikemudian</w:t>
      </w:r>
      <w:r w:rsidRPr="0035519F">
        <w:rPr>
          <w:rFonts w:ascii="Arial" w:hAnsi="Arial" w:cs="Arial"/>
          <w:color w:val="FFFFFF" w:themeColor="background1"/>
          <w:spacing w:val="-8"/>
          <w:sz w:val="24"/>
          <w:szCs w:val="24"/>
        </w:rPr>
        <w:t xml:space="preserve"> </w:t>
      </w:r>
      <w:r w:rsidRPr="0035519F">
        <w:rPr>
          <w:rFonts w:ascii="Arial" w:hAnsi="Arial" w:cs="Arial"/>
          <w:color w:val="FFFFFF" w:themeColor="background1"/>
          <w:sz w:val="24"/>
          <w:szCs w:val="24"/>
        </w:rPr>
        <w:t>hari terbukti atau dapat dibuktikan bahwa sebagian atau keseluruhan tesis inI hasil karya orang lain, saya bersedia menerima sanksi atas perbuatan tersebut</w:t>
      </w:r>
      <w:r w:rsidRPr="0035519F">
        <w:rPr>
          <w:rFonts w:ascii="Arial" w:hAnsi="Arial" w:cs="Arial"/>
          <w:b/>
          <w:color w:val="FFFFFF" w:themeColor="background1"/>
          <w:sz w:val="24"/>
          <w:szCs w:val="24"/>
        </w:rPr>
        <w:t>.</w:t>
      </w:r>
    </w:p>
    <w:p w14:paraId="66EFF62B" w14:textId="77777777" w:rsidR="006468B1" w:rsidRPr="0035519F" w:rsidRDefault="006468B1" w:rsidP="004A0188">
      <w:pPr>
        <w:spacing w:line="240" w:lineRule="auto"/>
        <w:jc w:val="center"/>
        <w:rPr>
          <w:rFonts w:ascii="Arial" w:hAnsi="Arial" w:cs="Arial"/>
          <w:b/>
          <w:color w:val="FFFFFF" w:themeColor="background1"/>
          <w:sz w:val="24"/>
          <w:szCs w:val="24"/>
        </w:rPr>
      </w:pPr>
    </w:p>
    <w:p w14:paraId="1EC3B154" w14:textId="77777777" w:rsidR="006468B1" w:rsidRPr="0035519F" w:rsidRDefault="006468B1" w:rsidP="00BA23FD">
      <w:pPr>
        <w:jc w:val="center"/>
        <w:rPr>
          <w:rFonts w:ascii="Arial" w:hAnsi="Arial" w:cs="Arial"/>
          <w:b/>
          <w:color w:val="FFFFFF" w:themeColor="background1"/>
          <w:sz w:val="24"/>
          <w:szCs w:val="24"/>
        </w:rPr>
      </w:pPr>
    </w:p>
    <w:p w14:paraId="5476B7F5" w14:textId="65E5B92D" w:rsidR="006468B1" w:rsidRPr="0035519F" w:rsidRDefault="00DC6CD1" w:rsidP="003B3EAA">
      <w:pPr>
        <w:spacing w:after="0" w:line="240" w:lineRule="auto"/>
        <w:jc w:val="right"/>
        <w:rPr>
          <w:rFonts w:ascii="Arial" w:hAnsi="Arial" w:cs="Arial"/>
          <w:color w:val="FFFFFF" w:themeColor="background1"/>
          <w:sz w:val="24"/>
          <w:szCs w:val="24"/>
        </w:rPr>
      </w:pPr>
      <w:r w:rsidRPr="0035519F">
        <w:rPr>
          <w:rFonts w:ascii="Arial" w:hAnsi="Arial" w:cs="Arial"/>
          <w:color w:val="FFFFFF" w:themeColor="background1"/>
          <w:sz w:val="24"/>
          <w:szCs w:val="24"/>
        </w:rPr>
        <w:t xml:space="preserve">Makassar, 24 </w:t>
      </w:r>
      <w:r w:rsidR="00E62CAE" w:rsidRPr="0035519F">
        <w:rPr>
          <w:rFonts w:ascii="Arial" w:hAnsi="Arial" w:cs="Arial"/>
          <w:color w:val="FFFFFF" w:themeColor="background1"/>
          <w:sz w:val="24"/>
          <w:szCs w:val="24"/>
        </w:rPr>
        <w:t>Agustus</w:t>
      </w:r>
      <w:r w:rsidR="006468B1" w:rsidRPr="0035519F">
        <w:rPr>
          <w:rFonts w:ascii="Arial" w:hAnsi="Arial" w:cs="Arial"/>
          <w:color w:val="FFFFFF" w:themeColor="background1"/>
          <w:spacing w:val="-12"/>
          <w:sz w:val="24"/>
          <w:szCs w:val="24"/>
        </w:rPr>
        <w:t xml:space="preserve"> </w:t>
      </w:r>
      <w:r w:rsidR="00E62CAE" w:rsidRPr="0035519F">
        <w:rPr>
          <w:rFonts w:ascii="Arial" w:hAnsi="Arial" w:cs="Arial"/>
          <w:color w:val="FFFFFF" w:themeColor="background1"/>
          <w:sz w:val="24"/>
          <w:szCs w:val="24"/>
        </w:rPr>
        <w:t>2022</w:t>
      </w:r>
    </w:p>
    <w:p w14:paraId="697C270A" w14:textId="1AC17A8C" w:rsidR="006468B1" w:rsidRPr="0035519F" w:rsidRDefault="003B3EAA" w:rsidP="003B3EAA">
      <w:pPr>
        <w:spacing w:after="0" w:line="240" w:lineRule="auto"/>
        <w:jc w:val="center"/>
        <w:rPr>
          <w:rFonts w:ascii="Arial" w:hAnsi="Arial" w:cs="Arial"/>
          <w:color w:val="FFFFFF" w:themeColor="background1"/>
          <w:sz w:val="24"/>
          <w:szCs w:val="24"/>
        </w:rPr>
      </w:pPr>
      <w:r w:rsidRPr="0035519F">
        <w:rPr>
          <w:rFonts w:ascii="Arial" w:hAnsi="Arial" w:cs="Arial"/>
          <w:color w:val="FFFFFF" w:themeColor="background1"/>
          <w:sz w:val="24"/>
          <w:szCs w:val="24"/>
        </w:rPr>
        <w:t xml:space="preserve">                                                                   </w:t>
      </w:r>
      <w:r w:rsidR="006468B1" w:rsidRPr="0035519F">
        <w:rPr>
          <w:rFonts w:ascii="Arial" w:hAnsi="Arial" w:cs="Arial"/>
          <w:color w:val="FFFFFF" w:themeColor="background1"/>
          <w:sz w:val="24"/>
          <w:szCs w:val="24"/>
        </w:rPr>
        <w:t>Yang</w:t>
      </w:r>
      <w:r w:rsidR="006468B1" w:rsidRPr="0035519F">
        <w:rPr>
          <w:rFonts w:ascii="Arial" w:hAnsi="Arial" w:cs="Arial"/>
          <w:color w:val="FFFFFF" w:themeColor="background1"/>
          <w:spacing w:val="-15"/>
          <w:sz w:val="24"/>
          <w:szCs w:val="24"/>
        </w:rPr>
        <w:t xml:space="preserve"> </w:t>
      </w:r>
      <w:r w:rsidR="006468B1" w:rsidRPr="0035519F">
        <w:rPr>
          <w:rFonts w:ascii="Arial" w:hAnsi="Arial" w:cs="Arial"/>
          <w:color w:val="FFFFFF" w:themeColor="background1"/>
          <w:sz w:val="24"/>
          <w:szCs w:val="24"/>
        </w:rPr>
        <w:t>menyatakan,</w:t>
      </w:r>
    </w:p>
    <w:p w14:paraId="5AF2A032" w14:textId="77777777" w:rsidR="006468B1" w:rsidRPr="0035519F" w:rsidRDefault="006468B1" w:rsidP="00BA23FD">
      <w:pPr>
        <w:jc w:val="right"/>
        <w:rPr>
          <w:rFonts w:ascii="Arial" w:hAnsi="Arial" w:cs="Arial"/>
          <w:sz w:val="24"/>
          <w:szCs w:val="24"/>
        </w:rPr>
      </w:pPr>
    </w:p>
    <w:p w14:paraId="28F877C8" w14:textId="77777777" w:rsidR="006468B1" w:rsidRPr="0035519F" w:rsidRDefault="006468B1" w:rsidP="00BA23FD">
      <w:pPr>
        <w:jc w:val="right"/>
        <w:rPr>
          <w:rFonts w:ascii="Arial" w:hAnsi="Arial" w:cs="Arial"/>
          <w:sz w:val="24"/>
          <w:szCs w:val="24"/>
        </w:rPr>
      </w:pPr>
    </w:p>
    <w:p w14:paraId="5F17F06C" w14:textId="3C050C70" w:rsidR="007A22B7" w:rsidRPr="0035519F" w:rsidRDefault="003B3EAA" w:rsidP="003B3EAA">
      <w:pPr>
        <w:jc w:val="center"/>
        <w:rPr>
          <w:rFonts w:ascii="Arial" w:hAnsi="Arial" w:cs="Arial"/>
          <w:color w:val="FFFFFF" w:themeColor="background1"/>
          <w:sz w:val="24"/>
          <w:szCs w:val="24"/>
        </w:rPr>
      </w:pPr>
      <w:r w:rsidRPr="0035519F">
        <w:rPr>
          <w:rFonts w:ascii="Arial" w:hAnsi="Arial" w:cs="Arial"/>
          <w:color w:val="FFFFFF" w:themeColor="background1"/>
          <w:sz w:val="24"/>
          <w:szCs w:val="24"/>
        </w:rPr>
        <w:t xml:space="preserve">                                                                      </w:t>
      </w:r>
      <w:r w:rsidR="00E62CAE" w:rsidRPr="0035519F">
        <w:rPr>
          <w:rFonts w:ascii="Arial" w:hAnsi="Arial" w:cs="Arial"/>
          <w:color w:val="FFFFFF" w:themeColor="background1"/>
          <w:sz w:val="24"/>
          <w:szCs w:val="24"/>
        </w:rPr>
        <w:t>Abd. Rahim Mubarak</w:t>
      </w:r>
    </w:p>
    <w:p w14:paraId="346F44FD" w14:textId="77777777" w:rsidR="00497759" w:rsidRPr="0035519F" w:rsidRDefault="00497759" w:rsidP="007A22B7">
      <w:pPr>
        <w:jc w:val="right"/>
        <w:rPr>
          <w:rFonts w:ascii="Arial" w:hAnsi="Arial" w:cs="Arial"/>
          <w:sz w:val="24"/>
          <w:szCs w:val="24"/>
        </w:rPr>
      </w:pPr>
    </w:p>
    <w:p w14:paraId="2BB66B03" w14:textId="77777777" w:rsidR="007A22B7" w:rsidRPr="0035519F" w:rsidRDefault="007A22B7" w:rsidP="007A22B7">
      <w:pPr>
        <w:jc w:val="right"/>
        <w:rPr>
          <w:rFonts w:ascii="Arial" w:hAnsi="Arial" w:cs="Arial"/>
          <w:b/>
          <w:sz w:val="24"/>
          <w:szCs w:val="24"/>
        </w:rPr>
      </w:pPr>
    </w:p>
    <w:p w14:paraId="10342869" w14:textId="77777777" w:rsidR="00BA23FD" w:rsidRPr="0035519F" w:rsidRDefault="00BA23FD" w:rsidP="007A22B7">
      <w:pPr>
        <w:jc w:val="right"/>
        <w:rPr>
          <w:rFonts w:ascii="Arial" w:hAnsi="Arial" w:cs="Arial"/>
          <w:b/>
          <w:sz w:val="24"/>
          <w:szCs w:val="24"/>
        </w:rPr>
      </w:pPr>
    </w:p>
    <w:p w14:paraId="3BFF0136" w14:textId="77777777" w:rsidR="00BA23FD" w:rsidRPr="0035519F" w:rsidRDefault="00BA23FD" w:rsidP="007A22B7">
      <w:pPr>
        <w:jc w:val="right"/>
        <w:rPr>
          <w:rFonts w:ascii="Arial" w:hAnsi="Arial" w:cs="Arial"/>
          <w:b/>
          <w:sz w:val="24"/>
          <w:szCs w:val="24"/>
        </w:rPr>
      </w:pPr>
    </w:p>
    <w:p w14:paraId="40DE4FE1" w14:textId="2851EA94" w:rsidR="00BA23FD" w:rsidRPr="0035519F" w:rsidRDefault="00BA23FD" w:rsidP="007A22B7">
      <w:pPr>
        <w:jc w:val="right"/>
        <w:rPr>
          <w:rFonts w:ascii="Arial" w:hAnsi="Arial" w:cs="Arial"/>
          <w:b/>
          <w:sz w:val="24"/>
          <w:szCs w:val="24"/>
        </w:rPr>
      </w:pPr>
    </w:p>
    <w:p w14:paraId="69A0F526" w14:textId="0A22C633" w:rsidR="004A0188" w:rsidRPr="0035519F" w:rsidRDefault="004A0188" w:rsidP="007A22B7">
      <w:pPr>
        <w:jc w:val="right"/>
        <w:rPr>
          <w:rFonts w:ascii="Arial" w:hAnsi="Arial" w:cs="Arial"/>
          <w:b/>
          <w:sz w:val="24"/>
          <w:szCs w:val="24"/>
        </w:rPr>
      </w:pPr>
    </w:p>
    <w:p w14:paraId="731A525D" w14:textId="77777777" w:rsidR="003B3EAA" w:rsidRPr="0035519F" w:rsidRDefault="003B3EAA" w:rsidP="007A22B7">
      <w:pPr>
        <w:jc w:val="right"/>
        <w:rPr>
          <w:rFonts w:ascii="Arial" w:hAnsi="Arial" w:cs="Arial"/>
          <w:b/>
          <w:sz w:val="24"/>
          <w:szCs w:val="24"/>
        </w:rPr>
      </w:pPr>
    </w:p>
    <w:p w14:paraId="14C0FE38" w14:textId="0E5C1024" w:rsidR="004A0188" w:rsidRPr="0035519F" w:rsidRDefault="004A0188" w:rsidP="007A22B7">
      <w:pPr>
        <w:jc w:val="right"/>
        <w:rPr>
          <w:rFonts w:ascii="Arial" w:hAnsi="Arial" w:cs="Arial"/>
          <w:b/>
          <w:sz w:val="24"/>
          <w:szCs w:val="24"/>
        </w:rPr>
      </w:pPr>
    </w:p>
    <w:p w14:paraId="7CE3FC8E" w14:textId="77777777" w:rsidR="004A0188" w:rsidRPr="0035519F" w:rsidRDefault="004A0188" w:rsidP="007A22B7">
      <w:pPr>
        <w:jc w:val="right"/>
        <w:rPr>
          <w:rFonts w:ascii="Arial" w:hAnsi="Arial" w:cs="Arial"/>
          <w:b/>
          <w:sz w:val="24"/>
          <w:szCs w:val="24"/>
        </w:rPr>
      </w:pPr>
    </w:p>
    <w:p w14:paraId="2BAB4DB8" w14:textId="77777777" w:rsidR="006468B1" w:rsidRPr="0035519F" w:rsidRDefault="006468B1" w:rsidP="00497759">
      <w:pPr>
        <w:pStyle w:val="Heading1"/>
        <w:rPr>
          <w:color w:val="auto"/>
        </w:rPr>
      </w:pPr>
      <w:bookmarkStart w:id="0" w:name="_Toc111022740"/>
      <w:r w:rsidRPr="0035519F">
        <w:rPr>
          <w:color w:val="auto"/>
        </w:rPr>
        <w:t>PRAKATA</w:t>
      </w:r>
      <w:bookmarkEnd w:id="0"/>
    </w:p>
    <w:p w14:paraId="65D163A8" w14:textId="77777777" w:rsidR="00E62CAE" w:rsidRPr="0035519F" w:rsidRDefault="00E62CAE" w:rsidP="00E62CAE">
      <w:pPr>
        <w:spacing w:after="0" w:line="480" w:lineRule="auto"/>
        <w:jc w:val="center"/>
        <w:rPr>
          <w:rFonts w:ascii="Arial" w:hAnsi="Arial" w:cs="Arial"/>
          <w:b/>
          <w:sz w:val="24"/>
          <w:szCs w:val="24"/>
        </w:rPr>
      </w:pPr>
    </w:p>
    <w:p w14:paraId="2CE91FBD" w14:textId="1E52BD30" w:rsidR="006468B1" w:rsidRPr="0035519F" w:rsidRDefault="006468B1" w:rsidP="00E62CAE">
      <w:pPr>
        <w:spacing w:after="0" w:line="480" w:lineRule="auto"/>
        <w:ind w:firstLine="720"/>
        <w:jc w:val="both"/>
        <w:rPr>
          <w:rFonts w:ascii="Arial" w:hAnsi="Arial" w:cs="Arial"/>
          <w:sz w:val="24"/>
          <w:szCs w:val="24"/>
        </w:rPr>
      </w:pPr>
      <w:r w:rsidRPr="0035519F">
        <w:rPr>
          <w:rFonts w:ascii="Arial" w:hAnsi="Arial" w:cs="Arial"/>
          <w:sz w:val="24"/>
          <w:szCs w:val="24"/>
        </w:rPr>
        <w:lastRenderedPageBreak/>
        <w:t xml:space="preserve">Segala puji dan syukur penulis panjatkan kepada Allah SWT Yang Maha Pengasih dan Penyayang atas limpahan kasih dan anugerah-Nya sehingga penulis dapat menyelesaikan tesis yang berjudul </w:t>
      </w:r>
      <w:r w:rsidR="00E62CAE" w:rsidRPr="0035519F">
        <w:rPr>
          <w:rFonts w:ascii="Arial" w:hAnsi="Arial" w:cs="Arial"/>
          <w:sz w:val="24"/>
          <w:szCs w:val="24"/>
        </w:rPr>
        <w:t>“</w:t>
      </w:r>
      <w:r w:rsidR="00E62CAE" w:rsidRPr="0035519F">
        <w:rPr>
          <w:rFonts w:ascii="Arial" w:hAnsi="Arial" w:cs="Arial"/>
          <w:sz w:val="24"/>
          <w:szCs w:val="24"/>
          <w:lang w:val="id-ID"/>
        </w:rPr>
        <w:t xml:space="preserve">ANALISIS </w:t>
      </w:r>
      <w:r w:rsidR="00E62CAE" w:rsidRPr="0035519F">
        <w:rPr>
          <w:rFonts w:ascii="Arial" w:hAnsi="Arial" w:cs="Arial"/>
          <w:sz w:val="24"/>
          <w:szCs w:val="24"/>
        </w:rPr>
        <w:t>RESISTENSI INSULIN</w:t>
      </w:r>
      <w:r w:rsidR="00E62CAE" w:rsidRPr="0035519F">
        <w:rPr>
          <w:rFonts w:ascii="Arial" w:hAnsi="Arial" w:cs="Arial"/>
          <w:sz w:val="24"/>
          <w:szCs w:val="24"/>
          <w:lang w:val="id-ID"/>
        </w:rPr>
        <w:t xml:space="preserve"> D</w:t>
      </w:r>
      <w:r w:rsidR="00F8103D" w:rsidRPr="0035519F">
        <w:rPr>
          <w:rFonts w:ascii="Arial" w:hAnsi="Arial" w:cs="Arial"/>
          <w:sz w:val="24"/>
          <w:szCs w:val="24"/>
        </w:rPr>
        <w:t>ENGAN</w:t>
      </w:r>
      <w:r w:rsidR="00E62CAE" w:rsidRPr="0035519F">
        <w:rPr>
          <w:rFonts w:ascii="Arial" w:hAnsi="Arial" w:cs="Arial"/>
          <w:sz w:val="24"/>
          <w:szCs w:val="24"/>
          <w:lang w:val="id-ID"/>
        </w:rPr>
        <w:t xml:space="preserve"> </w:t>
      </w:r>
      <w:r w:rsidR="00E62CAE" w:rsidRPr="0035519F">
        <w:rPr>
          <w:rFonts w:ascii="Arial" w:hAnsi="Arial" w:cs="Arial"/>
          <w:i/>
          <w:sz w:val="24"/>
          <w:szCs w:val="24"/>
        </w:rPr>
        <w:t>INSULIN-LIKE GROWTH FACTOR 1</w:t>
      </w:r>
      <w:r w:rsidR="005254ED" w:rsidRPr="0035519F">
        <w:rPr>
          <w:rFonts w:ascii="Arial" w:hAnsi="Arial" w:cs="Arial"/>
          <w:sz w:val="24"/>
          <w:szCs w:val="24"/>
        </w:rPr>
        <w:t xml:space="preserve"> </w:t>
      </w:r>
      <w:r w:rsidR="00E62CAE" w:rsidRPr="0035519F">
        <w:rPr>
          <w:rFonts w:ascii="Arial" w:hAnsi="Arial" w:cs="Arial"/>
          <w:sz w:val="24"/>
          <w:szCs w:val="24"/>
        </w:rPr>
        <w:t>(</w:t>
      </w:r>
      <w:r w:rsidR="00E62CAE" w:rsidRPr="0035519F">
        <w:rPr>
          <w:rFonts w:ascii="Arial" w:hAnsi="Arial" w:cs="Arial"/>
          <w:sz w:val="24"/>
          <w:szCs w:val="24"/>
          <w:lang w:val="id-ID"/>
        </w:rPr>
        <w:t>IGF-1</w:t>
      </w:r>
      <w:r w:rsidR="00E62CAE" w:rsidRPr="0035519F">
        <w:rPr>
          <w:rFonts w:ascii="Arial" w:hAnsi="Arial" w:cs="Arial"/>
          <w:sz w:val="24"/>
          <w:szCs w:val="24"/>
        </w:rPr>
        <w:t>)</w:t>
      </w:r>
      <w:r w:rsidR="00E62CAE" w:rsidRPr="0035519F">
        <w:rPr>
          <w:rFonts w:ascii="Arial" w:hAnsi="Arial" w:cs="Arial"/>
          <w:sz w:val="24"/>
          <w:szCs w:val="24"/>
          <w:lang w:val="id-ID"/>
        </w:rPr>
        <w:t xml:space="preserve"> </w:t>
      </w:r>
      <w:r w:rsidR="00E62CAE" w:rsidRPr="0035519F">
        <w:rPr>
          <w:rFonts w:ascii="Arial" w:hAnsi="Arial" w:cs="Arial"/>
          <w:sz w:val="24"/>
          <w:szCs w:val="24"/>
        </w:rPr>
        <w:t xml:space="preserve">PADA DEWASA </w:t>
      </w:r>
      <w:r w:rsidR="00E62CAE" w:rsidRPr="0035519F">
        <w:rPr>
          <w:rFonts w:ascii="Arial" w:hAnsi="Arial" w:cs="Arial"/>
          <w:i/>
          <w:sz w:val="24"/>
          <w:szCs w:val="24"/>
        </w:rPr>
        <w:t>NON DIABETES MELLITUS</w:t>
      </w:r>
      <w:r w:rsidR="00E62CAE" w:rsidRPr="0035519F">
        <w:rPr>
          <w:rFonts w:ascii="Arial" w:hAnsi="Arial" w:cs="Arial"/>
          <w:sz w:val="24"/>
          <w:szCs w:val="24"/>
        </w:rPr>
        <w:t xml:space="preserve"> (DM) DENGAN DAN TANPA OBESITAS SENTRAL”</w:t>
      </w:r>
      <w:r w:rsidRPr="0035519F">
        <w:rPr>
          <w:rFonts w:ascii="Arial" w:hAnsi="Arial" w:cs="Arial"/>
          <w:spacing w:val="-13"/>
          <w:sz w:val="20"/>
          <w:szCs w:val="24"/>
        </w:rPr>
        <w:t xml:space="preserve"> </w:t>
      </w:r>
      <w:r w:rsidRPr="0035519F">
        <w:rPr>
          <w:rFonts w:ascii="Arial" w:hAnsi="Arial" w:cs="Arial"/>
          <w:sz w:val="24"/>
          <w:szCs w:val="24"/>
        </w:rPr>
        <w:t>sebagai</w:t>
      </w:r>
      <w:r w:rsidRPr="0035519F">
        <w:rPr>
          <w:rFonts w:ascii="Arial" w:hAnsi="Arial" w:cs="Arial"/>
          <w:spacing w:val="-14"/>
          <w:sz w:val="24"/>
          <w:szCs w:val="24"/>
        </w:rPr>
        <w:t xml:space="preserve"> </w:t>
      </w:r>
      <w:r w:rsidRPr="0035519F">
        <w:rPr>
          <w:rFonts w:ascii="Arial" w:hAnsi="Arial" w:cs="Arial"/>
          <w:sz w:val="24"/>
          <w:szCs w:val="24"/>
        </w:rPr>
        <w:t>salah</w:t>
      </w:r>
      <w:r w:rsidRPr="0035519F">
        <w:rPr>
          <w:rFonts w:ascii="Arial" w:hAnsi="Arial" w:cs="Arial"/>
          <w:spacing w:val="-16"/>
          <w:sz w:val="24"/>
          <w:szCs w:val="24"/>
        </w:rPr>
        <w:t xml:space="preserve"> </w:t>
      </w:r>
      <w:r w:rsidRPr="0035519F">
        <w:rPr>
          <w:rFonts w:ascii="Arial" w:hAnsi="Arial" w:cs="Arial"/>
          <w:sz w:val="24"/>
          <w:szCs w:val="24"/>
        </w:rPr>
        <w:t>satu</w:t>
      </w:r>
      <w:r w:rsidRPr="0035519F">
        <w:rPr>
          <w:rFonts w:ascii="Arial" w:hAnsi="Arial" w:cs="Arial"/>
          <w:spacing w:val="-15"/>
          <w:sz w:val="24"/>
          <w:szCs w:val="24"/>
        </w:rPr>
        <w:t xml:space="preserve"> </w:t>
      </w:r>
      <w:r w:rsidRPr="0035519F">
        <w:rPr>
          <w:rFonts w:ascii="Arial" w:hAnsi="Arial" w:cs="Arial"/>
          <w:sz w:val="24"/>
          <w:szCs w:val="24"/>
        </w:rPr>
        <w:t>persyaratan dalam Program Pendidikan Dokter Spesialis Patologi</w:t>
      </w:r>
      <w:r w:rsidRPr="0035519F">
        <w:rPr>
          <w:rFonts w:ascii="Arial" w:hAnsi="Arial" w:cs="Arial"/>
          <w:spacing w:val="-5"/>
          <w:sz w:val="24"/>
          <w:szCs w:val="24"/>
        </w:rPr>
        <w:t xml:space="preserve"> </w:t>
      </w:r>
      <w:r w:rsidRPr="0035519F">
        <w:rPr>
          <w:rFonts w:ascii="Arial" w:hAnsi="Arial" w:cs="Arial"/>
          <w:sz w:val="24"/>
          <w:szCs w:val="24"/>
        </w:rPr>
        <w:t>Klinik.</w:t>
      </w:r>
    </w:p>
    <w:p w14:paraId="06736B3B" w14:textId="77777777" w:rsidR="006468B1" w:rsidRPr="0035519F" w:rsidRDefault="006468B1" w:rsidP="00E62CAE">
      <w:pPr>
        <w:spacing w:after="0" w:line="480" w:lineRule="auto"/>
        <w:ind w:firstLine="720"/>
        <w:jc w:val="both"/>
        <w:rPr>
          <w:rFonts w:ascii="Arial" w:hAnsi="Arial" w:cs="Arial"/>
          <w:sz w:val="24"/>
          <w:szCs w:val="24"/>
        </w:rPr>
      </w:pPr>
      <w:r w:rsidRPr="0035519F">
        <w:rPr>
          <w:rFonts w:ascii="Arial" w:hAnsi="Arial" w:cs="Arial"/>
          <w:sz w:val="24"/>
          <w:szCs w:val="24"/>
        </w:rPr>
        <w:t>Penulis menyadari bahwa tesis ini masih jauh dari kesempurnaan, oleh karena itu dengan segala kerendahan hati penulis mengharapkan saran dan koreksi dari semua pihak. Penulis juga menyadari bahwa tesis ini</w:t>
      </w:r>
      <w:r w:rsidRPr="0035519F">
        <w:rPr>
          <w:rFonts w:ascii="Arial" w:hAnsi="Arial" w:cs="Arial"/>
          <w:spacing w:val="-17"/>
          <w:sz w:val="24"/>
          <w:szCs w:val="24"/>
        </w:rPr>
        <w:t xml:space="preserve"> </w:t>
      </w:r>
      <w:r w:rsidRPr="0035519F">
        <w:rPr>
          <w:rFonts w:ascii="Arial" w:hAnsi="Arial" w:cs="Arial"/>
          <w:sz w:val="24"/>
          <w:szCs w:val="24"/>
        </w:rPr>
        <w:t>dapat</w:t>
      </w:r>
      <w:r w:rsidRPr="0035519F">
        <w:rPr>
          <w:rFonts w:ascii="Arial" w:hAnsi="Arial" w:cs="Arial"/>
          <w:spacing w:val="-14"/>
          <w:sz w:val="24"/>
          <w:szCs w:val="24"/>
        </w:rPr>
        <w:t xml:space="preserve"> </w:t>
      </w:r>
      <w:r w:rsidRPr="0035519F">
        <w:rPr>
          <w:rFonts w:ascii="Arial" w:hAnsi="Arial" w:cs="Arial"/>
          <w:sz w:val="24"/>
          <w:szCs w:val="24"/>
        </w:rPr>
        <w:t>diselesaikan</w:t>
      </w:r>
      <w:r w:rsidRPr="0035519F">
        <w:rPr>
          <w:rFonts w:ascii="Arial" w:hAnsi="Arial" w:cs="Arial"/>
          <w:spacing w:val="-18"/>
          <w:sz w:val="24"/>
          <w:szCs w:val="24"/>
        </w:rPr>
        <w:t xml:space="preserve"> </w:t>
      </w:r>
      <w:r w:rsidRPr="0035519F">
        <w:rPr>
          <w:rFonts w:ascii="Arial" w:hAnsi="Arial" w:cs="Arial"/>
          <w:sz w:val="24"/>
          <w:szCs w:val="24"/>
        </w:rPr>
        <w:t>berkat</w:t>
      </w:r>
      <w:r w:rsidRPr="0035519F">
        <w:rPr>
          <w:rFonts w:ascii="Arial" w:hAnsi="Arial" w:cs="Arial"/>
          <w:spacing w:val="-14"/>
          <w:sz w:val="24"/>
          <w:szCs w:val="24"/>
        </w:rPr>
        <w:t xml:space="preserve"> </w:t>
      </w:r>
      <w:r w:rsidRPr="0035519F">
        <w:rPr>
          <w:rFonts w:ascii="Arial" w:hAnsi="Arial" w:cs="Arial"/>
          <w:sz w:val="24"/>
          <w:szCs w:val="24"/>
        </w:rPr>
        <w:t>bantuan</w:t>
      </w:r>
      <w:r w:rsidRPr="0035519F">
        <w:rPr>
          <w:rFonts w:ascii="Arial" w:hAnsi="Arial" w:cs="Arial"/>
          <w:spacing w:val="-18"/>
          <w:sz w:val="24"/>
          <w:szCs w:val="24"/>
        </w:rPr>
        <w:t xml:space="preserve"> </w:t>
      </w:r>
      <w:r w:rsidRPr="0035519F">
        <w:rPr>
          <w:rFonts w:ascii="Arial" w:hAnsi="Arial" w:cs="Arial"/>
          <w:sz w:val="24"/>
          <w:szCs w:val="24"/>
        </w:rPr>
        <w:t>dan</w:t>
      </w:r>
      <w:r w:rsidRPr="0035519F">
        <w:rPr>
          <w:rFonts w:ascii="Arial" w:hAnsi="Arial" w:cs="Arial"/>
          <w:spacing w:val="-17"/>
          <w:sz w:val="24"/>
          <w:szCs w:val="24"/>
        </w:rPr>
        <w:t xml:space="preserve"> </w:t>
      </w:r>
      <w:r w:rsidRPr="0035519F">
        <w:rPr>
          <w:rFonts w:ascii="Arial" w:hAnsi="Arial" w:cs="Arial"/>
          <w:sz w:val="24"/>
          <w:szCs w:val="24"/>
        </w:rPr>
        <w:t>partisipasi</w:t>
      </w:r>
      <w:r w:rsidRPr="0035519F">
        <w:rPr>
          <w:rFonts w:ascii="Arial" w:hAnsi="Arial" w:cs="Arial"/>
          <w:spacing w:val="-16"/>
          <w:sz w:val="24"/>
          <w:szCs w:val="24"/>
        </w:rPr>
        <w:t xml:space="preserve"> </w:t>
      </w:r>
      <w:r w:rsidRPr="0035519F">
        <w:rPr>
          <w:rFonts w:ascii="Arial" w:hAnsi="Arial" w:cs="Arial"/>
          <w:sz w:val="24"/>
          <w:szCs w:val="24"/>
        </w:rPr>
        <w:t>berbagai</w:t>
      </w:r>
      <w:r w:rsidRPr="0035519F">
        <w:rPr>
          <w:rFonts w:ascii="Arial" w:hAnsi="Arial" w:cs="Arial"/>
          <w:spacing w:val="-17"/>
          <w:sz w:val="24"/>
          <w:szCs w:val="24"/>
        </w:rPr>
        <w:t xml:space="preserve"> </w:t>
      </w:r>
      <w:r w:rsidRPr="0035519F">
        <w:rPr>
          <w:rFonts w:ascii="Arial" w:hAnsi="Arial" w:cs="Arial"/>
          <w:sz w:val="24"/>
          <w:szCs w:val="24"/>
        </w:rPr>
        <w:t>pihak.</w:t>
      </w:r>
      <w:r w:rsidRPr="0035519F">
        <w:rPr>
          <w:rFonts w:ascii="Arial" w:hAnsi="Arial" w:cs="Arial"/>
          <w:spacing w:val="-14"/>
          <w:sz w:val="24"/>
          <w:szCs w:val="24"/>
        </w:rPr>
        <w:t xml:space="preserve"> </w:t>
      </w:r>
      <w:r w:rsidRPr="0035519F">
        <w:rPr>
          <w:rFonts w:ascii="Arial" w:hAnsi="Arial" w:cs="Arial"/>
          <w:sz w:val="24"/>
          <w:szCs w:val="24"/>
        </w:rPr>
        <w:t>Dalam kesempatan ini, penulis menghaturkan terima kasih yang tulus kepada Dr. dr.</w:t>
      </w:r>
      <w:r w:rsidRPr="0035519F">
        <w:rPr>
          <w:rFonts w:ascii="Arial" w:hAnsi="Arial" w:cs="Arial"/>
          <w:spacing w:val="-14"/>
          <w:sz w:val="24"/>
          <w:szCs w:val="24"/>
        </w:rPr>
        <w:t xml:space="preserve"> </w:t>
      </w:r>
      <w:r w:rsidRPr="0035519F">
        <w:rPr>
          <w:rFonts w:ascii="Arial" w:hAnsi="Arial" w:cs="Arial"/>
          <w:sz w:val="24"/>
          <w:szCs w:val="24"/>
        </w:rPr>
        <w:t>Liong</w:t>
      </w:r>
      <w:r w:rsidRPr="0035519F">
        <w:rPr>
          <w:rFonts w:ascii="Arial" w:hAnsi="Arial" w:cs="Arial"/>
          <w:spacing w:val="-17"/>
          <w:sz w:val="24"/>
          <w:szCs w:val="24"/>
        </w:rPr>
        <w:t xml:space="preserve"> </w:t>
      </w:r>
      <w:r w:rsidRPr="0035519F">
        <w:rPr>
          <w:rFonts w:ascii="Arial" w:hAnsi="Arial" w:cs="Arial"/>
          <w:sz w:val="24"/>
          <w:szCs w:val="24"/>
        </w:rPr>
        <w:t>Boy</w:t>
      </w:r>
      <w:r w:rsidRPr="0035519F">
        <w:rPr>
          <w:rFonts w:ascii="Arial" w:hAnsi="Arial" w:cs="Arial"/>
          <w:spacing w:val="-15"/>
          <w:sz w:val="24"/>
          <w:szCs w:val="24"/>
        </w:rPr>
        <w:t xml:space="preserve"> </w:t>
      </w:r>
      <w:r w:rsidRPr="0035519F">
        <w:rPr>
          <w:rFonts w:ascii="Arial" w:hAnsi="Arial" w:cs="Arial"/>
          <w:sz w:val="24"/>
          <w:szCs w:val="24"/>
        </w:rPr>
        <w:t>Kurniawan,</w:t>
      </w:r>
      <w:r w:rsidRPr="0035519F">
        <w:rPr>
          <w:rFonts w:ascii="Arial" w:hAnsi="Arial" w:cs="Arial"/>
          <w:spacing w:val="-15"/>
          <w:sz w:val="24"/>
          <w:szCs w:val="24"/>
        </w:rPr>
        <w:t xml:space="preserve"> </w:t>
      </w:r>
      <w:r w:rsidRPr="0035519F">
        <w:rPr>
          <w:rFonts w:ascii="Arial" w:hAnsi="Arial" w:cs="Arial"/>
          <w:sz w:val="24"/>
          <w:szCs w:val="24"/>
        </w:rPr>
        <w:t>M.Kes,</w:t>
      </w:r>
      <w:r w:rsidRPr="0035519F">
        <w:rPr>
          <w:rFonts w:ascii="Arial" w:hAnsi="Arial" w:cs="Arial"/>
          <w:spacing w:val="-15"/>
          <w:sz w:val="24"/>
          <w:szCs w:val="24"/>
        </w:rPr>
        <w:t xml:space="preserve"> </w:t>
      </w:r>
      <w:r w:rsidRPr="0035519F">
        <w:rPr>
          <w:rFonts w:ascii="Arial" w:hAnsi="Arial" w:cs="Arial"/>
          <w:sz w:val="24"/>
          <w:szCs w:val="24"/>
        </w:rPr>
        <w:t>Sp.PK</w:t>
      </w:r>
      <w:r w:rsidRPr="0035519F">
        <w:rPr>
          <w:rFonts w:ascii="Arial" w:hAnsi="Arial" w:cs="Arial"/>
          <w:spacing w:val="-15"/>
          <w:sz w:val="24"/>
          <w:szCs w:val="24"/>
        </w:rPr>
        <w:t xml:space="preserve"> </w:t>
      </w:r>
      <w:r w:rsidRPr="0035519F">
        <w:rPr>
          <w:rFonts w:ascii="Arial" w:hAnsi="Arial" w:cs="Arial"/>
          <w:sz w:val="24"/>
          <w:szCs w:val="24"/>
        </w:rPr>
        <w:t>(K)</w:t>
      </w:r>
      <w:r w:rsidRPr="0035519F">
        <w:rPr>
          <w:rFonts w:ascii="Arial" w:hAnsi="Arial" w:cs="Arial"/>
          <w:spacing w:val="-16"/>
          <w:sz w:val="24"/>
          <w:szCs w:val="24"/>
        </w:rPr>
        <w:t xml:space="preserve"> </w:t>
      </w:r>
      <w:r w:rsidRPr="0035519F">
        <w:rPr>
          <w:rFonts w:ascii="Arial" w:hAnsi="Arial" w:cs="Arial"/>
          <w:sz w:val="24"/>
          <w:szCs w:val="24"/>
        </w:rPr>
        <w:t>selaku</w:t>
      </w:r>
      <w:r w:rsidRPr="0035519F">
        <w:rPr>
          <w:rFonts w:ascii="Arial" w:hAnsi="Arial" w:cs="Arial"/>
          <w:spacing w:val="-17"/>
          <w:sz w:val="24"/>
          <w:szCs w:val="24"/>
        </w:rPr>
        <w:t xml:space="preserve"> </w:t>
      </w:r>
      <w:r w:rsidRPr="0035519F">
        <w:rPr>
          <w:rFonts w:ascii="Arial" w:hAnsi="Arial" w:cs="Arial"/>
          <w:sz w:val="24"/>
          <w:szCs w:val="24"/>
        </w:rPr>
        <w:t>Ketua</w:t>
      </w:r>
      <w:r w:rsidRPr="0035519F">
        <w:rPr>
          <w:rFonts w:ascii="Arial" w:hAnsi="Arial" w:cs="Arial"/>
          <w:spacing w:val="-18"/>
          <w:sz w:val="24"/>
          <w:szCs w:val="24"/>
        </w:rPr>
        <w:t xml:space="preserve"> </w:t>
      </w:r>
      <w:r w:rsidRPr="0035519F">
        <w:rPr>
          <w:rFonts w:ascii="Arial" w:hAnsi="Arial" w:cs="Arial"/>
          <w:sz w:val="24"/>
          <w:szCs w:val="24"/>
        </w:rPr>
        <w:t>Komisi</w:t>
      </w:r>
      <w:r w:rsidRPr="0035519F">
        <w:rPr>
          <w:rFonts w:ascii="Arial" w:hAnsi="Arial" w:cs="Arial"/>
          <w:spacing w:val="-16"/>
          <w:sz w:val="24"/>
          <w:szCs w:val="24"/>
        </w:rPr>
        <w:t xml:space="preserve"> </w:t>
      </w:r>
      <w:r w:rsidRPr="0035519F">
        <w:rPr>
          <w:rFonts w:ascii="Arial" w:hAnsi="Arial" w:cs="Arial"/>
          <w:sz w:val="24"/>
          <w:szCs w:val="24"/>
        </w:rPr>
        <w:t>Penasihat/ Pembimbing Utama dan</w:t>
      </w:r>
      <w:r w:rsidR="00E62CAE" w:rsidRPr="0035519F">
        <w:rPr>
          <w:rFonts w:ascii="Arial" w:hAnsi="Arial" w:cs="Arial"/>
          <w:sz w:val="24"/>
          <w:szCs w:val="24"/>
        </w:rPr>
        <w:t xml:space="preserve"> Dr.</w:t>
      </w:r>
      <w:r w:rsidRPr="0035519F">
        <w:rPr>
          <w:rFonts w:ascii="Arial" w:hAnsi="Arial" w:cs="Arial"/>
          <w:sz w:val="24"/>
          <w:szCs w:val="24"/>
        </w:rPr>
        <w:t xml:space="preserve"> dr. </w:t>
      </w:r>
      <w:r w:rsidR="00E62CAE" w:rsidRPr="0035519F">
        <w:rPr>
          <w:rFonts w:ascii="Arial" w:hAnsi="Arial" w:cs="Arial"/>
          <w:sz w:val="24"/>
          <w:szCs w:val="24"/>
        </w:rPr>
        <w:t xml:space="preserve">Tenri Esa, M.Si., </w:t>
      </w:r>
      <w:r w:rsidRPr="0035519F">
        <w:rPr>
          <w:rFonts w:ascii="Arial" w:hAnsi="Arial" w:cs="Arial"/>
          <w:sz w:val="24"/>
          <w:szCs w:val="24"/>
        </w:rPr>
        <w:t xml:space="preserve">Sp.PK (K) selaku Anggota Penasihat/Sekretaris Pembimbing, Dr. dr. </w:t>
      </w:r>
      <w:r w:rsidR="00E62CAE" w:rsidRPr="0035519F">
        <w:rPr>
          <w:rFonts w:ascii="Arial" w:hAnsi="Arial" w:cs="Arial"/>
          <w:sz w:val="24"/>
          <w:szCs w:val="24"/>
        </w:rPr>
        <w:t>Burhanuddin Bahar</w:t>
      </w:r>
      <w:r w:rsidRPr="0035519F">
        <w:rPr>
          <w:rFonts w:ascii="Arial" w:hAnsi="Arial" w:cs="Arial"/>
          <w:sz w:val="24"/>
          <w:szCs w:val="24"/>
        </w:rPr>
        <w:t>, M</w:t>
      </w:r>
      <w:r w:rsidR="00E62CAE" w:rsidRPr="0035519F">
        <w:rPr>
          <w:rFonts w:ascii="Arial" w:hAnsi="Arial" w:cs="Arial"/>
          <w:sz w:val="24"/>
          <w:szCs w:val="24"/>
        </w:rPr>
        <w:t xml:space="preserve">S </w:t>
      </w:r>
      <w:r w:rsidRPr="0035519F">
        <w:rPr>
          <w:rFonts w:ascii="Arial" w:hAnsi="Arial" w:cs="Arial"/>
          <w:sz w:val="24"/>
          <w:szCs w:val="24"/>
        </w:rPr>
        <w:t>sebagai Anggota</w:t>
      </w:r>
      <w:r w:rsidRPr="0035519F">
        <w:rPr>
          <w:rFonts w:ascii="Arial" w:hAnsi="Arial" w:cs="Arial"/>
          <w:spacing w:val="-19"/>
          <w:sz w:val="24"/>
          <w:szCs w:val="24"/>
        </w:rPr>
        <w:t xml:space="preserve"> </w:t>
      </w:r>
      <w:r w:rsidRPr="0035519F">
        <w:rPr>
          <w:rFonts w:ascii="Arial" w:hAnsi="Arial" w:cs="Arial"/>
          <w:sz w:val="24"/>
          <w:szCs w:val="24"/>
        </w:rPr>
        <w:t>Komisi</w:t>
      </w:r>
      <w:r w:rsidRPr="0035519F">
        <w:rPr>
          <w:rFonts w:ascii="Arial" w:hAnsi="Arial" w:cs="Arial"/>
          <w:spacing w:val="-17"/>
          <w:sz w:val="24"/>
          <w:szCs w:val="24"/>
        </w:rPr>
        <w:t xml:space="preserve"> </w:t>
      </w:r>
      <w:r w:rsidRPr="0035519F">
        <w:rPr>
          <w:rFonts w:ascii="Arial" w:hAnsi="Arial" w:cs="Arial"/>
          <w:sz w:val="24"/>
          <w:szCs w:val="24"/>
        </w:rPr>
        <w:t>Penasihat/Pembimbing</w:t>
      </w:r>
      <w:r w:rsidRPr="0035519F">
        <w:rPr>
          <w:rFonts w:ascii="Arial" w:hAnsi="Arial" w:cs="Arial"/>
          <w:spacing w:val="-18"/>
          <w:sz w:val="24"/>
          <w:szCs w:val="24"/>
        </w:rPr>
        <w:t xml:space="preserve"> </w:t>
      </w:r>
      <w:r w:rsidRPr="0035519F">
        <w:rPr>
          <w:rFonts w:ascii="Arial" w:hAnsi="Arial" w:cs="Arial"/>
          <w:sz w:val="24"/>
          <w:szCs w:val="24"/>
        </w:rPr>
        <w:t>Metode</w:t>
      </w:r>
      <w:r w:rsidRPr="0035519F">
        <w:rPr>
          <w:rFonts w:ascii="Arial" w:hAnsi="Arial" w:cs="Arial"/>
          <w:spacing w:val="-18"/>
          <w:sz w:val="24"/>
          <w:szCs w:val="24"/>
        </w:rPr>
        <w:t xml:space="preserve"> </w:t>
      </w:r>
      <w:r w:rsidRPr="0035519F">
        <w:rPr>
          <w:rFonts w:ascii="Arial" w:hAnsi="Arial" w:cs="Arial"/>
          <w:sz w:val="24"/>
          <w:szCs w:val="24"/>
        </w:rPr>
        <w:t>Penelitian</w:t>
      </w:r>
      <w:r w:rsidRPr="0035519F">
        <w:rPr>
          <w:rFonts w:ascii="Arial" w:hAnsi="Arial" w:cs="Arial"/>
          <w:spacing w:val="-19"/>
          <w:sz w:val="24"/>
          <w:szCs w:val="24"/>
        </w:rPr>
        <w:t xml:space="preserve"> </w:t>
      </w:r>
      <w:r w:rsidRPr="0035519F">
        <w:rPr>
          <w:rFonts w:ascii="Arial" w:hAnsi="Arial" w:cs="Arial"/>
          <w:sz w:val="24"/>
          <w:szCs w:val="24"/>
        </w:rPr>
        <w:t>dan</w:t>
      </w:r>
      <w:r w:rsidRPr="0035519F">
        <w:rPr>
          <w:rFonts w:ascii="Arial" w:hAnsi="Arial" w:cs="Arial"/>
          <w:spacing w:val="-13"/>
          <w:sz w:val="24"/>
          <w:szCs w:val="24"/>
        </w:rPr>
        <w:t xml:space="preserve"> </w:t>
      </w:r>
      <w:r w:rsidRPr="0035519F">
        <w:rPr>
          <w:rFonts w:ascii="Arial" w:hAnsi="Arial" w:cs="Arial"/>
          <w:sz w:val="24"/>
          <w:szCs w:val="24"/>
        </w:rPr>
        <w:t>Statistik,</w:t>
      </w:r>
      <w:r w:rsidRPr="0035519F">
        <w:rPr>
          <w:rFonts w:ascii="Arial" w:hAnsi="Arial" w:cs="Arial"/>
          <w:spacing w:val="-16"/>
          <w:sz w:val="24"/>
          <w:szCs w:val="24"/>
        </w:rPr>
        <w:t xml:space="preserve"> </w:t>
      </w:r>
      <w:r w:rsidRPr="0035519F">
        <w:rPr>
          <w:rFonts w:ascii="Arial" w:hAnsi="Arial" w:cs="Arial"/>
          <w:sz w:val="24"/>
          <w:szCs w:val="24"/>
        </w:rPr>
        <w:t xml:space="preserve">Dr. dr. Husaini Umar, SpPD-KEMD sebagai Anggota Tim Penilai, dan </w:t>
      </w:r>
      <w:r w:rsidR="00E62CAE" w:rsidRPr="0035519F">
        <w:rPr>
          <w:rFonts w:ascii="Arial" w:hAnsi="Arial" w:cs="Arial"/>
          <w:sz w:val="24"/>
          <w:szCs w:val="24"/>
        </w:rPr>
        <w:t xml:space="preserve">Dr. </w:t>
      </w:r>
      <w:r w:rsidRPr="0035519F">
        <w:rPr>
          <w:rFonts w:ascii="Arial" w:hAnsi="Arial" w:cs="Arial"/>
          <w:sz w:val="24"/>
          <w:szCs w:val="24"/>
        </w:rPr>
        <w:t>dr.</w:t>
      </w:r>
      <w:r w:rsidRPr="0035519F">
        <w:rPr>
          <w:rFonts w:ascii="Arial" w:hAnsi="Arial" w:cs="Arial"/>
          <w:spacing w:val="-40"/>
          <w:sz w:val="24"/>
          <w:szCs w:val="24"/>
        </w:rPr>
        <w:t xml:space="preserve"> </w:t>
      </w:r>
      <w:r w:rsidR="00E62CAE" w:rsidRPr="0035519F">
        <w:rPr>
          <w:rFonts w:ascii="Arial" w:hAnsi="Arial" w:cs="Arial"/>
          <w:sz w:val="24"/>
          <w:szCs w:val="24"/>
        </w:rPr>
        <w:t xml:space="preserve">Nurahmi, M.Kes., </w:t>
      </w:r>
      <w:r w:rsidRPr="0035519F">
        <w:rPr>
          <w:rFonts w:ascii="Arial" w:hAnsi="Arial" w:cs="Arial"/>
          <w:sz w:val="24"/>
          <w:szCs w:val="24"/>
        </w:rPr>
        <w:t>Sp.PK</w:t>
      </w:r>
      <w:r w:rsidRPr="0035519F">
        <w:rPr>
          <w:rFonts w:ascii="Arial" w:hAnsi="Arial" w:cs="Arial"/>
          <w:spacing w:val="-10"/>
          <w:sz w:val="24"/>
          <w:szCs w:val="24"/>
        </w:rPr>
        <w:t xml:space="preserve"> </w:t>
      </w:r>
      <w:r w:rsidRPr="0035519F">
        <w:rPr>
          <w:rFonts w:ascii="Arial" w:hAnsi="Arial" w:cs="Arial"/>
          <w:sz w:val="24"/>
          <w:szCs w:val="24"/>
        </w:rPr>
        <w:t>(K)</w:t>
      </w:r>
      <w:r w:rsidRPr="0035519F">
        <w:rPr>
          <w:rFonts w:ascii="Arial" w:hAnsi="Arial" w:cs="Arial"/>
          <w:spacing w:val="-10"/>
          <w:sz w:val="24"/>
          <w:szCs w:val="24"/>
        </w:rPr>
        <w:t xml:space="preserve"> </w:t>
      </w:r>
      <w:r w:rsidRPr="0035519F">
        <w:rPr>
          <w:rFonts w:ascii="Arial" w:hAnsi="Arial" w:cs="Arial"/>
          <w:sz w:val="24"/>
          <w:szCs w:val="24"/>
        </w:rPr>
        <w:t>sebagai</w:t>
      </w:r>
      <w:r w:rsidRPr="0035519F">
        <w:rPr>
          <w:rFonts w:ascii="Arial" w:hAnsi="Arial" w:cs="Arial"/>
          <w:spacing w:val="-12"/>
          <w:sz w:val="24"/>
          <w:szCs w:val="24"/>
        </w:rPr>
        <w:t xml:space="preserve"> </w:t>
      </w:r>
      <w:r w:rsidRPr="0035519F">
        <w:rPr>
          <w:rFonts w:ascii="Arial" w:hAnsi="Arial" w:cs="Arial"/>
          <w:sz w:val="24"/>
          <w:szCs w:val="24"/>
        </w:rPr>
        <w:t>Anggota</w:t>
      </w:r>
      <w:r w:rsidRPr="0035519F">
        <w:rPr>
          <w:rFonts w:ascii="Arial" w:hAnsi="Arial" w:cs="Arial"/>
          <w:spacing w:val="-12"/>
          <w:sz w:val="24"/>
          <w:szCs w:val="24"/>
        </w:rPr>
        <w:t xml:space="preserve"> </w:t>
      </w:r>
      <w:r w:rsidRPr="0035519F">
        <w:rPr>
          <w:rFonts w:ascii="Arial" w:hAnsi="Arial" w:cs="Arial"/>
          <w:sz w:val="24"/>
          <w:szCs w:val="24"/>
        </w:rPr>
        <w:t>Tim</w:t>
      </w:r>
      <w:r w:rsidRPr="0035519F">
        <w:rPr>
          <w:rFonts w:ascii="Arial" w:hAnsi="Arial" w:cs="Arial"/>
          <w:spacing w:val="-11"/>
          <w:sz w:val="24"/>
          <w:szCs w:val="24"/>
        </w:rPr>
        <w:t xml:space="preserve"> </w:t>
      </w:r>
      <w:r w:rsidRPr="0035519F">
        <w:rPr>
          <w:rFonts w:ascii="Arial" w:hAnsi="Arial" w:cs="Arial"/>
          <w:sz w:val="24"/>
          <w:szCs w:val="24"/>
        </w:rPr>
        <w:t>Penilai,</w:t>
      </w:r>
      <w:r w:rsidRPr="0035519F">
        <w:rPr>
          <w:rFonts w:ascii="Arial" w:hAnsi="Arial" w:cs="Arial"/>
          <w:spacing w:val="46"/>
          <w:sz w:val="24"/>
          <w:szCs w:val="24"/>
        </w:rPr>
        <w:t xml:space="preserve"> </w:t>
      </w:r>
      <w:r w:rsidRPr="0035519F">
        <w:rPr>
          <w:rFonts w:ascii="Arial" w:hAnsi="Arial" w:cs="Arial"/>
          <w:sz w:val="24"/>
          <w:szCs w:val="24"/>
        </w:rPr>
        <w:t>yang</w:t>
      </w:r>
      <w:r w:rsidRPr="0035519F">
        <w:rPr>
          <w:rFonts w:ascii="Arial" w:hAnsi="Arial" w:cs="Arial"/>
          <w:spacing w:val="-12"/>
          <w:sz w:val="24"/>
          <w:szCs w:val="24"/>
        </w:rPr>
        <w:t xml:space="preserve"> </w:t>
      </w:r>
      <w:r w:rsidRPr="0035519F">
        <w:rPr>
          <w:rFonts w:ascii="Arial" w:hAnsi="Arial" w:cs="Arial"/>
          <w:sz w:val="24"/>
          <w:szCs w:val="24"/>
        </w:rPr>
        <w:t>telah</w:t>
      </w:r>
      <w:r w:rsidRPr="0035519F">
        <w:rPr>
          <w:rFonts w:ascii="Arial" w:hAnsi="Arial" w:cs="Arial"/>
          <w:spacing w:val="-13"/>
          <w:sz w:val="24"/>
          <w:szCs w:val="24"/>
        </w:rPr>
        <w:t xml:space="preserve"> </w:t>
      </w:r>
      <w:r w:rsidRPr="0035519F">
        <w:rPr>
          <w:rFonts w:ascii="Arial" w:hAnsi="Arial" w:cs="Arial"/>
          <w:sz w:val="24"/>
          <w:szCs w:val="24"/>
        </w:rPr>
        <w:t>memberi kesediaan</w:t>
      </w:r>
      <w:r w:rsidRPr="0035519F">
        <w:rPr>
          <w:rFonts w:ascii="Arial" w:hAnsi="Arial" w:cs="Arial"/>
          <w:spacing w:val="-11"/>
          <w:sz w:val="24"/>
          <w:szCs w:val="24"/>
        </w:rPr>
        <w:t xml:space="preserve"> </w:t>
      </w:r>
      <w:r w:rsidRPr="0035519F">
        <w:rPr>
          <w:rFonts w:ascii="Arial" w:hAnsi="Arial" w:cs="Arial"/>
          <w:sz w:val="24"/>
          <w:szCs w:val="24"/>
        </w:rPr>
        <w:t>waktu,</w:t>
      </w:r>
      <w:r w:rsidRPr="0035519F">
        <w:rPr>
          <w:rFonts w:ascii="Arial" w:hAnsi="Arial" w:cs="Arial"/>
          <w:spacing w:val="-7"/>
          <w:sz w:val="24"/>
          <w:szCs w:val="24"/>
        </w:rPr>
        <w:t xml:space="preserve"> </w:t>
      </w:r>
      <w:r w:rsidRPr="0035519F">
        <w:rPr>
          <w:rFonts w:ascii="Arial" w:hAnsi="Arial" w:cs="Arial"/>
          <w:sz w:val="24"/>
          <w:szCs w:val="24"/>
        </w:rPr>
        <w:t>saran</w:t>
      </w:r>
      <w:r w:rsidRPr="0035519F">
        <w:rPr>
          <w:rFonts w:ascii="Arial" w:hAnsi="Arial" w:cs="Arial"/>
          <w:spacing w:val="-11"/>
          <w:sz w:val="24"/>
          <w:szCs w:val="24"/>
        </w:rPr>
        <w:t xml:space="preserve"> </w:t>
      </w:r>
      <w:r w:rsidRPr="0035519F">
        <w:rPr>
          <w:rFonts w:ascii="Arial" w:hAnsi="Arial" w:cs="Arial"/>
          <w:sz w:val="24"/>
          <w:szCs w:val="24"/>
        </w:rPr>
        <w:t>dan</w:t>
      </w:r>
      <w:r w:rsidRPr="0035519F">
        <w:rPr>
          <w:rFonts w:ascii="Arial" w:hAnsi="Arial" w:cs="Arial"/>
          <w:spacing w:val="-10"/>
          <w:sz w:val="24"/>
          <w:szCs w:val="24"/>
        </w:rPr>
        <w:t xml:space="preserve"> </w:t>
      </w:r>
      <w:r w:rsidRPr="0035519F">
        <w:rPr>
          <w:rFonts w:ascii="Arial" w:hAnsi="Arial" w:cs="Arial"/>
          <w:sz w:val="24"/>
          <w:szCs w:val="24"/>
        </w:rPr>
        <w:t>bimbingan</w:t>
      </w:r>
      <w:r w:rsidRPr="0035519F">
        <w:rPr>
          <w:rFonts w:ascii="Arial" w:hAnsi="Arial" w:cs="Arial"/>
          <w:spacing w:val="-11"/>
          <w:sz w:val="24"/>
          <w:szCs w:val="24"/>
        </w:rPr>
        <w:t xml:space="preserve"> </w:t>
      </w:r>
      <w:r w:rsidRPr="0035519F">
        <w:rPr>
          <w:rFonts w:ascii="Arial" w:hAnsi="Arial" w:cs="Arial"/>
          <w:sz w:val="24"/>
          <w:szCs w:val="24"/>
        </w:rPr>
        <w:t>sejak</w:t>
      </w:r>
      <w:r w:rsidRPr="0035519F">
        <w:rPr>
          <w:rFonts w:ascii="Arial" w:hAnsi="Arial" w:cs="Arial"/>
          <w:spacing w:val="-8"/>
          <w:sz w:val="24"/>
          <w:szCs w:val="24"/>
        </w:rPr>
        <w:t xml:space="preserve"> </w:t>
      </w:r>
      <w:r w:rsidRPr="0035519F">
        <w:rPr>
          <w:rFonts w:ascii="Arial" w:hAnsi="Arial" w:cs="Arial"/>
          <w:sz w:val="24"/>
          <w:szCs w:val="24"/>
        </w:rPr>
        <w:t>masa</w:t>
      </w:r>
      <w:r w:rsidRPr="0035519F">
        <w:rPr>
          <w:rFonts w:ascii="Arial" w:hAnsi="Arial" w:cs="Arial"/>
          <w:spacing w:val="-10"/>
          <w:sz w:val="24"/>
          <w:szCs w:val="24"/>
        </w:rPr>
        <w:t xml:space="preserve"> </w:t>
      </w:r>
      <w:r w:rsidRPr="0035519F">
        <w:rPr>
          <w:rFonts w:ascii="Arial" w:hAnsi="Arial" w:cs="Arial"/>
          <w:sz w:val="24"/>
          <w:szCs w:val="24"/>
        </w:rPr>
        <w:t>penelitian,</w:t>
      </w:r>
      <w:r w:rsidRPr="0035519F">
        <w:rPr>
          <w:rFonts w:ascii="Arial" w:hAnsi="Arial" w:cs="Arial"/>
          <w:spacing w:val="-8"/>
          <w:sz w:val="24"/>
          <w:szCs w:val="24"/>
        </w:rPr>
        <w:t xml:space="preserve"> </w:t>
      </w:r>
      <w:r w:rsidRPr="0035519F">
        <w:rPr>
          <w:rFonts w:ascii="Arial" w:hAnsi="Arial" w:cs="Arial"/>
          <w:sz w:val="24"/>
          <w:szCs w:val="24"/>
        </w:rPr>
        <w:t>penyusunan hingga ujian akhir penelitian</w:t>
      </w:r>
      <w:r w:rsidRPr="0035519F">
        <w:rPr>
          <w:rFonts w:ascii="Arial" w:hAnsi="Arial" w:cs="Arial"/>
          <w:spacing w:val="-1"/>
          <w:sz w:val="24"/>
          <w:szCs w:val="24"/>
        </w:rPr>
        <w:t xml:space="preserve"> </w:t>
      </w:r>
      <w:r w:rsidRPr="0035519F">
        <w:rPr>
          <w:rFonts w:ascii="Arial" w:hAnsi="Arial" w:cs="Arial"/>
          <w:sz w:val="24"/>
          <w:szCs w:val="24"/>
        </w:rPr>
        <w:t>ini.</w:t>
      </w:r>
    </w:p>
    <w:p w14:paraId="14E57A8C" w14:textId="77777777" w:rsidR="006468B1" w:rsidRPr="0035519F" w:rsidRDefault="006468B1" w:rsidP="00E62CAE">
      <w:pPr>
        <w:spacing w:after="0" w:line="480" w:lineRule="auto"/>
        <w:ind w:firstLine="720"/>
        <w:jc w:val="both"/>
        <w:rPr>
          <w:rFonts w:ascii="Arial" w:hAnsi="Arial" w:cs="Arial"/>
          <w:sz w:val="24"/>
          <w:szCs w:val="24"/>
        </w:rPr>
      </w:pPr>
      <w:r w:rsidRPr="0035519F">
        <w:rPr>
          <w:rFonts w:ascii="Arial" w:hAnsi="Arial" w:cs="Arial"/>
          <w:sz w:val="24"/>
          <w:szCs w:val="24"/>
        </w:rPr>
        <w:t>Pada kesempatan ini pula penulis ingin menyampaikan terima kasih dan penghargaan yang setinggi-tingginya kepada:</w:t>
      </w:r>
    </w:p>
    <w:p w14:paraId="429B049B"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lastRenderedPageBreak/>
        <w:t xml:space="preserve">Guru Besar di Bagian Patologi Klinik dan Guru Besar Emeritus </w:t>
      </w:r>
      <w:r w:rsidRPr="0035519F">
        <w:rPr>
          <w:rFonts w:ascii="Arial" w:hAnsi="Arial" w:cs="Arial"/>
          <w:spacing w:val="2"/>
          <w:sz w:val="24"/>
          <w:szCs w:val="24"/>
        </w:rPr>
        <w:t xml:space="preserve">FK- </w:t>
      </w:r>
      <w:r w:rsidRPr="0035519F">
        <w:rPr>
          <w:rFonts w:ascii="Arial" w:hAnsi="Arial" w:cs="Arial"/>
          <w:sz w:val="24"/>
          <w:szCs w:val="24"/>
        </w:rPr>
        <w:t>UNHAS, Alm. Prof. dr. Hardjoeno, Sp.PK (K), yang telah merintis pendidikan dokter spesialis Patologi Klinik di FK</w:t>
      </w:r>
      <w:r w:rsidRPr="0035519F">
        <w:rPr>
          <w:rFonts w:ascii="Arial" w:hAnsi="Arial" w:cs="Arial"/>
          <w:spacing w:val="-3"/>
          <w:sz w:val="24"/>
          <w:szCs w:val="24"/>
        </w:rPr>
        <w:t xml:space="preserve"> </w:t>
      </w:r>
      <w:r w:rsidRPr="0035519F">
        <w:rPr>
          <w:rFonts w:ascii="Arial" w:hAnsi="Arial" w:cs="Arial"/>
          <w:sz w:val="24"/>
          <w:szCs w:val="24"/>
        </w:rPr>
        <w:t>Unhas.</w:t>
      </w:r>
    </w:p>
    <w:p w14:paraId="500C8D8B"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Guru</w:t>
      </w:r>
      <w:r w:rsidRPr="0035519F">
        <w:rPr>
          <w:rFonts w:ascii="Arial" w:hAnsi="Arial" w:cs="Arial"/>
          <w:spacing w:val="-8"/>
          <w:sz w:val="24"/>
          <w:szCs w:val="24"/>
        </w:rPr>
        <w:t xml:space="preserve"> </w:t>
      </w:r>
      <w:r w:rsidRPr="0035519F">
        <w:rPr>
          <w:rFonts w:ascii="Arial" w:hAnsi="Arial" w:cs="Arial"/>
          <w:sz w:val="24"/>
          <w:szCs w:val="24"/>
        </w:rPr>
        <w:t>sekaligus</w:t>
      </w:r>
      <w:r w:rsidRPr="0035519F">
        <w:rPr>
          <w:rFonts w:ascii="Arial" w:hAnsi="Arial" w:cs="Arial"/>
          <w:spacing w:val="-6"/>
          <w:sz w:val="24"/>
          <w:szCs w:val="24"/>
        </w:rPr>
        <w:t xml:space="preserve"> </w:t>
      </w:r>
      <w:r w:rsidRPr="0035519F">
        <w:rPr>
          <w:rFonts w:ascii="Arial" w:hAnsi="Arial" w:cs="Arial"/>
          <w:sz w:val="24"/>
          <w:szCs w:val="24"/>
        </w:rPr>
        <w:t>orang</w:t>
      </w:r>
      <w:r w:rsidRPr="0035519F">
        <w:rPr>
          <w:rFonts w:ascii="Arial" w:hAnsi="Arial" w:cs="Arial"/>
          <w:spacing w:val="-7"/>
          <w:sz w:val="24"/>
          <w:szCs w:val="24"/>
        </w:rPr>
        <w:t xml:space="preserve"> </w:t>
      </w:r>
      <w:r w:rsidRPr="0035519F">
        <w:rPr>
          <w:rFonts w:ascii="Arial" w:hAnsi="Arial" w:cs="Arial"/>
          <w:sz w:val="24"/>
          <w:szCs w:val="24"/>
        </w:rPr>
        <w:t>tua</w:t>
      </w:r>
      <w:r w:rsidRPr="0035519F">
        <w:rPr>
          <w:rFonts w:ascii="Arial" w:hAnsi="Arial" w:cs="Arial"/>
          <w:spacing w:val="-8"/>
          <w:sz w:val="24"/>
          <w:szCs w:val="24"/>
        </w:rPr>
        <w:t xml:space="preserve"> </w:t>
      </w:r>
      <w:r w:rsidRPr="0035519F">
        <w:rPr>
          <w:rFonts w:ascii="Arial" w:hAnsi="Arial" w:cs="Arial"/>
          <w:sz w:val="24"/>
          <w:szCs w:val="24"/>
        </w:rPr>
        <w:t>kami,</w:t>
      </w:r>
      <w:r w:rsidRPr="0035519F">
        <w:rPr>
          <w:rFonts w:ascii="Arial" w:hAnsi="Arial" w:cs="Arial"/>
          <w:spacing w:val="-5"/>
          <w:sz w:val="24"/>
          <w:szCs w:val="24"/>
        </w:rPr>
        <w:t xml:space="preserve"> </w:t>
      </w:r>
      <w:r w:rsidRPr="0035519F">
        <w:rPr>
          <w:rFonts w:ascii="Arial" w:hAnsi="Arial" w:cs="Arial"/>
          <w:sz w:val="24"/>
          <w:szCs w:val="24"/>
        </w:rPr>
        <w:t>dr.</w:t>
      </w:r>
      <w:r w:rsidRPr="0035519F">
        <w:rPr>
          <w:rFonts w:ascii="Arial" w:hAnsi="Arial" w:cs="Arial"/>
          <w:spacing w:val="-4"/>
          <w:sz w:val="24"/>
          <w:szCs w:val="24"/>
        </w:rPr>
        <w:t xml:space="preserve"> </w:t>
      </w:r>
      <w:r w:rsidRPr="0035519F">
        <w:rPr>
          <w:rFonts w:ascii="Arial" w:hAnsi="Arial" w:cs="Arial"/>
          <w:sz w:val="24"/>
          <w:szCs w:val="24"/>
        </w:rPr>
        <w:t>H.</w:t>
      </w:r>
      <w:r w:rsidRPr="0035519F">
        <w:rPr>
          <w:rFonts w:ascii="Arial" w:hAnsi="Arial" w:cs="Arial"/>
          <w:spacing w:val="-5"/>
          <w:sz w:val="24"/>
          <w:szCs w:val="24"/>
        </w:rPr>
        <w:t xml:space="preserve"> </w:t>
      </w:r>
      <w:r w:rsidRPr="0035519F">
        <w:rPr>
          <w:rFonts w:ascii="Arial" w:hAnsi="Arial" w:cs="Arial"/>
          <w:sz w:val="24"/>
          <w:szCs w:val="24"/>
        </w:rPr>
        <w:t>Ibrahim</w:t>
      </w:r>
      <w:r w:rsidRPr="0035519F">
        <w:rPr>
          <w:rFonts w:ascii="Arial" w:hAnsi="Arial" w:cs="Arial"/>
          <w:spacing w:val="-6"/>
          <w:sz w:val="24"/>
          <w:szCs w:val="24"/>
        </w:rPr>
        <w:t xml:space="preserve"> </w:t>
      </w:r>
      <w:r w:rsidRPr="0035519F">
        <w:rPr>
          <w:rFonts w:ascii="Arial" w:hAnsi="Arial" w:cs="Arial"/>
          <w:sz w:val="24"/>
          <w:szCs w:val="24"/>
        </w:rPr>
        <w:t>Abdul</w:t>
      </w:r>
      <w:r w:rsidRPr="0035519F">
        <w:rPr>
          <w:rFonts w:ascii="Arial" w:hAnsi="Arial" w:cs="Arial"/>
          <w:spacing w:val="-7"/>
          <w:sz w:val="24"/>
          <w:szCs w:val="24"/>
        </w:rPr>
        <w:t xml:space="preserve"> </w:t>
      </w:r>
      <w:r w:rsidRPr="0035519F">
        <w:rPr>
          <w:rFonts w:ascii="Arial" w:hAnsi="Arial" w:cs="Arial"/>
          <w:sz w:val="24"/>
          <w:szCs w:val="24"/>
        </w:rPr>
        <w:t>Samad,</w:t>
      </w:r>
      <w:r w:rsidRPr="0035519F">
        <w:rPr>
          <w:rFonts w:ascii="Arial" w:hAnsi="Arial" w:cs="Arial"/>
          <w:spacing w:val="-4"/>
          <w:sz w:val="24"/>
          <w:szCs w:val="24"/>
        </w:rPr>
        <w:t xml:space="preserve"> </w:t>
      </w:r>
      <w:r w:rsidRPr="0035519F">
        <w:rPr>
          <w:rFonts w:ascii="Arial" w:hAnsi="Arial" w:cs="Arial"/>
          <w:sz w:val="24"/>
          <w:szCs w:val="24"/>
        </w:rPr>
        <w:t>Sp.PK</w:t>
      </w:r>
      <w:r w:rsidRPr="0035519F">
        <w:rPr>
          <w:rFonts w:ascii="Arial" w:hAnsi="Arial" w:cs="Arial"/>
          <w:spacing w:val="-6"/>
          <w:sz w:val="24"/>
          <w:szCs w:val="24"/>
        </w:rPr>
        <w:t xml:space="preserve"> </w:t>
      </w:r>
      <w:r w:rsidRPr="0035519F">
        <w:rPr>
          <w:rFonts w:ascii="Arial" w:hAnsi="Arial" w:cs="Arial"/>
          <w:sz w:val="24"/>
          <w:szCs w:val="24"/>
        </w:rPr>
        <w:t>(K) dan</w:t>
      </w:r>
      <w:r w:rsidRPr="0035519F">
        <w:rPr>
          <w:rFonts w:ascii="Arial" w:hAnsi="Arial" w:cs="Arial"/>
          <w:spacing w:val="-19"/>
          <w:sz w:val="24"/>
          <w:szCs w:val="24"/>
        </w:rPr>
        <w:t xml:space="preserve"> </w:t>
      </w:r>
      <w:r w:rsidRPr="0035519F">
        <w:rPr>
          <w:rFonts w:ascii="Arial" w:hAnsi="Arial" w:cs="Arial"/>
          <w:sz w:val="24"/>
          <w:szCs w:val="24"/>
        </w:rPr>
        <w:t>dr.</w:t>
      </w:r>
      <w:r w:rsidRPr="0035519F">
        <w:rPr>
          <w:rFonts w:ascii="Arial" w:hAnsi="Arial" w:cs="Arial"/>
          <w:spacing w:val="-15"/>
          <w:sz w:val="24"/>
          <w:szCs w:val="24"/>
        </w:rPr>
        <w:t xml:space="preserve"> </w:t>
      </w:r>
      <w:r w:rsidRPr="0035519F">
        <w:rPr>
          <w:rFonts w:ascii="Arial" w:hAnsi="Arial" w:cs="Arial"/>
          <w:sz w:val="24"/>
          <w:szCs w:val="24"/>
        </w:rPr>
        <w:t>Hj.</w:t>
      </w:r>
      <w:r w:rsidRPr="0035519F">
        <w:rPr>
          <w:rFonts w:ascii="Arial" w:hAnsi="Arial" w:cs="Arial"/>
          <w:spacing w:val="-15"/>
          <w:sz w:val="24"/>
          <w:szCs w:val="24"/>
        </w:rPr>
        <w:t xml:space="preserve"> </w:t>
      </w:r>
      <w:r w:rsidRPr="0035519F">
        <w:rPr>
          <w:rFonts w:ascii="Arial" w:hAnsi="Arial" w:cs="Arial"/>
          <w:sz w:val="24"/>
          <w:szCs w:val="24"/>
        </w:rPr>
        <w:t>Adriani</w:t>
      </w:r>
      <w:r w:rsidRPr="0035519F">
        <w:rPr>
          <w:rFonts w:ascii="Arial" w:hAnsi="Arial" w:cs="Arial"/>
          <w:spacing w:val="-18"/>
          <w:sz w:val="24"/>
          <w:szCs w:val="24"/>
        </w:rPr>
        <w:t xml:space="preserve"> </w:t>
      </w:r>
      <w:r w:rsidRPr="0035519F">
        <w:rPr>
          <w:rFonts w:ascii="Arial" w:hAnsi="Arial" w:cs="Arial"/>
          <w:sz w:val="24"/>
          <w:szCs w:val="24"/>
        </w:rPr>
        <w:t>Badji,</w:t>
      </w:r>
      <w:r w:rsidRPr="0035519F">
        <w:rPr>
          <w:rFonts w:ascii="Arial" w:hAnsi="Arial" w:cs="Arial"/>
          <w:spacing w:val="-15"/>
          <w:sz w:val="24"/>
          <w:szCs w:val="24"/>
        </w:rPr>
        <w:t xml:space="preserve"> </w:t>
      </w:r>
      <w:r w:rsidRPr="0035519F">
        <w:rPr>
          <w:rFonts w:ascii="Arial" w:hAnsi="Arial" w:cs="Arial"/>
          <w:sz w:val="24"/>
          <w:szCs w:val="24"/>
        </w:rPr>
        <w:t>Sp.PK</w:t>
      </w:r>
      <w:r w:rsidRPr="0035519F">
        <w:rPr>
          <w:rFonts w:ascii="Arial" w:hAnsi="Arial" w:cs="Arial"/>
          <w:spacing w:val="-16"/>
          <w:sz w:val="24"/>
          <w:szCs w:val="24"/>
        </w:rPr>
        <w:t xml:space="preserve"> </w:t>
      </w:r>
      <w:r w:rsidRPr="0035519F">
        <w:rPr>
          <w:rFonts w:ascii="Arial" w:hAnsi="Arial" w:cs="Arial"/>
          <w:sz w:val="24"/>
          <w:szCs w:val="24"/>
        </w:rPr>
        <w:t>yang</w:t>
      </w:r>
      <w:r w:rsidRPr="0035519F">
        <w:rPr>
          <w:rFonts w:ascii="Arial" w:hAnsi="Arial" w:cs="Arial"/>
          <w:spacing w:val="-19"/>
          <w:sz w:val="24"/>
          <w:szCs w:val="24"/>
        </w:rPr>
        <w:t xml:space="preserve"> </w:t>
      </w:r>
      <w:r w:rsidRPr="0035519F">
        <w:rPr>
          <w:rFonts w:ascii="Arial" w:hAnsi="Arial" w:cs="Arial"/>
          <w:sz w:val="24"/>
          <w:szCs w:val="24"/>
        </w:rPr>
        <w:t>senantiasa</w:t>
      </w:r>
      <w:r w:rsidRPr="0035519F">
        <w:rPr>
          <w:rFonts w:ascii="Arial" w:hAnsi="Arial" w:cs="Arial"/>
          <w:spacing w:val="-18"/>
          <w:sz w:val="24"/>
          <w:szCs w:val="24"/>
        </w:rPr>
        <w:t xml:space="preserve"> </w:t>
      </w:r>
      <w:r w:rsidRPr="0035519F">
        <w:rPr>
          <w:rFonts w:ascii="Arial" w:hAnsi="Arial" w:cs="Arial"/>
          <w:sz w:val="24"/>
          <w:szCs w:val="24"/>
        </w:rPr>
        <w:t>mendukung,</w:t>
      </w:r>
      <w:r w:rsidRPr="0035519F">
        <w:rPr>
          <w:rFonts w:ascii="Arial" w:hAnsi="Arial" w:cs="Arial"/>
          <w:spacing w:val="-15"/>
          <w:sz w:val="24"/>
          <w:szCs w:val="24"/>
        </w:rPr>
        <w:t xml:space="preserve"> </w:t>
      </w:r>
      <w:r w:rsidRPr="0035519F">
        <w:rPr>
          <w:rFonts w:ascii="Arial" w:hAnsi="Arial" w:cs="Arial"/>
          <w:sz w:val="24"/>
          <w:szCs w:val="24"/>
        </w:rPr>
        <w:t>mendidik, serta membimbing dengan penuh kesabaran, ketulusan hati dan memberi nasehat selama penulis menjalani</w:t>
      </w:r>
      <w:r w:rsidRPr="0035519F">
        <w:rPr>
          <w:rFonts w:ascii="Arial" w:hAnsi="Arial" w:cs="Arial"/>
          <w:spacing w:val="-6"/>
          <w:sz w:val="24"/>
          <w:szCs w:val="24"/>
        </w:rPr>
        <w:t xml:space="preserve"> </w:t>
      </w:r>
      <w:r w:rsidRPr="0035519F">
        <w:rPr>
          <w:rFonts w:ascii="Arial" w:hAnsi="Arial" w:cs="Arial"/>
          <w:sz w:val="24"/>
          <w:szCs w:val="24"/>
        </w:rPr>
        <w:t>pendidikan.</w:t>
      </w:r>
    </w:p>
    <w:p w14:paraId="0C9EE22B"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Guru besar di Departemen Ilmu Patologi Klinik, Prof. dr. Mansyur Arif, Ph.D</w:t>
      </w:r>
      <w:r w:rsidR="008D4AB9" w:rsidRPr="0035519F">
        <w:rPr>
          <w:rFonts w:ascii="Arial" w:hAnsi="Arial" w:cs="Arial"/>
          <w:sz w:val="24"/>
          <w:szCs w:val="24"/>
        </w:rPr>
        <w:t>.</w:t>
      </w:r>
      <w:r w:rsidRPr="0035519F">
        <w:rPr>
          <w:rFonts w:ascii="Arial" w:hAnsi="Arial" w:cs="Arial"/>
          <w:sz w:val="24"/>
          <w:szCs w:val="24"/>
        </w:rPr>
        <w:t>, Sp.PK (K), guru kami yang telah membimbing, mengajar dan memberikan ilmu yang tidak ternilai dengan penuh ketulusan hati dan memberi masukan selama penulis menjalani</w:t>
      </w:r>
      <w:r w:rsidRPr="0035519F">
        <w:rPr>
          <w:rFonts w:ascii="Arial" w:hAnsi="Arial" w:cs="Arial"/>
          <w:spacing w:val="-3"/>
          <w:sz w:val="24"/>
          <w:szCs w:val="24"/>
        </w:rPr>
        <w:t xml:space="preserve"> </w:t>
      </w:r>
      <w:r w:rsidRPr="0035519F">
        <w:rPr>
          <w:rFonts w:ascii="Arial" w:hAnsi="Arial" w:cs="Arial"/>
          <w:sz w:val="24"/>
          <w:szCs w:val="24"/>
        </w:rPr>
        <w:t>pendidikan.</w:t>
      </w:r>
    </w:p>
    <w:p w14:paraId="465748D6" w14:textId="21443CAD" w:rsidR="006468B1" w:rsidRPr="0035519F" w:rsidRDefault="00F24A9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 xml:space="preserve">Ketua Program Studi Ilmu Patologi Klinik </w:t>
      </w:r>
      <w:r w:rsidR="006468B1" w:rsidRPr="0035519F">
        <w:rPr>
          <w:rFonts w:ascii="Arial" w:hAnsi="Arial" w:cs="Arial"/>
          <w:sz w:val="24"/>
          <w:szCs w:val="24"/>
        </w:rPr>
        <w:t>dr. Uleng Bahrun, Sp.PK (K), Ph.D</w:t>
      </w:r>
      <w:r w:rsidR="008D4AB9" w:rsidRPr="0035519F">
        <w:rPr>
          <w:rFonts w:ascii="Arial" w:hAnsi="Arial" w:cs="Arial"/>
          <w:sz w:val="24"/>
          <w:szCs w:val="24"/>
        </w:rPr>
        <w:t>.</w:t>
      </w:r>
      <w:r w:rsidR="006468B1" w:rsidRPr="0035519F">
        <w:rPr>
          <w:rFonts w:ascii="Arial" w:hAnsi="Arial" w:cs="Arial"/>
          <w:sz w:val="24"/>
          <w:szCs w:val="24"/>
        </w:rPr>
        <w:t xml:space="preserve">, </w:t>
      </w:r>
      <w:r w:rsidR="00E3169A" w:rsidRPr="0035519F">
        <w:rPr>
          <w:rFonts w:ascii="Arial" w:hAnsi="Arial" w:cs="Arial"/>
          <w:sz w:val="24"/>
          <w:szCs w:val="24"/>
        </w:rPr>
        <w:t xml:space="preserve">manajer Program Pendidikan Dokter Spesialis (PPDS) periode 2018-2022, </w:t>
      </w:r>
      <w:r w:rsidR="006468B1" w:rsidRPr="0035519F">
        <w:rPr>
          <w:rFonts w:ascii="Arial" w:hAnsi="Arial" w:cs="Arial"/>
          <w:sz w:val="24"/>
          <w:szCs w:val="24"/>
        </w:rPr>
        <w:t>guru sekaligus orang tua kami yang bijaksana, senantiasa membimbing dan memberikan arahan kepada penulis dalam berbagai kegiatan, mengajar, memberi nasehat dan semangat serta memotivasi</w:t>
      </w:r>
      <w:r w:rsidR="006468B1" w:rsidRPr="0035519F">
        <w:rPr>
          <w:rFonts w:ascii="Arial" w:hAnsi="Arial" w:cs="Arial"/>
          <w:spacing w:val="-3"/>
          <w:sz w:val="24"/>
          <w:szCs w:val="24"/>
        </w:rPr>
        <w:t xml:space="preserve"> </w:t>
      </w:r>
      <w:r w:rsidR="006468B1" w:rsidRPr="0035519F">
        <w:rPr>
          <w:rFonts w:ascii="Arial" w:hAnsi="Arial" w:cs="Arial"/>
          <w:sz w:val="24"/>
          <w:szCs w:val="24"/>
        </w:rPr>
        <w:t>penulis.</w:t>
      </w:r>
    </w:p>
    <w:p w14:paraId="1D9222F2" w14:textId="07C8B059"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Ketua Departemen Ilmu Patologi Klinik FK-UNHAS Dr. dr. Yuyun Widaningsih,</w:t>
      </w:r>
      <w:r w:rsidRPr="0035519F">
        <w:rPr>
          <w:rFonts w:ascii="Arial" w:hAnsi="Arial" w:cs="Arial"/>
          <w:spacing w:val="-6"/>
          <w:sz w:val="24"/>
          <w:szCs w:val="24"/>
        </w:rPr>
        <w:t xml:space="preserve"> </w:t>
      </w:r>
      <w:r w:rsidRPr="0035519F">
        <w:rPr>
          <w:rFonts w:ascii="Arial" w:hAnsi="Arial" w:cs="Arial"/>
          <w:sz w:val="24"/>
          <w:szCs w:val="24"/>
        </w:rPr>
        <w:t>M.</w:t>
      </w:r>
      <w:r w:rsidRPr="0035519F">
        <w:rPr>
          <w:rFonts w:ascii="Arial" w:hAnsi="Arial" w:cs="Arial"/>
          <w:spacing w:val="-7"/>
          <w:sz w:val="24"/>
          <w:szCs w:val="24"/>
        </w:rPr>
        <w:t xml:space="preserve"> </w:t>
      </w:r>
      <w:r w:rsidRPr="0035519F">
        <w:rPr>
          <w:rFonts w:ascii="Arial" w:hAnsi="Arial" w:cs="Arial"/>
          <w:sz w:val="24"/>
          <w:szCs w:val="24"/>
        </w:rPr>
        <w:t>Kes,</w:t>
      </w:r>
      <w:r w:rsidRPr="0035519F">
        <w:rPr>
          <w:rFonts w:ascii="Arial" w:hAnsi="Arial" w:cs="Arial"/>
          <w:spacing w:val="-6"/>
          <w:sz w:val="24"/>
          <w:szCs w:val="24"/>
        </w:rPr>
        <w:t xml:space="preserve"> </w:t>
      </w:r>
      <w:r w:rsidRPr="0035519F">
        <w:rPr>
          <w:rFonts w:ascii="Arial" w:hAnsi="Arial" w:cs="Arial"/>
          <w:sz w:val="24"/>
          <w:szCs w:val="24"/>
        </w:rPr>
        <w:t>Sp.PK</w:t>
      </w:r>
      <w:r w:rsidR="00F24A91" w:rsidRPr="0035519F">
        <w:rPr>
          <w:rFonts w:ascii="Arial" w:hAnsi="Arial" w:cs="Arial"/>
          <w:sz w:val="24"/>
          <w:szCs w:val="24"/>
        </w:rPr>
        <w:t>(K)</w:t>
      </w:r>
      <w:r w:rsidRPr="0035519F">
        <w:rPr>
          <w:rFonts w:ascii="Arial" w:hAnsi="Arial" w:cs="Arial"/>
          <w:sz w:val="24"/>
          <w:szCs w:val="24"/>
        </w:rPr>
        <w:t xml:space="preserve">. Guru kami yang bijaksana, senantiasa memberikan arahan kepada penulis dalam berbagai kegiatan, </w:t>
      </w:r>
      <w:r w:rsidR="001266F2" w:rsidRPr="0035519F">
        <w:rPr>
          <w:rFonts w:ascii="Arial" w:hAnsi="Arial" w:cs="Arial"/>
          <w:sz w:val="24"/>
          <w:szCs w:val="24"/>
        </w:rPr>
        <w:t xml:space="preserve">mendengar segala keluh kesah kami, </w:t>
      </w:r>
      <w:r w:rsidRPr="0035519F">
        <w:rPr>
          <w:rFonts w:ascii="Arial" w:hAnsi="Arial" w:cs="Arial"/>
          <w:sz w:val="24"/>
          <w:szCs w:val="24"/>
        </w:rPr>
        <w:t>mengajar,</w:t>
      </w:r>
      <w:r w:rsidRPr="0035519F">
        <w:rPr>
          <w:rFonts w:ascii="Arial" w:hAnsi="Arial" w:cs="Arial"/>
          <w:spacing w:val="21"/>
          <w:sz w:val="24"/>
          <w:szCs w:val="24"/>
        </w:rPr>
        <w:t xml:space="preserve"> </w:t>
      </w:r>
      <w:r w:rsidRPr="0035519F">
        <w:rPr>
          <w:rFonts w:ascii="Arial" w:hAnsi="Arial" w:cs="Arial"/>
          <w:sz w:val="24"/>
          <w:szCs w:val="24"/>
        </w:rPr>
        <w:t>memberi</w:t>
      </w:r>
      <w:r w:rsidR="008D4AB9" w:rsidRPr="0035519F">
        <w:rPr>
          <w:rFonts w:ascii="Arial" w:hAnsi="Arial" w:cs="Arial"/>
          <w:sz w:val="24"/>
          <w:szCs w:val="24"/>
        </w:rPr>
        <w:t xml:space="preserve"> </w:t>
      </w:r>
      <w:r w:rsidRPr="0035519F">
        <w:rPr>
          <w:rFonts w:ascii="Arial" w:hAnsi="Arial" w:cs="Arial"/>
          <w:sz w:val="24"/>
          <w:szCs w:val="24"/>
        </w:rPr>
        <w:t xml:space="preserve">nasehat dan </w:t>
      </w:r>
      <w:r w:rsidRPr="0035519F">
        <w:rPr>
          <w:rFonts w:ascii="Arial" w:hAnsi="Arial" w:cs="Arial"/>
          <w:sz w:val="24"/>
          <w:szCs w:val="24"/>
        </w:rPr>
        <w:lastRenderedPageBreak/>
        <w:t>s</w:t>
      </w:r>
      <w:r w:rsidR="001266F2" w:rsidRPr="0035519F">
        <w:rPr>
          <w:rFonts w:ascii="Arial" w:hAnsi="Arial" w:cs="Arial"/>
          <w:sz w:val="24"/>
          <w:szCs w:val="24"/>
        </w:rPr>
        <w:t>emangat serta memberikan motivasi</w:t>
      </w:r>
      <w:r w:rsidRPr="0035519F">
        <w:rPr>
          <w:rFonts w:ascii="Arial" w:hAnsi="Arial" w:cs="Arial"/>
          <w:sz w:val="24"/>
          <w:szCs w:val="24"/>
        </w:rPr>
        <w:t xml:space="preserve"> dan bimbingan dalam penyusunan karya akhir ini.</w:t>
      </w:r>
    </w:p>
    <w:p w14:paraId="0A53524B" w14:textId="7221E5E1" w:rsidR="006468B1" w:rsidRPr="0035519F" w:rsidRDefault="008D4AB9"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 xml:space="preserve">Dr. </w:t>
      </w:r>
      <w:r w:rsidR="006468B1" w:rsidRPr="0035519F">
        <w:rPr>
          <w:rFonts w:ascii="Arial" w:hAnsi="Arial" w:cs="Arial"/>
          <w:sz w:val="24"/>
          <w:szCs w:val="24"/>
        </w:rPr>
        <w:t xml:space="preserve">dr. </w:t>
      </w:r>
      <w:r w:rsidRPr="0035519F">
        <w:rPr>
          <w:rFonts w:ascii="Arial" w:hAnsi="Arial" w:cs="Arial"/>
          <w:sz w:val="24"/>
          <w:szCs w:val="24"/>
        </w:rPr>
        <w:t>Tenri Esa</w:t>
      </w:r>
      <w:r w:rsidR="006468B1" w:rsidRPr="0035519F">
        <w:rPr>
          <w:rFonts w:ascii="Arial" w:hAnsi="Arial" w:cs="Arial"/>
          <w:sz w:val="24"/>
          <w:szCs w:val="24"/>
        </w:rPr>
        <w:t>,</w:t>
      </w:r>
      <w:r w:rsidRPr="0035519F">
        <w:rPr>
          <w:rFonts w:ascii="Arial" w:hAnsi="Arial" w:cs="Arial"/>
          <w:sz w:val="24"/>
          <w:szCs w:val="24"/>
        </w:rPr>
        <w:t xml:space="preserve"> M.Si.,</w:t>
      </w:r>
      <w:r w:rsidR="006468B1" w:rsidRPr="0035519F">
        <w:rPr>
          <w:rFonts w:ascii="Arial" w:hAnsi="Arial" w:cs="Arial"/>
          <w:sz w:val="24"/>
          <w:szCs w:val="24"/>
        </w:rPr>
        <w:t xml:space="preserve"> Sp.PK (K), Ketua Program Studi Departemen Ilmu Patol</w:t>
      </w:r>
      <w:r w:rsidRPr="0035519F">
        <w:rPr>
          <w:rFonts w:ascii="Arial" w:hAnsi="Arial" w:cs="Arial"/>
          <w:sz w:val="24"/>
          <w:szCs w:val="24"/>
        </w:rPr>
        <w:t>ogi Klinik FK-UNHAS periode 201</w:t>
      </w:r>
      <w:r w:rsidR="001266F2" w:rsidRPr="0035519F">
        <w:rPr>
          <w:rFonts w:ascii="Arial" w:hAnsi="Arial" w:cs="Arial"/>
          <w:sz w:val="24"/>
          <w:szCs w:val="24"/>
        </w:rPr>
        <w:t>7</w:t>
      </w:r>
      <w:r w:rsidRPr="0035519F">
        <w:rPr>
          <w:rFonts w:ascii="Arial" w:hAnsi="Arial" w:cs="Arial"/>
          <w:sz w:val="24"/>
          <w:szCs w:val="24"/>
        </w:rPr>
        <w:t>-2022</w:t>
      </w:r>
      <w:r w:rsidR="006468B1" w:rsidRPr="0035519F">
        <w:rPr>
          <w:rFonts w:ascii="Arial" w:hAnsi="Arial" w:cs="Arial"/>
          <w:sz w:val="24"/>
          <w:szCs w:val="24"/>
        </w:rPr>
        <w:t xml:space="preserve"> yang memb</w:t>
      </w:r>
      <w:r w:rsidR="001266F2" w:rsidRPr="0035519F">
        <w:rPr>
          <w:rFonts w:ascii="Arial" w:hAnsi="Arial" w:cs="Arial"/>
          <w:sz w:val="24"/>
          <w:szCs w:val="24"/>
        </w:rPr>
        <w:t>erikan bimbingan dan arahan sejak</w:t>
      </w:r>
      <w:r w:rsidR="006468B1" w:rsidRPr="0035519F">
        <w:rPr>
          <w:rFonts w:ascii="Arial" w:hAnsi="Arial" w:cs="Arial"/>
          <w:sz w:val="24"/>
          <w:szCs w:val="24"/>
        </w:rPr>
        <w:t xml:space="preserve"> masa-masa awal pendidikan</w:t>
      </w:r>
      <w:r w:rsidR="006468B1" w:rsidRPr="0035519F">
        <w:rPr>
          <w:rFonts w:ascii="Arial" w:hAnsi="Arial" w:cs="Arial"/>
          <w:spacing w:val="-17"/>
          <w:sz w:val="24"/>
          <w:szCs w:val="24"/>
        </w:rPr>
        <w:t xml:space="preserve"> </w:t>
      </w:r>
      <w:r w:rsidR="006468B1" w:rsidRPr="0035519F">
        <w:rPr>
          <w:rFonts w:ascii="Arial" w:hAnsi="Arial" w:cs="Arial"/>
          <w:sz w:val="24"/>
          <w:szCs w:val="24"/>
        </w:rPr>
        <w:t>penulis</w:t>
      </w:r>
      <w:r w:rsidR="001266F2" w:rsidRPr="0035519F">
        <w:rPr>
          <w:rFonts w:ascii="Arial" w:hAnsi="Arial" w:cs="Arial"/>
          <w:sz w:val="24"/>
          <w:szCs w:val="24"/>
        </w:rPr>
        <w:t xml:space="preserve"> hingga saat ini sekaligus sebagai pembimbing penulis yang bijaksana,</w:t>
      </w:r>
      <w:r w:rsidR="00CD7500" w:rsidRPr="0035519F">
        <w:rPr>
          <w:rFonts w:ascii="Arial" w:hAnsi="Arial" w:cs="Arial"/>
          <w:sz w:val="24"/>
          <w:szCs w:val="24"/>
        </w:rPr>
        <w:t xml:space="preserve"> orang tua kami yang senantiasa mengerti dan mengayomi penulis dengan penuh ketulusan dan kesabaran</w:t>
      </w:r>
      <w:r w:rsidR="006468B1" w:rsidRPr="0035519F">
        <w:rPr>
          <w:rFonts w:ascii="Arial" w:hAnsi="Arial" w:cs="Arial"/>
          <w:sz w:val="24"/>
          <w:szCs w:val="24"/>
        </w:rPr>
        <w:t>.</w:t>
      </w:r>
    </w:p>
    <w:p w14:paraId="6B1606CA" w14:textId="77777777" w:rsidR="00461E06" w:rsidRPr="0035519F" w:rsidRDefault="00461E06" w:rsidP="00461E06">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Sekretaris Program Studi Ilmu Patologi Klinik FK-UNHAS dr. Raehana Samad, M.Kes., Sp.PK(K), guru kami yang senantiasa memberi bimbingan, nasehat dan</w:t>
      </w:r>
      <w:r w:rsidRPr="0035519F">
        <w:rPr>
          <w:rFonts w:ascii="Arial" w:hAnsi="Arial" w:cs="Arial"/>
          <w:spacing w:val="-1"/>
          <w:sz w:val="24"/>
          <w:szCs w:val="24"/>
        </w:rPr>
        <w:t xml:space="preserve"> </w:t>
      </w:r>
      <w:r w:rsidRPr="0035519F">
        <w:rPr>
          <w:rFonts w:ascii="Arial" w:hAnsi="Arial" w:cs="Arial"/>
          <w:sz w:val="24"/>
          <w:szCs w:val="24"/>
        </w:rPr>
        <w:t>semangat.</w:t>
      </w:r>
    </w:p>
    <w:p w14:paraId="3988B973" w14:textId="75E809D0"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Sekretaris</w:t>
      </w:r>
      <w:r w:rsidRPr="0035519F">
        <w:rPr>
          <w:rFonts w:ascii="Arial" w:hAnsi="Arial" w:cs="Arial"/>
          <w:spacing w:val="-17"/>
          <w:sz w:val="24"/>
          <w:szCs w:val="24"/>
        </w:rPr>
        <w:t xml:space="preserve"> </w:t>
      </w:r>
      <w:r w:rsidRPr="0035519F">
        <w:rPr>
          <w:rFonts w:ascii="Arial" w:hAnsi="Arial" w:cs="Arial"/>
          <w:sz w:val="24"/>
          <w:szCs w:val="24"/>
        </w:rPr>
        <w:t>Program</w:t>
      </w:r>
      <w:r w:rsidRPr="0035519F">
        <w:rPr>
          <w:rFonts w:ascii="Arial" w:hAnsi="Arial" w:cs="Arial"/>
          <w:spacing w:val="-16"/>
          <w:sz w:val="24"/>
          <w:szCs w:val="24"/>
        </w:rPr>
        <w:t xml:space="preserve"> </w:t>
      </w:r>
      <w:r w:rsidRPr="0035519F">
        <w:rPr>
          <w:rFonts w:ascii="Arial" w:hAnsi="Arial" w:cs="Arial"/>
          <w:sz w:val="24"/>
          <w:szCs w:val="24"/>
        </w:rPr>
        <w:t>Studi</w:t>
      </w:r>
      <w:r w:rsidRPr="0035519F">
        <w:rPr>
          <w:rFonts w:ascii="Arial" w:hAnsi="Arial" w:cs="Arial"/>
          <w:spacing w:val="-17"/>
          <w:sz w:val="24"/>
          <w:szCs w:val="24"/>
        </w:rPr>
        <w:t xml:space="preserve"> </w:t>
      </w:r>
      <w:r w:rsidRPr="0035519F">
        <w:rPr>
          <w:rFonts w:ascii="Arial" w:hAnsi="Arial" w:cs="Arial"/>
          <w:sz w:val="24"/>
          <w:szCs w:val="24"/>
        </w:rPr>
        <w:t>Ilmu</w:t>
      </w:r>
      <w:r w:rsidRPr="0035519F">
        <w:rPr>
          <w:rFonts w:ascii="Arial" w:hAnsi="Arial" w:cs="Arial"/>
          <w:spacing w:val="-17"/>
          <w:sz w:val="24"/>
          <w:szCs w:val="24"/>
        </w:rPr>
        <w:t xml:space="preserve"> </w:t>
      </w:r>
      <w:r w:rsidRPr="0035519F">
        <w:rPr>
          <w:rFonts w:ascii="Arial" w:hAnsi="Arial" w:cs="Arial"/>
          <w:sz w:val="24"/>
          <w:szCs w:val="24"/>
        </w:rPr>
        <w:t>Patologi</w:t>
      </w:r>
      <w:r w:rsidRPr="0035519F">
        <w:rPr>
          <w:rFonts w:ascii="Arial" w:hAnsi="Arial" w:cs="Arial"/>
          <w:spacing w:val="-15"/>
          <w:sz w:val="24"/>
          <w:szCs w:val="24"/>
        </w:rPr>
        <w:t xml:space="preserve"> </w:t>
      </w:r>
      <w:r w:rsidRPr="0035519F">
        <w:rPr>
          <w:rFonts w:ascii="Arial" w:hAnsi="Arial" w:cs="Arial"/>
          <w:sz w:val="24"/>
          <w:szCs w:val="24"/>
        </w:rPr>
        <w:t>Klinik</w:t>
      </w:r>
      <w:r w:rsidRPr="0035519F">
        <w:rPr>
          <w:rFonts w:ascii="Arial" w:hAnsi="Arial" w:cs="Arial"/>
          <w:spacing w:val="-16"/>
          <w:sz w:val="24"/>
          <w:szCs w:val="24"/>
        </w:rPr>
        <w:t xml:space="preserve"> </w:t>
      </w:r>
      <w:r w:rsidRPr="0035519F">
        <w:rPr>
          <w:rFonts w:ascii="Arial" w:hAnsi="Arial" w:cs="Arial"/>
          <w:sz w:val="24"/>
          <w:szCs w:val="24"/>
        </w:rPr>
        <w:t>FK-UNHAS</w:t>
      </w:r>
      <w:r w:rsidRPr="0035519F">
        <w:rPr>
          <w:rFonts w:ascii="Arial" w:hAnsi="Arial" w:cs="Arial"/>
          <w:spacing w:val="-16"/>
          <w:sz w:val="24"/>
          <w:szCs w:val="24"/>
        </w:rPr>
        <w:t xml:space="preserve"> </w:t>
      </w:r>
      <w:r w:rsidRPr="0035519F">
        <w:rPr>
          <w:rFonts w:ascii="Arial" w:hAnsi="Arial" w:cs="Arial"/>
          <w:sz w:val="24"/>
          <w:szCs w:val="24"/>
        </w:rPr>
        <w:t>periode</w:t>
      </w:r>
      <w:r w:rsidRPr="0035519F">
        <w:rPr>
          <w:rFonts w:ascii="Arial" w:hAnsi="Arial" w:cs="Arial"/>
          <w:spacing w:val="-18"/>
          <w:sz w:val="24"/>
          <w:szCs w:val="24"/>
        </w:rPr>
        <w:t xml:space="preserve"> </w:t>
      </w:r>
      <w:r w:rsidRPr="0035519F">
        <w:rPr>
          <w:rFonts w:ascii="Arial" w:hAnsi="Arial" w:cs="Arial"/>
          <w:sz w:val="24"/>
          <w:szCs w:val="24"/>
        </w:rPr>
        <w:t>2</w:t>
      </w:r>
      <w:r w:rsidR="00B841E2" w:rsidRPr="0035519F">
        <w:rPr>
          <w:rFonts w:ascii="Arial" w:hAnsi="Arial" w:cs="Arial"/>
          <w:sz w:val="24"/>
          <w:szCs w:val="24"/>
        </w:rPr>
        <w:t>018</w:t>
      </w:r>
      <w:r w:rsidRPr="0035519F">
        <w:rPr>
          <w:rFonts w:ascii="Arial" w:hAnsi="Arial" w:cs="Arial"/>
          <w:sz w:val="24"/>
          <w:szCs w:val="24"/>
        </w:rPr>
        <w:t>- 2021, dr. Rachmawati A. Muhiddin, Sp.PK(K), guru kami yang penuh dengan kesabaran senantiasa memberi bimbingan, nasehat dan semangat.</w:t>
      </w:r>
    </w:p>
    <w:p w14:paraId="0E63B4FD" w14:textId="77777777" w:rsidR="006468B1" w:rsidRPr="0035519F" w:rsidRDefault="008D4AB9"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 xml:space="preserve">Dr. dr. Nursin Abd. Kadir, M.Kes., Sp.PK </w:t>
      </w:r>
      <w:r w:rsidR="006468B1" w:rsidRPr="0035519F">
        <w:rPr>
          <w:rFonts w:ascii="Arial" w:hAnsi="Arial" w:cs="Arial"/>
          <w:sz w:val="24"/>
          <w:szCs w:val="24"/>
        </w:rPr>
        <w:t>sebagai pembimbing akademik penulis yang bijaksana, senantiasa membimbing dan memberikan arahan, nasehat dan semangat serta memotivasi</w:t>
      </w:r>
      <w:r w:rsidR="006468B1" w:rsidRPr="0035519F">
        <w:rPr>
          <w:rFonts w:ascii="Arial" w:hAnsi="Arial" w:cs="Arial"/>
          <w:spacing w:val="-6"/>
          <w:sz w:val="24"/>
          <w:szCs w:val="24"/>
        </w:rPr>
        <w:t xml:space="preserve"> </w:t>
      </w:r>
      <w:r w:rsidR="006468B1" w:rsidRPr="0035519F">
        <w:rPr>
          <w:rFonts w:ascii="Arial" w:hAnsi="Arial" w:cs="Arial"/>
          <w:sz w:val="24"/>
          <w:szCs w:val="24"/>
        </w:rPr>
        <w:t>penulis.</w:t>
      </w:r>
    </w:p>
    <w:p w14:paraId="222315C5"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Dr. dr. Liong Boy Kurniawan, M.Kes, Sp.PK (K) sebagai pembimbing penelitian penulis yang bijaksana, senantiasa membimbing dan memberikan arahan, semangat dan memotivasi</w:t>
      </w:r>
      <w:r w:rsidRPr="0035519F">
        <w:rPr>
          <w:rFonts w:ascii="Arial" w:hAnsi="Arial" w:cs="Arial"/>
          <w:spacing w:val="-3"/>
          <w:sz w:val="24"/>
          <w:szCs w:val="24"/>
        </w:rPr>
        <w:t xml:space="preserve"> </w:t>
      </w:r>
      <w:r w:rsidRPr="0035519F">
        <w:rPr>
          <w:rFonts w:ascii="Arial" w:hAnsi="Arial" w:cs="Arial"/>
          <w:sz w:val="24"/>
          <w:szCs w:val="24"/>
        </w:rPr>
        <w:t>penulis.</w:t>
      </w:r>
    </w:p>
    <w:p w14:paraId="3706E176"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lastRenderedPageBreak/>
        <w:t>Semua</w:t>
      </w:r>
      <w:r w:rsidRPr="0035519F">
        <w:rPr>
          <w:rFonts w:ascii="Arial" w:hAnsi="Arial" w:cs="Arial"/>
          <w:spacing w:val="-18"/>
          <w:sz w:val="24"/>
          <w:szCs w:val="24"/>
        </w:rPr>
        <w:t xml:space="preserve"> </w:t>
      </w:r>
      <w:r w:rsidRPr="0035519F">
        <w:rPr>
          <w:rFonts w:ascii="Arial" w:hAnsi="Arial" w:cs="Arial"/>
          <w:sz w:val="24"/>
          <w:szCs w:val="24"/>
        </w:rPr>
        <w:t>guru,</w:t>
      </w:r>
      <w:r w:rsidRPr="0035519F">
        <w:rPr>
          <w:rFonts w:ascii="Arial" w:hAnsi="Arial" w:cs="Arial"/>
          <w:spacing w:val="-14"/>
          <w:sz w:val="24"/>
          <w:szCs w:val="24"/>
        </w:rPr>
        <w:t xml:space="preserve"> </w:t>
      </w:r>
      <w:r w:rsidRPr="0035519F">
        <w:rPr>
          <w:rFonts w:ascii="Arial" w:hAnsi="Arial" w:cs="Arial"/>
          <w:sz w:val="24"/>
          <w:szCs w:val="24"/>
        </w:rPr>
        <w:t>Supervisor</w:t>
      </w:r>
      <w:r w:rsidRPr="0035519F">
        <w:rPr>
          <w:rFonts w:ascii="Arial" w:hAnsi="Arial" w:cs="Arial"/>
          <w:spacing w:val="-16"/>
          <w:sz w:val="24"/>
          <w:szCs w:val="24"/>
        </w:rPr>
        <w:t xml:space="preserve"> </w:t>
      </w:r>
      <w:r w:rsidRPr="0035519F">
        <w:rPr>
          <w:rFonts w:ascii="Arial" w:hAnsi="Arial" w:cs="Arial"/>
          <w:sz w:val="24"/>
          <w:szCs w:val="24"/>
        </w:rPr>
        <w:t>di</w:t>
      </w:r>
      <w:r w:rsidRPr="0035519F">
        <w:rPr>
          <w:rFonts w:ascii="Arial" w:hAnsi="Arial" w:cs="Arial"/>
          <w:spacing w:val="-16"/>
          <w:sz w:val="24"/>
          <w:szCs w:val="24"/>
        </w:rPr>
        <w:t xml:space="preserve"> </w:t>
      </w:r>
      <w:r w:rsidRPr="0035519F">
        <w:rPr>
          <w:rFonts w:ascii="Arial" w:hAnsi="Arial" w:cs="Arial"/>
          <w:sz w:val="24"/>
          <w:szCs w:val="24"/>
        </w:rPr>
        <w:t>Departemen</w:t>
      </w:r>
      <w:r w:rsidRPr="0035519F">
        <w:rPr>
          <w:rFonts w:ascii="Arial" w:hAnsi="Arial" w:cs="Arial"/>
          <w:spacing w:val="-17"/>
          <w:sz w:val="24"/>
          <w:szCs w:val="24"/>
        </w:rPr>
        <w:t xml:space="preserve"> </w:t>
      </w:r>
      <w:r w:rsidRPr="0035519F">
        <w:rPr>
          <w:rFonts w:ascii="Arial" w:hAnsi="Arial" w:cs="Arial"/>
          <w:sz w:val="24"/>
          <w:szCs w:val="24"/>
        </w:rPr>
        <w:t>Ilmu</w:t>
      </w:r>
      <w:r w:rsidRPr="0035519F">
        <w:rPr>
          <w:rFonts w:ascii="Arial" w:hAnsi="Arial" w:cs="Arial"/>
          <w:spacing w:val="-17"/>
          <w:sz w:val="24"/>
          <w:szCs w:val="24"/>
        </w:rPr>
        <w:t xml:space="preserve"> </w:t>
      </w:r>
      <w:r w:rsidRPr="0035519F">
        <w:rPr>
          <w:rFonts w:ascii="Arial" w:hAnsi="Arial" w:cs="Arial"/>
          <w:sz w:val="24"/>
          <w:szCs w:val="24"/>
        </w:rPr>
        <w:t>Patologi</w:t>
      </w:r>
      <w:r w:rsidRPr="0035519F">
        <w:rPr>
          <w:rFonts w:ascii="Arial" w:hAnsi="Arial" w:cs="Arial"/>
          <w:spacing w:val="-17"/>
          <w:sz w:val="24"/>
          <w:szCs w:val="24"/>
        </w:rPr>
        <w:t xml:space="preserve"> </w:t>
      </w:r>
      <w:r w:rsidRPr="0035519F">
        <w:rPr>
          <w:rFonts w:ascii="Arial" w:hAnsi="Arial" w:cs="Arial"/>
          <w:sz w:val="24"/>
          <w:szCs w:val="24"/>
        </w:rPr>
        <w:t>Klinik</w:t>
      </w:r>
      <w:r w:rsidRPr="0035519F">
        <w:rPr>
          <w:rFonts w:ascii="Arial" w:hAnsi="Arial" w:cs="Arial"/>
          <w:spacing w:val="-15"/>
          <w:sz w:val="24"/>
          <w:szCs w:val="24"/>
        </w:rPr>
        <w:t xml:space="preserve"> </w:t>
      </w:r>
      <w:r w:rsidRPr="0035519F">
        <w:rPr>
          <w:rFonts w:ascii="Arial" w:hAnsi="Arial" w:cs="Arial"/>
          <w:sz w:val="24"/>
          <w:szCs w:val="24"/>
        </w:rPr>
        <w:t>FK-UNHAS yang senantiasa memberikan bimbingan dan saran selama penulis menjalani pendidikan sampai pada penyusunan karya akhir</w:t>
      </w:r>
      <w:r w:rsidRPr="0035519F">
        <w:rPr>
          <w:rFonts w:ascii="Arial" w:hAnsi="Arial" w:cs="Arial"/>
          <w:spacing w:val="-15"/>
          <w:sz w:val="24"/>
          <w:szCs w:val="24"/>
        </w:rPr>
        <w:t xml:space="preserve"> </w:t>
      </w:r>
      <w:r w:rsidRPr="0035519F">
        <w:rPr>
          <w:rFonts w:ascii="Arial" w:hAnsi="Arial" w:cs="Arial"/>
          <w:sz w:val="24"/>
          <w:szCs w:val="24"/>
        </w:rPr>
        <w:t>ini.</w:t>
      </w:r>
    </w:p>
    <w:p w14:paraId="1E043CDE" w14:textId="2325DAE5"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Pembimbing metodologi</w:t>
      </w:r>
      <w:r w:rsidR="001266F2" w:rsidRPr="0035519F">
        <w:rPr>
          <w:rFonts w:ascii="Arial" w:hAnsi="Arial" w:cs="Arial"/>
          <w:sz w:val="24"/>
          <w:szCs w:val="24"/>
        </w:rPr>
        <w:t xml:space="preserve"> peneltian</w:t>
      </w:r>
      <w:r w:rsidRPr="0035519F">
        <w:rPr>
          <w:rFonts w:ascii="Arial" w:hAnsi="Arial" w:cs="Arial"/>
          <w:sz w:val="24"/>
          <w:szCs w:val="24"/>
        </w:rPr>
        <w:t xml:space="preserve"> Dr. dr. </w:t>
      </w:r>
      <w:r w:rsidR="008D4AB9" w:rsidRPr="0035519F">
        <w:rPr>
          <w:rFonts w:ascii="Arial" w:hAnsi="Arial" w:cs="Arial"/>
          <w:sz w:val="24"/>
          <w:szCs w:val="24"/>
        </w:rPr>
        <w:t>Burhanuddin Bahar</w:t>
      </w:r>
      <w:r w:rsidRPr="0035519F">
        <w:rPr>
          <w:rFonts w:ascii="Arial" w:hAnsi="Arial" w:cs="Arial"/>
          <w:sz w:val="24"/>
          <w:szCs w:val="24"/>
        </w:rPr>
        <w:t>, M</w:t>
      </w:r>
      <w:r w:rsidR="008D4AB9" w:rsidRPr="0035519F">
        <w:rPr>
          <w:rFonts w:ascii="Arial" w:hAnsi="Arial" w:cs="Arial"/>
          <w:sz w:val="24"/>
          <w:szCs w:val="24"/>
        </w:rPr>
        <w:t xml:space="preserve">S </w:t>
      </w:r>
      <w:r w:rsidRPr="0035519F">
        <w:rPr>
          <w:rFonts w:ascii="Arial" w:hAnsi="Arial" w:cs="Arial"/>
          <w:sz w:val="24"/>
          <w:szCs w:val="24"/>
        </w:rPr>
        <w:t>yang telah membimbing penulis dalam bidang Metode Penelitian dan Statistik selama penyusunan tesis</w:t>
      </w:r>
      <w:r w:rsidRPr="0035519F">
        <w:rPr>
          <w:rFonts w:ascii="Arial" w:hAnsi="Arial" w:cs="Arial"/>
          <w:spacing w:val="-2"/>
          <w:sz w:val="24"/>
          <w:szCs w:val="24"/>
        </w:rPr>
        <w:t xml:space="preserve"> </w:t>
      </w:r>
      <w:r w:rsidRPr="0035519F">
        <w:rPr>
          <w:rFonts w:ascii="Arial" w:hAnsi="Arial" w:cs="Arial"/>
          <w:sz w:val="24"/>
          <w:szCs w:val="24"/>
        </w:rPr>
        <w:t>ini.</w:t>
      </w:r>
    </w:p>
    <w:p w14:paraId="239FD1B0"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Dosen-dosen</w:t>
      </w:r>
      <w:r w:rsidRPr="0035519F">
        <w:rPr>
          <w:rFonts w:ascii="Arial" w:hAnsi="Arial" w:cs="Arial"/>
          <w:spacing w:val="45"/>
          <w:sz w:val="24"/>
          <w:szCs w:val="24"/>
        </w:rPr>
        <w:t xml:space="preserve"> </w:t>
      </w:r>
      <w:r w:rsidRPr="0035519F">
        <w:rPr>
          <w:rFonts w:ascii="Arial" w:hAnsi="Arial" w:cs="Arial"/>
          <w:sz w:val="24"/>
          <w:szCs w:val="24"/>
        </w:rPr>
        <w:t>penguji:</w:t>
      </w:r>
      <w:r w:rsidRPr="0035519F">
        <w:rPr>
          <w:rFonts w:ascii="Arial" w:hAnsi="Arial" w:cs="Arial"/>
          <w:spacing w:val="50"/>
          <w:sz w:val="24"/>
          <w:szCs w:val="24"/>
        </w:rPr>
        <w:t xml:space="preserve"> </w:t>
      </w:r>
      <w:r w:rsidRPr="0035519F">
        <w:rPr>
          <w:rFonts w:ascii="Arial" w:hAnsi="Arial" w:cs="Arial"/>
          <w:sz w:val="24"/>
          <w:szCs w:val="24"/>
        </w:rPr>
        <w:t>Dr.</w:t>
      </w:r>
      <w:r w:rsidRPr="0035519F">
        <w:rPr>
          <w:rFonts w:ascii="Arial" w:hAnsi="Arial" w:cs="Arial"/>
          <w:spacing w:val="50"/>
          <w:sz w:val="24"/>
          <w:szCs w:val="24"/>
        </w:rPr>
        <w:t xml:space="preserve"> </w:t>
      </w:r>
      <w:r w:rsidRPr="0035519F">
        <w:rPr>
          <w:rFonts w:ascii="Arial" w:hAnsi="Arial" w:cs="Arial"/>
          <w:sz w:val="24"/>
          <w:szCs w:val="24"/>
        </w:rPr>
        <w:t>dr.</w:t>
      </w:r>
      <w:r w:rsidRPr="0035519F">
        <w:rPr>
          <w:rFonts w:ascii="Arial" w:hAnsi="Arial" w:cs="Arial"/>
          <w:spacing w:val="49"/>
          <w:sz w:val="24"/>
          <w:szCs w:val="24"/>
        </w:rPr>
        <w:t xml:space="preserve"> </w:t>
      </w:r>
      <w:r w:rsidRPr="0035519F">
        <w:rPr>
          <w:rFonts w:ascii="Arial" w:hAnsi="Arial" w:cs="Arial"/>
          <w:sz w:val="24"/>
          <w:szCs w:val="24"/>
        </w:rPr>
        <w:t>Husaini</w:t>
      </w:r>
      <w:r w:rsidRPr="0035519F">
        <w:rPr>
          <w:rFonts w:ascii="Arial" w:hAnsi="Arial" w:cs="Arial"/>
          <w:spacing w:val="46"/>
          <w:sz w:val="24"/>
          <w:szCs w:val="24"/>
        </w:rPr>
        <w:t xml:space="preserve"> </w:t>
      </w:r>
      <w:r w:rsidRPr="0035519F">
        <w:rPr>
          <w:rFonts w:ascii="Arial" w:hAnsi="Arial" w:cs="Arial"/>
          <w:sz w:val="24"/>
          <w:szCs w:val="24"/>
        </w:rPr>
        <w:t>Umar,</w:t>
      </w:r>
      <w:r w:rsidRPr="0035519F">
        <w:rPr>
          <w:rFonts w:ascii="Arial" w:hAnsi="Arial" w:cs="Arial"/>
          <w:spacing w:val="50"/>
          <w:sz w:val="24"/>
          <w:szCs w:val="24"/>
        </w:rPr>
        <w:t xml:space="preserve"> </w:t>
      </w:r>
      <w:r w:rsidRPr="0035519F">
        <w:rPr>
          <w:rFonts w:ascii="Arial" w:hAnsi="Arial" w:cs="Arial"/>
          <w:sz w:val="24"/>
          <w:szCs w:val="24"/>
        </w:rPr>
        <w:t>Sp.PD-KEMD</w:t>
      </w:r>
      <w:r w:rsidRPr="0035519F">
        <w:rPr>
          <w:rFonts w:ascii="Arial" w:hAnsi="Arial" w:cs="Arial"/>
          <w:spacing w:val="47"/>
          <w:sz w:val="24"/>
          <w:szCs w:val="24"/>
        </w:rPr>
        <w:t xml:space="preserve"> </w:t>
      </w:r>
      <w:r w:rsidRPr="0035519F">
        <w:rPr>
          <w:rFonts w:ascii="Arial" w:hAnsi="Arial" w:cs="Arial"/>
          <w:sz w:val="24"/>
          <w:szCs w:val="24"/>
        </w:rPr>
        <w:t>dan</w:t>
      </w:r>
      <w:r w:rsidR="008D4AB9" w:rsidRPr="0035519F">
        <w:rPr>
          <w:rFonts w:ascii="Arial" w:hAnsi="Arial" w:cs="Arial"/>
          <w:sz w:val="24"/>
          <w:szCs w:val="24"/>
        </w:rPr>
        <w:t xml:space="preserve"> </w:t>
      </w:r>
      <w:r w:rsidR="00CD7500" w:rsidRPr="0035519F">
        <w:rPr>
          <w:rFonts w:ascii="Arial" w:hAnsi="Arial" w:cs="Arial"/>
          <w:spacing w:val="46"/>
          <w:sz w:val="24"/>
          <w:szCs w:val="24"/>
        </w:rPr>
        <w:t>Dr</w:t>
      </w:r>
      <w:r w:rsidR="008D4AB9" w:rsidRPr="0035519F">
        <w:rPr>
          <w:rFonts w:ascii="Arial" w:hAnsi="Arial" w:cs="Arial"/>
          <w:spacing w:val="46"/>
          <w:sz w:val="24"/>
          <w:szCs w:val="24"/>
        </w:rPr>
        <w:t>.</w:t>
      </w:r>
      <w:r w:rsidRPr="0035519F">
        <w:rPr>
          <w:rFonts w:ascii="Arial" w:hAnsi="Arial" w:cs="Arial"/>
          <w:sz w:val="24"/>
          <w:szCs w:val="24"/>
        </w:rPr>
        <w:t>dr.</w:t>
      </w:r>
      <w:r w:rsidR="00CD7500" w:rsidRPr="0035519F">
        <w:rPr>
          <w:rFonts w:ascii="Arial" w:hAnsi="Arial" w:cs="Arial"/>
          <w:sz w:val="24"/>
          <w:szCs w:val="24"/>
        </w:rPr>
        <w:t xml:space="preserve"> </w:t>
      </w:r>
      <w:r w:rsidR="008D4AB9" w:rsidRPr="0035519F">
        <w:rPr>
          <w:rFonts w:ascii="Arial" w:hAnsi="Arial" w:cs="Arial"/>
          <w:sz w:val="24"/>
          <w:szCs w:val="24"/>
        </w:rPr>
        <w:t>Nurahmi, M.Kes.,</w:t>
      </w:r>
      <w:r w:rsidRPr="0035519F">
        <w:rPr>
          <w:rFonts w:ascii="Arial" w:hAnsi="Arial" w:cs="Arial"/>
          <w:sz w:val="24"/>
          <w:szCs w:val="24"/>
        </w:rPr>
        <w:t xml:space="preserve"> Sp.PK (K) yang telah meluangkan waktu untuk memberikan kami ilmu dan saran-sarannya dalam penyempurnaan karya akhir ini.</w:t>
      </w:r>
    </w:p>
    <w:p w14:paraId="453C19E4"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Direktur RSUP Dr. Wahidin Sudirohusodo Makassar atas kesempatan yang diberikan kepada penulis untuk menjalani pendidikan di rumah sakit ini.</w:t>
      </w:r>
    </w:p>
    <w:p w14:paraId="2DBA0836" w14:textId="00A385BD"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Kepala Instalasi Laboratorium Patologi Klinik RSUP Dr. Wahidin Sudirohusodo Makassar, Kepala Instalasi Laboratorium Patologi Klinik RSPTN UNHAS, Kepala Instalasi Laboratorium RS</w:t>
      </w:r>
      <w:r w:rsidR="00461E06" w:rsidRPr="0035519F">
        <w:rPr>
          <w:rFonts w:ascii="Arial" w:hAnsi="Arial" w:cs="Arial"/>
          <w:sz w:val="24"/>
          <w:szCs w:val="24"/>
        </w:rPr>
        <w:t>UD</w:t>
      </w:r>
      <w:r w:rsidRPr="0035519F">
        <w:rPr>
          <w:rFonts w:ascii="Arial" w:hAnsi="Arial" w:cs="Arial"/>
          <w:sz w:val="24"/>
          <w:szCs w:val="24"/>
        </w:rPr>
        <w:t>. Labuang Baji</w:t>
      </w:r>
      <w:r w:rsidR="00461E06" w:rsidRPr="0035519F">
        <w:rPr>
          <w:rFonts w:ascii="Arial" w:hAnsi="Arial" w:cs="Arial"/>
          <w:sz w:val="24"/>
          <w:szCs w:val="24"/>
        </w:rPr>
        <w:t xml:space="preserve"> Sulsel</w:t>
      </w:r>
      <w:r w:rsidRPr="0035519F">
        <w:rPr>
          <w:rFonts w:ascii="Arial" w:hAnsi="Arial" w:cs="Arial"/>
          <w:sz w:val="24"/>
          <w:szCs w:val="24"/>
        </w:rPr>
        <w:t>, Kepala Instalasi Laboratorium RS. Stella Maris, Kepala Instalasi Laboratorium RS. Ibnu Sina, Kepala PMI, Ketua Departemen Ilmu Penyakit Dalam beserta staf yang telah menerima dan membantu penulis dalam menjalani masa</w:t>
      </w:r>
      <w:r w:rsidRPr="0035519F">
        <w:rPr>
          <w:rFonts w:ascii="Arial" w:hAnsi="Arial" w:cs="Arial"/>
          <w:spacing w:val="-22"/>
          <w:sz w:val="24"/>
          <w:szCs w:val="24"/>
        </w:rPr>
        <w:t xml:space="preserve"> </w:t>
      </w:r>
      <w:r w:rsidRPr="0035519F">
        <w:rPr>
          <w:rFonts w:ascii="Arial" w:hAnsi="Arial" w:cs="Arial"/>
          <w:sz w:val="24"/>
          <w:szCs w:val="24"/>
        </w:rPr>
        <w:t>pendidikan.</w:t>
      </w:r>
    </w:p>
    <w:p w14:paraId="54D9C4ED" w14:textId="77777777" w:rsidR="00CD7500"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lastRenderedPageBreak/>
        <w:t>Kepala Unit Penelitian Fakultas Kedokteran UNHAS beserta staf yang telah memberi izin dan membantu dalam proses pemeriksaan sampel untuk penelitian</w:t>
      </w:r>
      <w:r w:rsidRPr="0035519F">
        <w:rPr>
          <w:rFonts w:ascii="Arial" w:hAnsi="Arial" w:cs="Arial"/>
          <w:spacing w:val="-1"/>
          <w:sz w:val="24"/>
          <w:szCs w:val="24"/>
        </w:rPr>
        <w:t xml:space="preserve"> </w:t>
      </w:r>
      <w:r w:rsidRPr="0035519F">
        <w:rPr>
          <w:rFonts w:ascii="Arial" w:hAnsi="Arial" w:cs="Arial"/>
          <w:sz w:val="24"/>
          <w:szCs w:val="24"/>
        </w:rPr>
        <w:t>ini.</w:t>
      </w:r>
    </w:p>
    <w:p w14:paraId="4164929C"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Seluruh relawan yang telah bersedia menjadi subjek dalam penelitian ini, penulis mengucapkan rasa terima kasih yang</w:t>
      </w:r>
      <w:r w:rsidRPr="0035519F">
        <w:rPr>
          <w:rFonts w:ascii="Arial" w:hAnsi="Arial" w:cs="Arial"/>
          <w:spacing w:val="-16"/>
          <w:sz w:val="24"/>
          <w:szCs w:val="24"/>
        </w:rPr>
        <w:t xml:space="preserve"> </w:t>
      </w:r>
      <w:r w:rsidRPr="0035519F">
        <w:rPr>
          <w:rFonts w:ascii="Arial" w:hAnsi="Arial" w:cs="Arial"/>
          <w:sz w:val="24"/>
          <w:szCs w:val="24"/>
        </w:rPr>
        <w:t>sebesar-besarnya.</w:t>
      </w:r>
    </w:p>
    <w:p w14:paraId="4A5954B2"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Teman-teman sejawat PPDS Program Studi Ilmu Patologi Klinik, khususn</w:t>
      </w:r>
      <w:r w:rsidR="00CD7500" w:rsidRPr="0035519F">
        <w:rPr>
          <w:rFonts w:ascii="Arial" w:hAnsi="Arial" w:cs="Arial"/>
          <w:sz w:val="24"/>
          <w:szCs w:val="24"/>
        </w:rPr>
        <w:t>ya kepada saudara seangkatan (pansitopenia)</w:t>
      </w:r>
      <w:r w:rsidRPr="0035519F">
        <w:rPr>
          <w:rFonts w:ascii="Arial" w:hAnsi="Arial" w:cs="Arial"/>
          <w:sz w:val="24"/>
          <w:szCs w:val="24"/>
        </w:rPr>
        <w:t xml:space="preserve"> </w:t>
      </w:r>
      <w:r w:rsidR="00CD7500" w:rsidRPr="0035519F">
        <w:rPr>
          <w:rFonts w:ascii="Arial" w:hAnsi="Arial" w:cs="Arial"/>
          <w:sz w:val="24"/>
          <w:szCs w:val="24"/>
        </w:rPr>
        <w:t>yang tangguh dan legendaris</w:t>
      </w:r>
      <w:r w:rsidRPr="0035519F">
        <w:rPr>
          <w:rFonts w:ascii="Arial" w:hAnsi="Arial" w:cs="Arial"/>
          <w:sz w:val="24"/>
          <w:szCs w:val="24"/>
        </w:rPr>
        <w:t xml:space="preserve">: dr. </w:t>
      </w:r>
      <w:r w:rsidR="00CD7500" w:rsidRPr="0035519F">
        <w:rPr>
          <w:rFonts w:ascii="Arial" w:hAnsi="Arial" w:cs="Arial"/>
          <w:sz w:val="24"/>
          <w:szCs w:val="24"/>
        </w:rPr>
        <w:t xml:space="preserve">Deny Suryana dan </w:t>
      </w:r>
      <w:r w:rsidRPr="0035519F">
        <w:rPr>
          <w:rFonts w:ascii="Arial" w:hAnsi="Arial" w:cs="Arial"/>
          <w:sz w:val="24"/>
          <w:szCs w:val="24"/>
        </w:rPr>
        <w:t xml:space="preserve">dr. </w:t>
      </w:r>
      <w:r w:rsidR="00CD7500" w:rsidRPr="0035519F">
        <w:rPr>
          <w:rFonts w:ascii="Arial" w:hAnsi="Arial" w:cs="Arial"/>
          <w:sz w:val="24"/>
          <w:szCs w:val="24"/>
        </w:rPr>
        <w:t xml:space="preserve">Rafika Ulandari </w:t>
      </w:r>
      <w:r w:rsidRPr="0035519F">
        <w:rPr>
          <w:rFonts w:ascii="Arial" w:hAnsi="Arial" w:cs="Arial"/>
          <w:sz w:val="24"/>
          <w:szCs w:val="24"/>
        </w:rPr>
        <w:t xml:space="preserve">yang telah berbagi suka dan duka selama masa pendidikan penulis. </w:t>
      </w:r>
      <w:r w:rsidR="00CD7500" w:rsidRPr="0035519F">
        <w:rPr>
          <w:rFonts w:ascii="Arial" w:hAnsi="Arial" w:cs="Arial"/>
          <w:sz w:val="24"/>
          <w:szCs w:val="24"/>
        </w:rPr>
        <w:t>Banyak pelajaran dan pengalaman berharga yang penulis dapatkan dari kalian berdua</w:t>
      </w:r>
      <w:r w:rsidRPr="0035519F">
        <w:rPr>
          <w:rFonts w:ascii="Arial" w:hAnsi="Arial" w:cs="Arial"/>
          <w:sz w:val="24"/>
          <w:szCs w:val="24"/>
        </w:rPr>
        <w:t>.</w:t>
      </w:r>
    </w:p>
    <w:p w14:paraId="60130B53"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 xml:space="preserve">Teman-teman sejawat PPDS, baik </w:t>
      </w:r>
      <w:r w:rsidRPr="0035519F">
        <w:rPr>
          <w:rFonts w:ascii="Arial" w:hAnsi="Arial" w:cs="Arial"/>
          <w:spacing w:val="-3"/>
          <w:sz w:val="24"/>
          <w:szCs w:val="24"/>
        </w:rPr>
        <w:t xml:space="preserve">senior </w:t>
      </w:r>
      <w:r w:rsidRPr="0035519F">
        <w:rPr>
          <w:rFonts w:ascii="Arial" w:hAnsi="Arial" w:cs="Arial"/>
          <w:sz w:val="24"/>
          <w:szCs w:val="24"/>
        </w:rPr>
        <w:t>maupun junior yang saya banggakan serta analis yang turut membantu dalam proses pengumpulan sampel yang telah berbagi suka dan duka dalam proses pengumpulan sampel penelitian</w:t>
      </w:r>
      <w:r w:rsidRPr="0035519F">
        <w:rPr>
          <w:rFonts w:ascii="Arial" w:hAnsi="Arial" w:cs="Arial"/>
          <w:spacing w:val="-4"/>
          <w:sz w:val="24"/>
          <w:szCs w:val="24"/>
        </w:rPr>
        <w:t xml:space="preserve"> </w:t>
      </w:r>
      <w:r w:rsidRPr="0035519F">
        <w:rPr>
          <w:rFonts w:ascii="Arial" w:hAnsi="Arial" w:cs="Arial"/>
          <w:sz w:val="24"/>
          <w:szCs w:val="24"/>
        </w:rPr>
        <w:t>ini.</w:t>
      </w:r>
    </w:p>
    <w:p w14:paraId="55A6671D"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 xml:space="preserve">Nurilawati, SKM </w:t>
      </w:r>
      <w:r w:rsidR="00CD7500" w:rsidRPr="0035519F">
        <w:rPr>
          <w:rFonts w:ascii="Arial" w:hAnsi="Arial" w:cs="Arial"/>
          <w:sz w:val="24"/>
          <w:szCs w:val="24"/>
        </w:rPr>
        <w:t xml:space="preserve">beserta jajaran </w:t>
      </w:r>
      <w:r w:rsidRPr="0035519F">
        <w:rPr>
          <w:rFonts w:ascii="Arial" w:hAnsi="Arial" w:cs="Arial"/>
          <w:sz w:val="24"/>
          <w:szCs w:val="24"/>
        </w:rPr>
        <w:t>atas semua bantuan dan dukungannya selama masa pendidikan dan penyelesaian karya akhir</w:t>
      </w:r>
      <w:r w:rsidRPr="0035519F">
        <w:rPr>
          <w:rFonts w:ascii="Arial" w:hAnsi="Arial" w:cs="Arial"/>
          <w:spacing w:val="-6"/>
          <w:sz w:val="24"/>
          <w:szCs w:val="24"/>
        </w:rPr>
        <w:t xml:space="preserve"> </w:t>
      </w:r>
      <w:r w:rsidRPr="0035519F">
        <w:rPr>
          <w:rFonts w:ascii="Arial" w:hAnsi="Arial" w:cs="Arial"/>
          <w:sz w:val="24"/>
          <w:szCs w:val="24"/>
        </w:rPr>
        <w:t>ini.</w:t>
      </w:r>
    </w:p>
    <w:p w14:paraId="6BCE95F4" w14:textId="77777777" w:rsidR="006468B1" w:rsidRPr="0035519F" w:rsidRDefault="006468B1" w:rsidP="002C5221">
      <w:pPr>
        <w:pStyle w:val="ListParagraph"/>
        <w:numPr>
          <w:ilvl w:val="0"/>
          <w:numId w:val="39"/>
        </w:numPr>
        <w:spacing w:after="0" w:line="480" w:lineRule="auto"/>
        <w:jc w:val="both"/>
        <w:rPr>
          <w:rFonts w:ascii="Arial" w:hAnsi="Arial" w:cs="Arial"/>
          <w:sz w:val="24"/>
          <w:szCs w:val="24"/>
        </w:rPr>
      </w:pPr>
      <w:r w:rsidRPr="0035519F">
        <w:rPr>
          <w:rFonts w:ascii="Arial" w:hAnsi="Arial" w:cs="Arial"/>
          <w:sz w:val="24"/>
          <w:szCs w:val="24"/>
        </w:rPr>
        <w:t>Seluruh pihak yang tidak dapat penulis tulis satu persatu yang telah memberikan dukungan yang sangat berarti kepada</w:t>
      </w:r>
      <w:r w:rsidRPr="0035519F">
        <w:rPr>
          <w:rFonts w:ascii="Arial" w:hAnsi="Arial" w:cs="Arial"/>
          <w:spacing w:val="-11"/>
          <w:sz w:val="24"/>
          <w:szCs w:val="24"/>
        </w:rPr>
        <w:t xml:space="preserve"> </w:t>
      </w:r>
      <w:r w:rsidRPr="0035519F">
        <w:rPr>
          <w:rFonts w:ascii="Arial" w:hAnsi="Arial" w:cs="Arial"/>
          <w:sz w:val="24"/>
          <w:szCs w:val="24"/>
        </w:rPr>
        <w:t>penulis.</w:t>
      </w:r>
    </w:p>
    <w:p w14:paraId="6F5BAA59" w14:textId="45524BD7" w:rsidR="006468B1" w:rsidRPr="0035519F" w:rsidRDefault="006468B1" w:rsidP="00427073">
      <w:pPr>
        <w:spacing w:after="0" w:line="480" w:lineRule="auto"/>
        <w:ind w:firstLine="360"/>
        <w:jc w:val="both"/>
        <w:rPr>
          <w:rFonts w:ascii="Arial" w:hAnsi="Arial" w:cs="Arial"/>
          <w:sz w:val="24"/>
          <w:szCs w:val="24"/>
        </w:rPr>
      </w:pPr>
      <w:r w:rsidRPr="0035519F">
        <w:rPr>
          <w:rFonts w:ascii="Arial" w:hAnsi="Arial" w:cs="Arial"/>
          <w:sz w:val="24"/>
          <w:szCs w:val="24"/>
        </w:rPr>
        <w:t xml:space="preserve">Akhirnya ucapan terima kasih dan penghargaan yang setinggi- tingginya kepada kedua orang tua saya tercinta, Ayahanda </w:t>
      </w:r>
      <w:r w:rsidR="00427073" w:rsidRPr="0035519F">
        <w:rPr>
          <w:rFonts w:ascii="Arial" w:hAnsi="Arial" w:cs="Arial"/>
          <w:sz w:val="24"/>
          <w:szCs w:val="24"/>
        </w:rPr>
        <w:t>Harun Pallontang</w:t>
      </w:r>
      <w:r w:rsidRPr="0035519F">
        <w:rPr>
          <w:rFonts w:ascii="Arial" w:hAnsi="Arial" w:cs="Arial"/>
          <w:sz w:val="24"/>
          <w:szCs w:val="24"/>
        </w:rPr>
        <w:t xml:space="preserve">, Ibunda </w:t>
      </w:r>
      <w:r w:rsidR="00427073" w:rsidRPr="0035519F">
        <w:rPr>
          <w:rFonts w:ascii="Arial" w:hAnsi="Arial" w:cs="Arial"/>
          <w:sz w:val="24"/>
          <w:szCs w:val="24"/>
        </w:rPr>
        <w:t>Gatti Husniah</w:t>
      </w:r>
      <w:r w:rsidRPr="0035519F">
        <w:rPr>
          <w:rFonts w:ascii="Arial" w:hAnsi="Arial" w:cs="Arial"/>
          <w:sz w:val="24"/>
          <w:szCs w:val="24"/>
        </w:rPr>
        <w:t>, B</w:t>
      </w:r>
      <w:r w:rsidR="00427073" w:rsidRPr="0035519F">
        <w:rPr>
          <w:rFonts w:ascii="Arial" w:hAnsi="Arial" w:cs="Arial"/>
          <w:sz w:val="24"/>
          <w:szCs w:val="24"/>
        </w:rPr>
        <w:t>apak mertua Haruna Ali</w:t>
      </w:r>
      <w:r w:rsidRPr="0035519F">
        <w:rPr>
          <w:rFonts w:ascii="Arial" w:hAnsi="Arial" w:cs="Arial"/>
          <w:sz w:val="24"/>
          <w:szCs w:val="24"/>
        </w:rPr>
        <w:t xml:space="preserve">, dan Ibu mertua </w:t>
      </w:r>
      <w:r w:rsidR="00427073" w:rsidRPr="0035519F">
        <w:rPr>
          <w:rFonts w:ascii="Arial" w:hAnsi="Arial" w:cs="Arial"/>
          <w:sz w:val="24"/>
          <w:szCs w:val="24"/>
        </w:rPr>
        <w:t>St. Rahma</w:t>
      </w:r>
      <w:r w:rsidRPr="0035519F">
        <w:rPr>
          <w:rFonts w:ascii="Arial" w:hAnsi="Arial" w:cs="Arial"/>
          <w:sz w:val="24"/>
          <w:szCs w:val="24"/>
        </w:rPr>
        <w:t xml:space="preserve"> atas doa </w:t>
      </w:r>
      <w:r w:rsidRPr="0035519F">
        <w:rPr>
          <w:rFonts w:ascii="Arial" w:hAnsi="Arial" w:cs="Arial"/>
          <w:sz w:val="24"/>
          <w:szCs w:val="24"/>
        </w:rPr>
        <w:lastRenderedPageBreak/>
        <w:t>tulus, kasih sayang, kesabaran, dan dukungan semangat maupun</w:t>
      </w:r>
      <w:r w:rsidRPr="0035519F">
        <w:rPr>
          <w:rFonts w:ascii="Arial" w:hAnsi="Arial" w:cs="Arial"/>
          <w:spacing w:val="-16"/>
          <w:sz w:val="24"/>
          <w:szCs w:val="24"/>
        </w:rPr>
        <w:t xml:space="preserve"> </w:t>
      </w:r>
      <w:r w:rsidRPr="0035519F">
        <w:rPr>
          <w:rFonts w:ascii="Arial" w:hAnsi="Arial" w:cs="Arial"/>
          <w:sz w:val="24"/>
          <w:szCs w:val="24"/>
        </w:rPr>
        <w:t>materi</w:t>
      </w:r>
      <w:r w:rsidRPr="0035519F">
        <w:rPr>
          <w:rFonts w:ascii="Arial" w:hAnsi="Arial" w:cs="Arial"/>
          <w:spacing w:val="-15"/>
          <w:sz w:val="24"/>
          <w:szCs w:val="24"/>
        </w:rPr>
        <w:t xml:space="preserve"> </w:t>
      </w:r>
      <w:r w:rsidRPr="0035519F">
        <w:rPr>
          <w:rFonts w:ascii="Arial" w:hAnsi="Arial" w:cs="Arial"/>
          <w:sz w:val="24"/>
          <w:szCs w:val="24"/>
        </w:rPr>
        <w:t>selama</w:t>
      </w:r>
      <w:r w:rsidRPr="0035519F">
        <w:rPr>
          <w:rFonts w:ascii="Arial" w:hAnsi="Arial" w:cs="Arial"/>
          <w:spacing w:val="-16"/>
          <w:sz w:val="24"/>
          <w:szCs w:val="24"/>
        </w:rPr>
        <w:t xml:space="preserve"> </w:t>
      </w:r>
      <w:r w:rsidRPr="0035519F">
        <w:rPr>
          <w:rFonts w:ascii="Arial" w:hAnsi="Arial" w:cs="Arial"/>
          <w:sz w:val="24"/>
          <w:szCs w:val="24"/>
        </w:rPr>
        <w:t>ini.</w:t>
      </w:r>
      <w:r w:rsidRPr="0035519F">
        <w:rPr>
          <w:rFonts w:ascii="Arial" w:hAnsi="Arial" w:cs="Arial"/>
          <w:spacing w:val="-12"/>
          <w:sz w:val="24"/>
          <w:szCs w:val="24"/>
        </w:rPr>
        <w:t xml:space="preserve"> </w:t>
      </w:r>
      <w:r w:rsidRPr="0035519F">
        <w:rPr>
          <w:rFonts w:ascii="Arial" w:hAnsi="Arial" w:cs="Arial"/>
          <w:sz w:val="24"/>
          <w:szCs w:val="24"/>
        </w:rPr>
        <w:t>Terima</w:t>
      </w:r>
      <w:r w:rsidRPr="0035519F">
        <w:rPr>
          <w:rFonts w:ascii="Arial" w:hAnsi="Arial" w:cs="Arial"/>
          <w:spacing w:val="-16"/>
          <w:sz w:val="24"/>
          <w:szCs w:val="24"/>
        </w:rPr>
        <w:t xml:space="preserve"> </w:t>
      </w:r>
      <w:r w:rsidRPr="0035519F">
        <w:rPr>
          <w:rFonts w:ascii="Arial" w:hAnsi="Arial" w:cs="Arial"/>
          <w:sz w:val="24"/>
          <w:szCs w:val="24"/>
        </w:rPr>
        <w:t>kasih</w:t>
      </w:r>
      <w:r w:rsidRPr="0035519F">
        <w:rPr>
          <w:rFonts w:ascii="Arial" w:hAnsi="Arial" w:cs="Arial"/>
          <w:spacing w:val="-16"/>
          <w:sz w:val="24"/>
          <w:szCs w:val="24"/>
        </w:rPr>
        <w:t xml:space="preserve"> </w:t>
      </w:r>
      <w:r w:rsidRPr="0035519F">
        <w:rPr>
          <w:rFonts w:ascii="Arial" w:hAnsi="Arial" w:cs="Arial"/>
          <w:sz w:val="24"/>
          <w:szCs w:val="24"/>
        </w:rPr>
        <w:t>kepada</w:t>
      </w:r>
      <w:r w:rsidRPr="0035519F">
        <w:rPr>
          <w:rFonts w:ascii="Arial" w:hAnsi="Arial" w:cs="Arial"/>
          <w:spacing w:val="-16"/>
          <w:sz w:val="24"/>
          <w:szCs w:val="24"/>
        </w:rPr>
        <w:t xml:space="preserve"> </w:t>
      </w:r>
      <w:r w:rsidR="00427073" w:rsidRPr="0035519F">
        <w:rPr>
          <w:rFonts w:ascii="Arial" w:hAnsi="Arial" w:cs="Arial"/>
          <w:sz w:val="24"/>
          <w:szCs w:val="24"/>
        </w:rPr>
        <w:t>saudara</w:t>
      </w:r>
      <w:r w:rsidR="00461E06" w:rsidRPr="0035519F">
        <w:rPr>
          <w:rFonts w:ascii="Arial" w:hAnsi="Arial" w:cs="Arial"/>
          <w:sz w:val="24"/>
          <w:szCs w:val="24"/>
        </w:rPr>
        <w:t>(i)</w:t>
      </w:r>
      <w:r w:rsidRPr="0035519F">
        <w:rPr>
          <w:rFonts w:ascii="Arial" w:hAnsi="Arial" w:cs="Arial"/>
          <w:spacing w:val="-14"/>
          <w:sz w:val="24"/>
          <w:szCs w:val="24"/>
        </w:rPr>
        <w:t xml:space="preserve"> </w:t>
      </w:r>
      <w:r w:rsidRPr="0035519F">
        <w:rPr>
          <w:rFonts w:ascii="Arial" w:hAnsi="Arial" w:cs="Arial"/>
          <w:sz w:val="24"/>
          <w:szCs w:val="24"/>
        </w:rPr>
        <w:t>saya</w:t>
      </w:r>
      <w:r w:rsidRPr="0035519F">
        <w:rPr>
          <w:rFonts w:ascii="Arial" w:hAnsi="Arial" w:cs="Arial"/>
          <w:spacing w:val="-16"/>
          <w:sz w:val="24"/>
          <w:szCs w:val="24"/>
        </w:rPr>
        <w:t xml:space="preserve"> </w:t>
      </w:r>
      <w:r w:rsidRPr="0035519F">
        <w:rPr>
          <w:rFonts w:ascii="Arial" w:hAnsi="Arial" w:cs="Arial"/>
          <w:sz w:val="24"/>
          <w:szCs w:val="24"/>
        </w:rPr>
        <w:t>tercinta</w:t>
      </w:r>
      <w:r w:rsidRPr="0035519F">
        <w:rPr>
          <w:rFonts w:ascii="Arial" w:hAnsi="Arial" w:cs="Arial"/>
          <w:spacing w:val="-9"/>
          <w:sz w:val="24"/>
          <w:szCs w:val="24"/>
        </w:rPr>
        <w:t xml:space="preserve"> </w:t>
      </w:r>
      <w:r w:rsidR="00427073" w:rsidRPr="0035519F">
        <w:rPr>
          <w:rFonts w:ascii="Arial" w:hAnsi="Arial" w:cs="Arial"/>
          <w:sz w:val="24"/>
          <w:szCs w:val="24"/>
        </w:rPr>
        <w:t>Abd. Rahman Abu Razak dan St. Shulaihah</w:t>
      </w:r>
      <w:r w:rsidRPr="0035519F">
        <w:rPr>
          <w:rFonts w:ascii="Arial" w:hAnsi="Arial" w:cs="Arial"/>
          <w:spacing w:val="-13"/>
          <w:sz w:val="24"/>
          <w:szCs w:val="24"/>
        </w:rPr>
        <w:t xml:space="preserve"> </w:t>
      </w:r>
      <w:r w:rsidRPr="0035519F">
        <w:rPr>
          <w:rFonts w:ascii="Arial" w:hAnsi="Arial" w:cs="Arial"/>
          <w:sz w:val="24"/>
          <w:szCs w:val="24"/>
        </w:rPr>
        <w:t>yang</w:t>
      </w:r>
      <w:r w:rsidRPr="0035519F">
        <w:rPr>
          <w:rFonts w:ascii="Arial" w:hAnsi="Arial" w:cs="Arial"/>
          <w:spacing w:val="-13"/>
          <w:sz w:val="24"/>
          <w:szCs w:val="24"/>
        </w:rPr>
        <w:t xml:space="preserve"> </w:t>
      </w:r>
      <w:r w:rsidRPr="0035519F">
        <w:rPr>
          <w:rFonts w:ascii="Arial" w:hAnsi="Arial" w:cs="Arial"/>
          <w:sz w:val="24"/>
          <w:szCs w:val="24"/>
        </w:rPr>
        <w:t>telah</w:t>
      </w:r>
      <w:r w:rsidRPr="0035519F">
        <w:rPr>
          <w:rFonts w:ascii="Arial" w:hAnsi="Arial" w:cs="Arial"/>
          <w:spacing w:val="-13"/>
          <w:sz w:val="24"/>
          <w:szCs w:val="24"/>
        </w:rPr>
        <w:t xml:space="preserve"> </w:t>
      </w:r>
      <w:r w:rsidRPr="0035519F">
        <w:rPr>
          <w:rFonts w:ascii="Arial" w:hAnsi="Arial" w:cs="Arial"/>
          <w:sz w:val="24"/>
          <w:szCs w:val="24"/>
        </w:rPr>
        <w:t>memberikan</w:t>
      </w:r>
      <w:r w:rsidRPr="0035519F">
        <w:rPr>
          <w:rFonts w:ascii="Arial" w:hAnsi="Arial" w:cs="Arial"/>
          <w:spacing w:val="-13"/>
          <w:sz w:val="24"/>
          <w:szCs w:val="24"/>
        </w:rPr>
        <w:t xml:space="preserve"> </w:t>
      </w:r>
      <w:r w:rsidRPr="0035519F">
        <w:rPr>
          <w:rFonts w:ascii="Arial" w:hAnsi="Arial" w:cs="Arial"/>
          <w:sz w:val="24"/>
          <w:szCs w:val="24"/>
        </w:rPr>
        <w:t>doa</w:t>
      </w:r>
      <w:r w:rsidRPr="0035519F">
        <w:rPr>
          <w:rFonts w:ascii="Arial" w:hAnsi="Arial" w:cs="Arial"/>
          <w:spacing w:val="-13"/>
          <w:sz w:val="24"/>
          <w:szCs w:val="24"/>
        </w:rPr>
        <w:t xml:space="preserve"> </w:t>
      </w:r>
      <w:r w:rsidRPr="0035519F">
        <w:rPr>
          <w:rFonts w:ascii="Arial" w:hAnsi="Arial" w:cs="Arial"/>
          <w:sz w:val="24"/>
          <w:szCs w:val="24"/>
        </w:rPr>
        <w:t>dan</w:t>
      </w:r>
      <w:r w:rsidRPr="0035519F">
        <w:rPr>
          <w:rFonts w:ascii="Arial" w:hAnsi="Arial" w:cs="Arial"/>
          <w:spacing w:val="-13"/>
          <w:sz w:val="24"/>
          <w:szCs w:val="24"/>
        </w:rPr>
        <w:t xml:space="preserve"> </w:t>
      </w:r>
      <w:r w:rsidRPr="0035519F">
        <w:rPr>
          <w:rFonts w:ascii="Arial" w:hAnsi="Arial" w:cs="Arial"/>
          <w:sz w:val="24"/>
          <w:szCs w:val="24"/>
        </w:rPr>
        <w:t>semangat,</w:t>
      </w:r>
      <w:r w:rsidRPr="0035519F">
        <w:rPr>
          <w:rFonts w:ascii="Arial" w:hAnsi="Arial" w:cs="Arial"/>
          <w:spacing w:val="-10"/>
          <w:sz w:val="24"/>
          <w:szCs w:val="24"/>
        </w:rPr>
        <w:t xml:space="preserve"> </w:t>
      </w:r>
      <w:r w:rsidRPr="0035519F">
        <w:rPr>
          <w:rFonts w:ascii="Arial" w:hAnsi="Arial" w:cs="Arial"/>
          <w:sz w:val="24"/>
          <w:szCs w:val="24"/>
        </w:rPr>
        <w:t>serta</w:t>
      </w:r>
      <w:r w:rsidRPr="0035519F">
        <w:rPr>
          <w:rFonts w:ascii="Arial" w:hAnsi="Arial" w:cs="Arial"/>
          <w:spacing w:val="-13"/>
          <w:sz w:val="24"/>
          <w:szCs w:val="24"/>
        </w:rPr>
        <w:t xml:space="preserve"> </w:t>
      </w:r>
      <w:r w:rsidRPr="0035519F">
        <w:rPr>
          <w:rFonts w:ascii="Arial" w:hAnsi="Arial" w:cs="Arial"/>
          <w:sz w:val="24"/>
          <w:szCs w:val="24"/>
        </w:rPr>
        <w:t>seluruh</w:t>
      </w:r>
      <w:r w:rsidRPr="0035519F">
        <w:rPr>
          <w:rFonts w:ascii="Arial" w:hAnsi="Arial" w:cs="Arial"/>
          <w:spacing w:val="-13"/>
          <w:sz w:val="24"/>
          <w:szCs w:val="24"/>
        </w:rPr>
        <w:t xml:space="preserve"> </w:t>
      </w:r>
      <w:r w:rsidRPr="0035519F">
        <w:rPr>
          <w:rFonts w:ascii="Arial" w:hAnsi="Arial" w:cs="Arial"/>
          <w:sz w:val="24"/>
          <w:szCs w:val="24"/>
        </w:rPr>
        <w:t>keluarga besar atas kasih sayang dan dukungan serta doa tulus sehingga penulis dapat menyelesaikan setiap tahap proses pendidikan dengan</w:t>
      </w:r>
      <w:r w:rsidRPr="0035519F">
        <w:rPr>
          <w:rFonts w:ascii="Arial" w:hAnsi="Arial" w:cs="Arial"/>
          <w:spacing w:val="-12"/>
          <w:sz w:val="24"/>
          <w:szCs w:val="24"/>
        </w:rPr>
        <w:t xml:space="preserve"> </w:t>
      </w:r>
      <w:r w:rsidRPr="0035519F">
        <w:rPr>
          <w:rFonts w:ascii="Arial" w:hAnsi="Arial" w:cs="Arial"/>
          <w:sz w:val="24"/>
          <w:szCs w:val="24"/>
        </w:rPr>
        <w:t>baik.</w:t>
      </w:r>
    </w:p>
    <w:p w14:paraId="2AA30A26" w14:textId="77777777" w:rsidR="006468B1" w:rsidRPr="0035519F" w:rsidRDefault="00427073" w:rsidP="00E62CAE">
      <w:pPr>
        <w:spacing w:after="0" w:line="480" w:lineRule="auto"/>
        <w:jc w:val="both"/>
        <w:rPr>
          <w:rFonts w:ascii="Arial" w:hAnsi="Arial" w:cs="Arial"/>
          <w:sz w:val="24"/>
          <w:szCs w:val="24"/>
        </w:rPr>
      </w:pPr>
      <w:r w:rsidRPr="0035519F">
        <w:rPr>
          <w:rFonts w:ascii="Arial" w:hAnsi="Arial" w:cs="Arial"/>
          <w:sz w:val="24"/>
          <w:szCs w:val="24"/>
        </w:rPr>
        <w:t>Khusus kepada istri</w:t>
      </w:r>
      <w:r w:rsidR="006468B1" w:rsidRPr="0035519F">
        <w:rPr>
          <w:rFonts w:ascii="Arial" w:hAnsi="Arial" w:cs="Arial"/>
          <w:sz w:val="24"/>
          <w:szCs w:val="24"/>
        </w:rPr>
        <w:t xml:space="preserve">, </w:t>
      </w:r>
      <w:r w:rsidRPr="0035519F">
        <w:rPr>
          <w:rFonts w:ascii="Arial" w:hAnsi="Arial" w:cs="Arial"/>
          <w:sz w:val="24"/>
          <w:szCs w:val="24"/>
        </w:rPr>
        <w:t>Ummy Rohani</w:t>
      </w:r>
      <w:r w:rsidR="006468B1" w:rsidRPr="0035519F">
        <w:rPr>
          <w:rFonts w:ascii="Arial" w:hAnsi="Arial" w:cs="Arial"/>
          <w:sz w:val="24"/>
          <w:szCs w:val="24"/>
        </w:rPr>
        <w:t xml:space="preserve"> dengan penuh kecintaan penulis sampaikan terima kasih atas segala pengorbanan, pengertian, dukungan, kasih sayang, semangat dan doa tulus selama ini yang telah mengiringi perjalanan panjang penulis dalam menjalani pendidikan. Terima kasih</w:t>
      </w:r>
      <w:r w:rsidR="006468B1" w:rsidRPr="0035519F">
        <w:rPr>
          <w:rFonts w:ascii="Arial" w:hAnsi="Arial" w:cs="Arial"/>
          <w:spacing w:val="-37"/>
          <w:sz w:val="24"/>
          <w:szCs w:val="24"/>
        </w:rPr>
        <w:t xml:space="preserve"> </w:t>
      </w:r>
      <w:r w:rsidR="006468B1" w:rsidRPr="0035519F">
        <w:rPr>
          <w:rFonts w:ascii="Arial" w:hAnsi="Arial" w:cs="Arial"/>
          <w:sz w:val="24"/>
          <w:szCs w:val="24"/>
        </w:rPr>
        <w:t xml:space="preserve">atas kerelaan, keikhlasan dan kesabaran </w:t>
      </w:r>
      <w:r w:rsidRPr="0035519F">
        <w:rPr>
          <w:rFonts w:ascii="Arial" w:hAnsi="Arial" w:cs="Arial"/>
          <w:sz w:val="24"/>
          <w:szCs w:val="24"/>
        </w:rPr>
        <w:t>menja</w:t>
      </w:r>
      <w:r w:rsidR="0084031F" w:rsidRPr="0035519F">
        <w:rPr>
          <w:rFonts w:ascii="Arial" w:hAnsi="Arial" w:cs="Arial"/>
          <w:sz w:val="24"/>
          <w:szCs w:val="24"/>
        </w:rPr>
        <w:t>lani begitu banyak peran selama</w:t>
      </w:r>
      <w:r w:rsidR="006468B1" w:rsidRPr="0035519F">
        <w:rPr>
          <w:rFonts w:ascii="Arial" w:hAnsi="Arial" w:cs="Arial"/>
          <w:sz w:val="24"/>
          <w:szCs w:val="24"/>
        </w:rPr>
        <w:t xml:space="preserve"> penulis melanjutkan pendidikan sehingga banyak waktu kebersamaan yang terlewatkan.</w:t>
      </w:r>
    </w:p>
    <w:p w14:paraId="4BC92A59" w14:textId="77777777" w:rsidR="006468B1" w:rsidRPr="0035519F" w:rsidRDefault="006468B1" w:rsidP="0084031F">
      <w:pPr>
        <w:spacing w:after="0" w:line="480" w:lineRule="auto"/>
        <w:ind w:firstLine="720"/>
        <w:jc w:val="both"/>
        <w:rPr>
          <w:rFonts w:ascii="Arial" w:hAnsi="Arial" w:cs="Arial"/>
          <w:sz w:val="24"/>
          <w:szCs w:val="24"/>
        </w:rPr>
      </w:pPr>
      <w:r w:rsidRPr="0035519F">
        <w:rPr>
          <w:rFonts w:ascii="Arial" w:hAnsi="Arial" w:cs="Arial"/>
          <w:sz w:val="24"/>
          <w:szCs w:val="24"/>
        </w:rPr>
        <w:t xml:space="preserve">Terima kasih pula untuk ananda tersayang Muhammad </w:t>
      </w:r>
      <w:r w:rsidR="00427073" w:rsidRPr="0035519F">
        <w:rPr>
          <w:rFonts w:ascii="Arial" w:hAnsi="Arial" w:cs="Arial"/>
          <w:sz w:val="24"/>
          <w:szCs w:val="24"/>
        </w:rPr>
        <w:t>Ahmad Fikri Mubarak, Abdillah Uwais dan Shafiyyah Humairo’</w:t>
      </w:r>
      <w:r w:rsidRPr="0035519F">
        <w:rPr>
          <w:rFonts w:ascii="Arial" w:hAnsi="Arial" w:cs="Arial"/>
          <w:spacing w:val="-8"/>
          <w:sz w:val="24"/>
          <w:szCs w:val="24"/>
        </w:rPr>
        <w:t xml:space="preserve"> </w:t>
      </w:r>
      <w:r w:rsidRPr="0035519F">
        <w:rPr>
          <w:rFonts w:ascii="Arial" w:hAnsi="Arial" w:cs="Arial"/>
          <w:sz w:val="24"/>
          <w:szCs w:val="24"/>
        </w:rPr>
        <w:t>dengan</w:t>
      </w:r>
      <w:r w:rsidRPr="0035519F">
        <w:rPr>
          <w:rFonts w:ascii="Arial" w:hAnsi="Arial" w:cs="Arial"/>
          <w:spacing w:val="-8"/>
          <w:sz w:val="24"/>
          <w:szCs w:val="24"/>
        </w:rPr>
        <w:t xml:space="preserve"> </w:t>
      </w:r>
      <w:r w:rsidRPr="0035519F">
        <w:rPr>
          <w:rFonts w:ascii="Arial" w:hAnsi="Arial" w:cs="Arial"/>
          <w:sz w:val="24"/>
          <w:szCs w:val="24"/>
        </w:rPr>
        <w:t>penuh</w:t>
      </w:r>
      <w:r w:rsidRPr="0035519F">
        <w:rPr>
          <w:rFonts w:ascii="Arial" w:hAnsi="Arial" w:cs="Arial"/>
          <w:spacing w:val="-8"/>
          <w:sz w:val="24"/>
          <w:szCs w:val="24"/>
        </w:rPr>
        <w:t xml:space="preserve"> </w:t>
      </w:r>
      <w:r w:rsidRPr="0035519F">
        <w:rPr>
          <w:rFonts w:ascii="Arial" w:hAnsi="Arial" w:cs="Arial"/>
          <w:sz w:val="24"/>
          <w:szCs w:val="24"/>
        </w:rPr>
        <w:t>kecintaan</w:t>
      </w:r>
      <w:r w:rsidRPr="0035519F">
        <w:rPr>
          <w:rFonts w:ascii="Arial" w:hAnsi="Arial" w:cs="Arial"/>
          <w:spacing w:val="-7"/>
          <w:sz w:val="24"/>
          <w:szCs w:val="24"/>
        </w:rPr>
        <w:t xml:space="preserve"> </w:t>
      </w:r>
      <w:r w:rsidRPr="0035519F">
        <w:rPr>
          <w:rFonts w:ascii="Arial" w:hAnsi="Arial" w:cs="Arial"/>
          <w:sz w:val="24"/>
          <w:szCs w:val="24"/>
        </w:rPr>
        <w:t>dan</w:t>
      </w:r>
      <w:r w:rsidRPr="0035519F">
        <w:rPr>
          <w:rFonts w:ascii="Arial" w:hAnsi="Arial" w:cs="Arial"/>
          <w:spacing w:val="-9"/>
          <w:sz w:val="24"/>
          <w:szCs w:val="24"/>
        </w:rPr>
        <w:t xml:space="preserve"> </w:t>
      </w:r>
      <w:r w:rsidRPr="0035519F">
        <w:rPr>
          <w:rFonts w:ascii="Arial" w:hAnsi="Arial" w:cs="Arial"/>
          <w:sz w:val="24"/>
          <w:szCs w:val="24"/>
        </w:rPr>
        <w:t>kebanggaan</w:t>
      </w:r>
      <w:r w:rsidRPr="0035519F">
        <w:rPr>
          <w:rFonts w:ascii="Arial" w:hAnsi="Arial" w:cs="Arial"/>
          <w:spacing w:val="-8"/>
          <w:sz w:val="24"/>
          <w:szCs w:val="24"/>
        </w:rPr>
        <w:t xml:space="preserve"> </w:t>
      </w:r>
      <w:r w:rsidRPr="0035519F">
        <w:rPr>
          <w:rFonts w:ascii="Arial" w:hAnsi="Arial" w:cs="Arial"/>
          <w:sz w:val="24"/>
          <w:szCs w:val="24"/>
        </w:rPr>
        <w:t>penulis</w:t>
      </w:r>
      <w:r w:rsidRPr="0035519F">
        <w:rPr>
          <w:rFonts w:ascii="Arial" w:hAnsi="Arial" w:cs="Arial"/>
          <w:spacing w:val="-6"/>
          <w:sz w:val="24"/>
          <w:szCs w:val="24"/>
        </w:rPr>
        <w:t xml:space="preserve"> </w:t>
      </w:r>
      <w:r w:rsidRPr="0035519F">
        <w:rPr>
          <w:rFonts w:ascii="Arial" w:hAnsi="Arial" w:cs="Arial"/>
          <w:sz w:val="24"/>
          <w:szCs w:val="24"/>
        </w:rPr>
        <w:t>sampaikan</w:t>
      </w:r>
      <w:r w:rsidRPr="0035519F">
        <w:rPr>
          <w:rFonts w:ascii="Arial" w:hAnsi="Arial" w:cs="Arial"/>
          <w:spacing w:val="-8"/>
          <w:sz w:val="24"/>
          <w:szCs w:val="24"/>
        </w:rPr>
        <w:t xml:space="preserve"> </w:t>
      </w:r>
      <w:r w:rsidRPr="0035519F">
        <w:rPr>
          <w:rFonts w:ascii="Arial" w:hAnsi="Arial" w:cs="Arial"/>
          <w:sz w:val="24"/>
          <w:szCs w:val="24"/>
        </w:rPr>
        <w:t>terima kasih atas segala pengorbanan, pengertian, dukungan, semangat dan doa tulus selama ini yang telah mengiringi perjalanan panjang</w:t>
      </w:r>
      <w:r w:rsidRPr="0035519F">
        <w:rPr>
          <w:rFonts w:ascii="Arial" w:hAnsi="Arial" w:cs="Arial"/>
          <w:spacing w:val="42"/>
          <w:sz w:val="24"/>
          <w:szCs w:val="24"/>
        </w:rPr>
        <w:t xml:space="preserve"> </w:t>
      </w:r>
      <w:r w:rsidRPr="0035519F">
        <w:rPr>
          <w:rFonts w:ascii="Arial" w:hAnsi="Arial" w:cs="Arial"/>
          <w:sz w:val="24"/>
          <w:szCs w:val="24"/>
        </w:rPr>
        <w:t>penulis dalam</w:t>
      </w:r>
      <w:r w:rsidR="00427073" w:rsidRPr="0035519F">
        <w:rPr>
          <w:rFonts w:ascii="Arial" w:hAnsi="Arial" w:cs="Arial"/>
          <w:sz w:val="24"/>
          <w:szCs w:val="24"/>
        </w:rPr>
        <w:t xml:space="preserve"> </w:t>
      </w:r>
      <w:r w:rsidRPr="0035519F">
        <w:rPr>
          <w:rFonts w:ascii="Arial" w:hAnsi="Arial" w:cs="Arial"/>
          <w:sz w:val="24"/>
          <w:szCs w:val="24"/>
        </w:rPr>
        <w:t>mengikuti pendidikan. Te</w:t>
      </w:r>
      <w:r w:rsidR="00427073" w:rsidRPr="0035519F">
        <w:rPr>
          <w:rFonts w:ascii="Arial" w:hAnsi="Arial" w:cs="Arial"/>
          <w:sz w:val="24"/>
          <w:szCs w:val="24"/>
        </w:rPr>
        <w:t>rima kasih telah menjadi penyejuk mata dan hati papi.</w:t>
      </w:r>
    </w:p>
    <w:p w14:paraId="7F6A6A4D" w14:textId="77777777" w:rsidR="006468B1" w:rsidRPr="0035519F" w:rsidRDefault="006468B1" w:rsidP="00427073">
      <w:pPr>
        <w:spacing w:after="0" w:line="480" w:lineRule="auto"/>
        <w:ind w:firstLine="720"/>
        <w:jc w:val="both"/>
        <w:rPr>
          <w:rFonts w:ascii="Arial" w:hAnsi="Arial" w:cs="Arial"/>
          <w:sz w:val="24"/>
          <w:szCs w:val="24"/>
        </w:rPr>
      </w:pPr>
      <w:r w:rsidRPr="0035519F">
        <w:rPr>
          <w:rFonts w:ascii="Arial" w:hAnsi="Arial" w:cs="Arial"/>
          <w:sz w:val="24"/>
          <w:szCs w:val="24"/>
        </w:rPr>
        <w:t>Terima</w:t>
      </w:r>
      <w:r w:rsidRPr="0035519F">
        <w:rPr>
          <w:rFonts w:ascii="Arial" w:hAnsi="Arial" w:cs="Arial"/>
          <w:spacing w:val="-7"/>
          <w:sz w:val="24"/>
          <w:szCs w:val="24"/>
        </w:rPr>
        <w:t xml:space="preserve"> </w:t>
      </w:r>
      <w:r w:rsidRPr="0035519F">
        <w:rPr>
          <w:rFonts w:ascii="Arial" w:hAnsi="Arial" w:cs="Arial"/>
          <w:sz w:val="24"/>
          <w:szCs w:val="24"/>
        </w:rPr>
        <w:t>kasih</w:t>
      </w:r>
      <w:r w:rsidRPr="0035519F">
        <w:rPr>
          <w:rFonts w:ascii="Arial" w:hAnsi="Arial" w:cs="Arial"/>
          <w:spacing w:val="-7"/>
          <w:sz w:val="24"/>
          <w:szCs w:val="24"/>
        </w:rPr>
        <w:t xml:space="preserve"> </w:t>
      </w:r>
      <w:r w:rsidRPr="0035519F">
        <w:rPr>
          <w:rFonts w:ascii="Arial" w:hAnsi="Arial" w:cs="Arial"/>
          <w:sz w:val="24"/>
          <w:szCs w:val="24"/>
        </w:rPr>
        <w:t>penulis</w:t>
      </w:r>
      <w:r w:rsidRPr="0035519F">
        <w:rPr>
          <w:rFonts w:ascii="Arial" w:hAnsi="Arial" w:cs="Arial"/>
          <w:spacing w:val="-5"/>
          <w:sz w:val="24"/>
          <w:szCs w:val="24"/>
        </w:rPr>
        <w:t xml:space="preserve"> </w:t>
      </w:r>
      <w:r w:rsidRPr="0035519F">
        <w:rPr>
          <w:rFonts w:ascii="Arial" w:hAnsi="Arial" w:cs="Arial"/>
          <w:sz w:val="24"/>
          <w:szCs w:val="24"/>
        </w:rPr>
        <w:t>sampaikan</w:t>
      </w:r>
      <w:r w:rsidRPr="0035519F">
        <w:rPr>
          <w:rFonts w:ascii="Arial" w:hAnsi="Arial" w:cs="Arial"/>
          <w:spacing w:val="-3"/>
          <w:sz w:val="24"/>
          <w:szCs w:val="24"/>
        </w:rPr>
        <w:t xml:space="preserve"> </w:t>
      </w:r>
      <w:r w:rsidRPr="0035519F">
        <w:rPr>
          <w:rFonts w:ascii="Arial" w:hAnsi="Arial" w:cs="Arial"/>
          <w:sz w:val="24"/>
          <w:szCs w:val="24"/>
        </w:rPr>
        <w:t>pula</w:t>
      </w:r>
      <w:r w:rsidRPr="0035519F">
        <w:rPr>
          <w:rFonts w:ascii="Arial" w:hAnsi="Arial" w:cs="Arial"/>
          <w:spacing w:val="-3"/>
          <w:sz w:val="24"/>
          <w:szCs w:val="24"/>
        </w:rPr>
        <w:t xml:space="preserve"> </w:t>
      </w:r>
      <w:r w:rsidRPr="0035519F">
        <w:rPr>
          <w:rFonts w:ascii="Arial" w:hAnsi="Arial" w:cs="Arial"/>
          <w:sz w:val="24"/>
          <w:szCs w:val="24"/>
        </w:rPr>
        <w:t>kepada</w:t>
      </w:r>
      <w:r w:rsidRPr="0035519F">
        <w:rPr>
          <w:rFonts w:ascii="Arial" w:hAnsi="Arial" w:cs="Arial"/>
          <w:spacing w:val="-7"/>
          <w:sz w:val="24"/>
          <w:szCs w:val="24"/>
        </w:rPr>
        <w:t xml:space="preserve"> </w:t>
      </w:r>
      <w:r w:rsidRPr="0035519F">
        <w:rPr>
          <w:rFonts w:ascii="Arial" w:hAnsi="Arial" w:cs="Arial"/>
          <w:sz w:val="24"/>
          <w:szCs w:val="24"/>
        </w:rPr>
        <w:t>semua</w:t>
      </w:r>
      <w:r w:rsidRPr="0035519F">
        <w:rPr>
          <w:rFonts w:ascii="Arial" w:hAnsi="Arial" w:cs="Arial"/>
          <w:spacing w:val="-7"/>
          <w:sz w:val="24"/>
          <w:szCs w:val="24"/>
        </w:rPr>
        <w:t xml:space="preserve"> </w:t>
      </w:r>
      <w:r w:rsidRPr="0035519F">
        <w:rPr>
          <w:rFonts w:ascii="Arial" w:hAnsi="Arial" w:cs="Arial"/>
          <w:sz w:val="24"/>
          <w:szCs w:val="24"/>
        </w:rPr>
        <w:t>pihak</w:t>
      </w:r>
      <w:r w:rsidRPr="0035519F">
        <w:rPr>
          <w:rFonts w:ascii="Arial" w:hAnsi="Arial" w:cs="Arial"/>
          <w:spacing w:val="-5"/>
          <w:sz w:val="24"/>
          <w:szCs w:val="24"/>
        </w:rPr>
        <w:t xml:space="preserve"> </w:t>
      </w:r>
      <w:r w:rsidRPr="0035519F">
        <w:rPr>
          <w:rFonts w:ascii="Arial" w:hAnsi="Arial" w:cs="Arial"/>
          <w:sz w:val="24"/>
          <w:szCs w:val="24"/>
        </w:rPr>
        <w:t>yang</w:t>
      </w:r>
      <w:r w:rsidRPr="0035519F">
        <w:rPr>
          <w:rFonts w:ascii="Arial" w:hAnsi="Arial" w:cs="Arial"/>
          <w:spacing w:val="-7"/>
          <w:sz w:val="24"/>
          <w:szCs w:val="24"/>
        </w:rPr>
        <w:t xml:space="preserve"> </w:t>
      </w:r>
      <w:r w:rsidRPr="0035519F">
        <w:rPr>
          <w:rFonts w:ascii="Arial" w:hAnsi="Arial" w:cs="Arial"/>
          <w:sz w:val="24"/>
          <w:szCs w:val="24"/>
        </w:rPr>
        <w:t>tidak dapat</w:t>
      </w:r>
      <w:r w:rsidRPr="0035519F">
        <w:rPr>
          <w:rFonts w:ascii="Arial" w:hAnsi="Arial" w:cs="Arial"/>
          <w:spacing w:val="-14"/>
          <w:sz w:val="24"/>
          <w:szCs w:val="24"/>
        </w:rPr>
        <w:t xml:space="preserve"> </w:t>
      </w:r>
      <w:r w:rsidRPr="0035519F">
        <w:rPr>
          <w:rFonts w:ascii="Arial" w:hAnsi="Arial" w:cs="Arial"/>
          <w:sz w:val="24"/>
          <w:szCs w:val="24"/>
        </w:rPr>
        <w:t>penulis</w:t>
      </w:r>
      <w:r w:rsidRPr="0035519F">
        <w:rPr>
          <w:rFonts w:ascii="Arial" w:hAnsi="Arial" w:cs="Arial"/>
          <w:spacing w:val="-14"/>
          <w:sz w:val="24"/>
          <w:szCs w:val="24"/>
        </w:rPr>
        <w:t xml:space="preserve"> </w:t>
      </w:r>
      <w:r w:rsidRPr="0035519F">
        <w:rPr>
          <w:rFonts w:ascii="Arial" w:hAnsi="Arial" w:cs="Arial"/>
          <w:sz w:val="24"/>
          <w:szCs w:val="24"/>
        </w:rPr>
        <w:t>sebutkan</w:t>
      </w:r>
      <w:r w:rsidRPr="0035519F">
        <w:rPr>
          <w:rFonts w:ascii="Arial" w:hAnsi="Arial" w:cs="Arial"/>
          <w:spacing w:val="-17"/>
          <w:sz w:val="24"/>
          <w:szCs w:val="24"/>
        </w:rPr>
        <w:t xml:space="preserve"> </w:t>
      </w:r>
      <w:r w:rsidRPr="0035519F">
        <w:rPr>
          <w:rFonts w:ascii="Arial" w:hAnsi="Arial" w:cs="Arial"/>
          <w:sz w:val="24"/>
          <w:szCs w:val="24"/>
        </w:rPr>
        <w:t>satu</w:t>
      </w:r>
      <w:r w:rsidRPr="0035519F">
        <w:rPr>
          <w:rFonts w:ascii="Arial" w:hAnsi="Arial" w:cs="Arial"/>
          <w:spacing w:val="-16"/>
          <w:sz w:val="24"/>
          <w:szCs w:val="24"/>
        </w:rPr>
        <w:t xml:space="preserve"> </w:t>
      </w:r>
      <w:r w:rsidRPr="0035519F">
        <w:rPr>
          <w:rFonts w:ascii="Arial" w:hAnsi="Arial" w:cs="Arial"/>
          <w:sz w:val="24"/>
          <w:szCs w:val="24"/>
        </w:rPr>
        <w:t>persatu</w:t>
      </w:r>
      <w:r w:rsidRPr="0035519F">
        <w:rPr>
          <w:rFonts w:ascii="Arial" w:hAnsi="Arial" w:cs="Arial"/>
          <w:spacing w:val="-16"/>
          <w:sz w:val="24"/>
          <w:szCs w:val="24"/>
        </w:rPr>
        <w:t xml:space="preserve"> </w:t>
      </w:r>
      <w:r w:rsidRPr="0035519F">
        <w:rPr>
          <w:rFonts w:ascii="Arial" w:hAnsi="Arial" w:cs="Arial"/>
          <w:sz w:val="24"/>
          <w:szCs w:val="24"/>
        </w:rPr>
        <w:t>yang</w:t>
      </w:r>
      <w:r w:rsidRPr="0035519F">
        <w:rPr>
          <w:rFonts w:ascii="Arial" w:hAnsi="Arial" w:cs="Arial"/>
          <w:spacing w:val="-16"/>
          <w:sz w:val="24"/>
          <w:szCs w:val="24"/>
        </w:rPr>
        <w:t xml:space="preserve"> </w:t>
      </w:r>
      <w:r w:rsidRPr="0035519F">
        <w:rPr>
          <w:rFonts w:ascii="Arial" w:hAnsi="Arial" w:cs="Arial"/>
          <w:sz w:val="24"/>
          <w:szCs w:val="24"/>
        </w:rPr>
        <w:t>telah</w:t>
      </w:r>
      <w:r w:rsidRPr="0035519F">
        <w:rPr>
          <w:rFonts w:ascii="Arial" w:hAnsi="Arial" w:cs="Arial"/>
          <w:spacing w:val="-17"/>
          <w:sz w:val="24"/>
          <w:szCs w:val="24"/>
        </w:rPr>
        <w:t xml:space="preserve"> </w:t>
      </w:r>
      <w:r w:rsidRPr="0035519F">
        <w:rPr>
          <w:rFonts w:ascii="Arial" w:hAnsi="Arial" w:cs="Arial"/>
          <w:sz w:val="24"/>
          <w:szCs w:val="24"/>
        </w:rPr>
        <w:t>memberi</w:t>
      </w:r>
      <w:r w:rsidRPr="0035519F">
        <w:rPr>
          <w:rFonts w:ascii="Arial" w:hAnsi="Arial" w:cs="Arial"/>
          <w:spacing w:val="-15"/>
          <w:sz w:val="24"/>
          <w:szCs w:val="24"/>
        </w:rPr>
        <w:t xml:space="preserve"> </w:t>
      </w:r>
      <w:r w:rsidRPr="0035519F">
        <w:rPr>
          <w:rFonts w:ascii="Arial" w:hAnsi="Arial" w:cs="Arial"/>
          <w:sz w:val="24"/>
          <w:szCs w:val="24"/>
        </w:rPr>
        <w:t>bantuan</w:t>
      </w:r>
      <w:r w:rsidRPr="0035519F">
        <w:rPr>
          <w:rFonts w:ascii="Arial" w:hAnsi="Arial" w:cs="Arial"/>
          <w:spacing w:val="-16"/>
          <w:sz w:val="24"/>
          <w:szCs w:val="24"/>
        </w:rPr>
        <w:t xml:space="preserve"> </w:t>
      </w:r>
      <w:r w:rsidRPr="0035519F">
        <w:rPr>
          <w:rFonts w:ascii="Arial" w:hAnsi="Arial" w:cs="Arial"/>
          <w:sz w:val="24"/>
          <w:szCs w:val="24"/>
        </w:rPr>
        <w:t>baik</w:t>
      </w:r>
      <w:r w:rsidRPr="0035519F">
        <w:rPr>
          <w:rFonts w:ascii="Arial" w:hAnsi="Arial" w:cs="Arial"/>
          <w:spacing w:val="-14"/>
          <w:sz w:val="24"/>
          <w:szCs w:val="24"/>
        </w:rPr>
        <w:t xml:space="preserve"> </w:t>
      </w:r>
      <w:r w:rsidRPr="0035519F">
        <w:rPr>
          <w:rFonts w:ascii="Arial" w:hAnsi="Arial" w:cs="Arial"/>
          <w:sz w:val="24"/>
          <w:szCs w:val="24"/>
        </w:rPr>
        <w:t xml:space="preserve">moril maupun materil secara langsung maupun tidak langsung. Melalui kesempatan </w:t>
      </w:r>
      <w:r w:rsidRPr="0035519F">
        <w:rPr>
          <w:rFonts w:ascii="Arial" w:hAnsi="Arial" w:cs="Arial"/>
          <w:sz w:val="24"/>
          <w:szCs w:val="24"/>
        </w:rPr>
        <w:lastRenderedPageBreak/>
        <w:t>ini pula, perkenankan penulis menghaturkan permohonan maaf yang setulus-tulusnya atas segala kekhilafan dan kesalahan yang telah dilakukan baik sengaja maupun tidak sengaja selama masa pendidikan sampai selesainya tesis ini. Penulis berharap tesis ini dapat memberi sumbangan bagi perkembangan ilmu pengetahuan terutama di bidang Ilmu Patologi Klinik di masa</w:t>
      </w:r>
      <w:r w:rsidRPr="0035519F">
        <w:rPr>
          <w:rFonts w:ascii="Arial" w:hAnsi="Arial" w:cs="Arial"/>
          <w:spacing w:val="-3"/>
          <w:sz w:val="24"/>
          <w:szCs w:val="24"/>
        </w:rPr>
        <w:t xml:space="preserve"> </w:t>
      </w:r>
      <w:r w:rsidRPr="0035519F">
        <w:rPr>
          <w:rFonts w:ascii="Arial" w:hAnsi="Arial" w:cs="Arial"/>
          <w:sz w:val="24"/>
          <w:szCs w:val="24"/>
        </w:rPr>
        <w:t>mendatang.</w:t>
      </w:r>
    </w:p>
    <w:p w14:paraId="307D013D" w14:textId="77777777" w:rsidR="006468B1" w:rsidRPr="0035519F" w:rsidRDefault="006468B1" w:rsidP="00E62CAE">
      <w:pPr>
        <w:spacing w:after="0" w:line="480" w:lineRule="auto"/>
        <w:jc w:val="both"/>
        <w:rPr>
          <w:rFonts w:ascii="Arial" w:hAnsi="Arial" w:cs="Arial"/>
          <w:sz w:val="24"/>
          <w:szCs w:val="24"/>
        </w:rPr>
      </w:pPr>
    </w:p>
    <w:p w14:paraId="46A53EFA" w14:textId="136A7B10" w:rsidR="006468B1" w:rsidRPr="0035519F" w:rsidRDefault="006468B1" w:rsidP="00427073">
      <w:pPr>
        <w:spacing w:after="0" w:line="480" w:lineRule="auto"/>
        <w:jc w:val="right"/>
        <w:rPr>
          <w:rFonts w:ascii="Arial" w:hAnsi="Arial" w:cs="Arial"/>
          <w:sz w:val="24"/>
          <w:szCs w:val="24"/>
        </w:rPr>
      </w:pPr>
      <w:r w:rsidRPr="0035519F">
        <w:rPr>
          <w:rFonts w:ascii="Arial" w:hAnsi="Arial" w:cs="Arial"/>
          <w:sz w:val="24"/>
          <w:szCs w:val="24"/>
        </w:rPr>
        <w:t>Makassar,</w:t>
      </w:r>
      <w:r w:rsidR="003B3EAA" w:rsidRPr="0035519F">
        <w:rPr>
          <w:rFonts w:ascii="Arial" w:hAnsi="Arial" w:cs="Arial"/>
          <w:sz w:val="24"/>
          <w:szCs w:val="24"/>
        </w:rPr>
        <w:t xml:space="preserve"> </w:t>
      </w:r>
      <w:r w:rsidR="00DC6CD1" w:rsidRPr="0035519F">
        <w:rPr>
          <w:rFonts w:ascii="Arial" w:hAnsi="Arial" w:cs="Arial"/>
          <w:sz w:val="24"/>
          <w:szCs w:val="24"/>
        </w:rPr>
        <w:t>24</w:t>
      </w:r>
      <w:r w:rsidRPr="0035519F">
        <w:rPr>
          <w:rFonts w:ascii="Arial" w:hAnsi="Arial" w:cs="Arial"/>
          <w:sz w:val="24"/>
          <w:szCs w:val="24"/>
        </w:rPr>
        <w:t xml:space="preserve"> </w:t>
      </w:r>
      <w:r w:rsidR="00427073" w:rsidRPr="0035519F">
        <w:rPr>
          <w:rFonts w:ascii="Arial" w:hAnsi="Arial" w:cs="Arial"/>
          <w:sz w:val="24"/>
          <w:szCs w:val="24"/>
        </w:rPr>
        <w:t>Agustus 2022</w:t>
      </w:r>
    </w:p>
    <w:p w14:paraId="4C6DD10A" w14:textId="77777777" w:rsidR="006468B1" w:rsidRPr="0035519F" w:rsidRDefault="006468B1" w:rsidP="00E62CAE">
      <w:pPr>
        <w:spacing w:after="0" w:line="480" w:lineRule="auto"/>
        <w:jc w:val="both"/>
        <w:rPr>
          <w:rFonts w:ascii="Arial" w:hAnsi="Arial" w:cs="Arial"/>
          <w:sz w:val="24"/>
          <w:szCs w:val="24"/>
        </w:rPr>
      </w:pPr>
    </w:p>
    <w:p w14:paraId="2BF94CC4" w14:textId="77777777" w:rsidR="006468B1" w:rsidRPr="0035519F" w:rsidRDefault="00427073" w:rsidP="00427073">
      <w:pPr>
        <w:spacing w:after="0" w:line="480" w:lineRule="auto"/>
        <w:jc w:val="right"/>
        <w:rPr>
          <w:rFonts w:ascii="Arial" w:hAnsi="Arial" w:cs="Arial"/>
          <w:sz w:val="24"/>
          <w:szCs w:val="24"/>
        </w:rPr>
      </w:pPr>
      <w:r w:rsidRPr="0035519F">
        <w:rPr>
          <w:rFonts w:ascii="Arial" w:hAnsi="Arial" w:cs="Arial"/>
          <w:sz w:val="24"/>
          <w:szCs w:val="24"/>
        </w:rPr>
        <w:t>Abd. Rahim Mubarak</w:t>
      </w:r>
    </w:p>
    <w:p w14:paraId="1602D6C5" w14:textId="77777777" w:rsidR="007A22B7" w:rsidRPr="0035519F" w:rsidRDefault="007A22B7" w:rsidP="00AC37D3">
      <w:pPr>
        <w:spacing w:line="360" w:lineRule="auto"/>
        <w:jc w:val="center"/>
        <w:rPr>
          <w:rFonts w:ascii="Arial" w:hAnsi="Arial" w:cs="Arial"/>
          <w:b/>
          <w:sz w:val="28"/>
          <w:szCs w:val="24"/>
        </w:rPr>
      </w:pPr>
      <w:bookmarkStart w:id="1" w:name="_TOC_250041"/>
      <w:bookmarkEnd w:id="1"/>
    </w:p>
    <w:p w14:paraId="05F5F5B3" w14:textId="77777777" w:rsidR="007A22B7" w:rsidRPr="0035519F" w:rsidRDefault="007A22B7" w:rsidP="00AC37D3">
      <w:pPr>
        <w:spacing w:line="360" w:lineRule="auto"/>
        <w:jc w:val="center"/>
        <w:rPr>
          <w:rFonts w:ascii="Arial" w:hAnsi="Arial" w:cs="Arial"/>
          <w:b/>
          <w:sz w:val="28"/>
          <w:szCs w:val="24"/>
        </w:rPr>
      </w:pPr>
    </w:p>
    <w:p w14:paraId="47DF74FF" w14:textId="77777777" w:rsidR="007A22B7" w:rsidRPr="0035519F" w:rsidRDefault="007A22B7" w:rsidP="00AC37D3">
      <w:pPr>
        <w:spacing w:line="360" w:lineRule="auto"/>
        <w:jc w:val="center"/>
        <w:rPr>
          <w:rFonts w:ascii="Arial" w:hAnsi="Arial" w:cs="Arial"/>
          <w:b/>
          <w:sz w:val="28"/>
          <w:szCs w:val="24"/>
        </w:rPr>
      </w:pPr>
    </w:p>
    <w:p w14:paraId="6298317A" w14:textId="77777777" w:rsidR="007A22B7" w:rsidRPr="0035519F" w:rsidRDefault="007A22B7" w:rsidP="00AC37D3">
      <w:pPr>
        <w:spacing w:line="360" w:lineRule="auto"/>
        <w:jc w:val="center"/>
        <w:rPr>
          <w:rFonts w:ascii="Arial" w:hAnsi="Arial" w:cs="Arial"/>
          <w:b/>
          <w:sz w:val="28"/>
          <w:szCs w:val="24"/>
        </w:rPr>
      </w:pPr>
    </w:p>
    <w:p w14:paraId="03AF032B" w14:textId="77777777" w:rsidR="007A22B7" w:rsidRPr="0035519F" w:rsidRDefault="007A22B7" w:rsidP="00AC37D3">
      <w:pPr>
        <w:spacing w:line="360" w:lineRule="auto"/>
        <w:jc w:val="center"/>
        <w:rPr>
          <w:rFonts w:ascii="Arial" w:hAnsi="Arial" w:cs="Arial"/>
          <w:b/>
          <w:sz w:val="28"/>
          <w:szCs w:val="24"/>
        </w:rPr>
      </w:pPr>
    </w:p>
    <w:p w14:paraId="6C194709" w14:textId="77777777" w:rsidR="007A22B7" w:rsidRPr="0035519F" w:rsidRDefault="007A22B7" w:rsidP="00AC37D3">
      <w:pPr>
        <w:spacing w:line="360" w:lineRule="auto"/>
        <w:jc w:val="center"/>
        <w:rPr>
          <w:rFonts w:ascii="Arial" w:hAnsi="Arial" w:cs="Arial"/>
          <w:b/>
          <w:sz w:val="28"/>
          <w:szCs w:val="24"/>
        </w:rPr>
      </w:pPr>
    </w:p>
    <w:p w14:paraId="20C709E0" w14:textId="77777777" w:rsidR="007A22B7" w:rsidRPr="0035519F" w:rsidRDefault="007A22B7" w:rsidP="00AC37D3">
      <w:pPr>
        <w:spacing w:line="360" w:lineRule="auto"/>
        <w:jc w:val="center"/>
        <w:rPr>
          <w:rFonts w:ascii="Arial" w:hAnsi="Arial" w:cs="Arial"/>
          <w:b/>
          <w:sz w:val="28"/>
          <w:szCs w:val="24"/>
        </w:rPr>
      </w:pPr>
    </w:p>
    <w:p w14:paraId="0ED2958B" w14:textId="77777777" w:rsidR="007A22B7" w:rsidRPr="0035519F" w:rsidRDefault="007A22B7" w:rsidP="00AC37D3">
      <w:pPr>
        <w:spacing w:line="360" w:lineRule="auto"/>
        <w:jc w:val="center"/>
        <w:rPr>
          <w:rFonts w:ascii="Arial" w:hAnsi="Arial" w:cs="Arial"/>
          <w:b/>
          <w:sz w:val="28"/>
          <w:szCs w:val="24"/>
        </w:rPr>
      </w:pPr>
    </w:p>
    <w:p w14:paraId="3FBFADB1" w14:textId="77777777" w:rsidR="007A22B7" w:rsidRPr="0035519F" w:rsidRDefault="007A22B7" w:rsidP="00AC37D3">
      <w:pPr>
        <w:spacing w:line="360" w:lineRule="auto"/>
        <w:jc w:val="center"/>
        <w:rPr>
          <w:rFonts w:ascii="Arial" w:hAnsi="Arial" w:cs="Arial"/>
          <w:b/>
          <w:sz w:val="28"/>
          <w:szCs w:val="24"/>
        </w:rPr>
      </w:pPr>
    </w:p>
    <w:p w14:paraId="377741FB" w14:textId="77777777" w:rsidR="007A22B7" w:rsidRPr="0035519F" w:rsidRDefault="007A22B7" w:rsidP="00AC37D3">
      <w:pPr>
        <w:spacing w:line="360" w:lineRule="auto"/>
        <w:jc w:val="center"/>
        <w:rPr>
          <w:rFonts w:ascii="Arial" w:hAnsi="Arial" w:cs="Arial"/>
          <w:b/>
          <w:sz w:val="28"/>
          <w:szCs w:val="24"/>
        </w:rPr>
      </w:pPr>
    </w:p>
    <w:p w14:paraId="752B1C7D" w14:textId="77777777" w:rsidR="006468B1" w:rsidRPr="0035519F" w:rsidRDefault="006468B1" w:rsidP="00497759">
      <w:pPr>
        <w:pStyle w:val="Heading1"/>
        <w:rPr>
          <w:color w:val="auto"/>
          <w:sz w:val="28"/>
        </w:rPr>
      </w:pPr>
      <w:bookmarkStart w:id="2" w:name="_Toc111022741"/>
      <w:r w:rsidRPr="0035519F">
        <w:rPr>
          <w:color w:val="auto"/>
          <w:sz w:val="28"/>
        </w:rPr>
        <w:lastRenderedPageBreak/>
        <w:t>ABSTRAK</w:t>
      </w:r>
      <w:bookmarkEnd w:id="2"/>
    </w:p>
    <w:p w14:paraId="11F0CD3E" w14:textId="77777777" w:rsidR="00497759" w:rsidRPr="0035519F" w:rsidRDefault="00497759" w:rsidP="00497759"/>
    <w:p w14:paraId="5DFE714E" w14:textId="335905EF" w:rsidR="006468B1" w:rsidRPr="0035519F" w:rsidRDefault="0005295A" w:rsidP="007A22B7">
      <w:pPr>
        <w:spacing w:line="276" w:lineRule="auto"/>
        <w:ind w:right="-9"/>
        <w:jc w:val="both"/>
        <w:rPr>
          <w:rFonts w:ascii="Arial" w:hAnsi="Arial" w:cs="Arial"/>
          <w:b/>
          <w:sz w:val="28"/>
          <w:szCs w:val="24"/>
        </w:rPr>
      </w:pPr>
      <w:r w:rsidRPr="0035519F">
        <w:rPr>
          <w:rFonts w:ascii="Arial" w:hAnsi="Arial" w:cs="Arial"/>
          <w:b/>
          <w:sz w:val="24"/>
          <w:szCs w:val="24"/>
        </w:rPr>
        <w:t>Abd. Rahim Mubarak.</w:t>
      </w:r>
      <w:r w:rsidRPr="0035519F">
        <w:rPr>
          <w:rFonts w:ascii="Arial" w:hAnsi="Arial" w:cs="Arial"/>
          <w:b/>
          <w:sz w:val="28"/>
          <w:szCs w:val="24"/>
          <w:lang w:val="id-ID"/>
        </w:rPr>
        <w:t xml:space="preserve"> </w:t>
      </w:r>
      <w:r w:rsidRPr="0035519F">
        <w:rPr>
          <w:rFonts w:ascii="Arial" w:hAnsi="Arial" w:cs="Arial"/>
          <w:sz w:val="24"/>
          <w:szCs w:val="24"/>
          <w:lang w:val="id-ID"/>
        </w:rPr>
        <w:t xml:space="preserve">Analisis </w:t>
      </w:r>
      <w:r w:rsidRPr="0035519F">
        <w:rPr>
          <w:rFonts w:ascii="Arial" w:hAnsi="Arial" w:cs="Arial"/>
          <w:sz w:val="24"/>
          <w:szCs w:val="24"/>
        </w:rPr>
        <w:t>Resistensi Insulin</w:t>
      </w:r>
      <w:r w:rsidRPr="0035519F">
        <w:rPr>
          <w:rFonts w:ascii="Arial" w:hAnsi="Arial" w:cs="Arial"/>
          <w:sz w:val="24"/>
          <w:szCs w:val="24"/>
          <w:lang w:val="id-ID"/>
        </w:rPr>
        <w:t xml:space="preserve"> </w:t>
      </w:r>
      <w:r w:rsidR="007D1566" w:rsidRPr="0035519F">
        <w:rPr>
          <w:rFonts w:ascii="Arial" w:hAnsi="Arial" w:cs="Arial"/>
          <w:sz w:val="24"/>
          <w:szCs w:val="24"/>
        </w:rPr>
        <w:t>dan</w:t>
      </w:r>
      <w:r w:rsidRPr="0035519F">
        <w:rPr>
          <w:rFonts w:ascii="Arial" w:hAnsi="Arial" w:cs="Arial"/>
          <w:sz w:val="24"/>
          <w:szCs w:val="24"/>
          <w:lang w:val="id-ID"/>
        </w:rPr>
        <w:t xml:space="preserve">  </w:t>
      </w:r>
      <w:r w:rsidRPr="0035519F">
        <w:rPr>
          <w:rFonts w:ascii="Arial" w:hAnsi="Arial" w:cs="Arial"/>
          <w:i/>
          <w:sz w:val="24"/>
          <w:szCs w:val="24"/>
        </w:rPr>
        <w:t>Insulin-Like Growth Factor 1</w:t>
      </w:r>
      <w:r w:rsidRPr="0035519F">
        <w:rPr>
          <w:rFonts w:ascii="Arial" w:hAnsi="Arial" w:cs="Arial"/>
          <w:sz w:val="24"/>
          <w:szCs w:val="24"/>
        </w:rPr>
        <w:t xml:space="preserve"> (</w:t>
      </w:r>
      <w:r w:rsidR="003B3EAA" w:rsidRPr="0035519F">
        <w:rPr>
          <w:rFonts w:ascii="Arial" w:hAnsi="Arial" w:cs="Arial"/>
          <w:sz w:val="24"/>
          <w:szCs w:val="24"/>
          <w:lang w:val="id-ID"/>
        </w:rPr>
        <w:t>I</w:t>
      </w:r>
      <w:r w:rsidR="003B3EAA" w:rsidRPr="0035519F">
        <w:rPr>
          <w:rFonts w:ascii="Arial" w:hAnsi="Arial" w:cs="Arial"/>
          <w:sz w:val="24"/>
          <w:szCs w:val="24"/>
        </w:rPr>
        <w:t>GF</w:t>
      </w:r>
      <w:r w:rsidRPr="0035519F">
        <w:rPr>
          <w:rFonts w:ascii="Arial" w:hAnsi="Arial" w:cs="Arial"/>
          <w:sz w:val="24"/>
          <w:szCs w:val="24"/>
          <w:lang w:val="id-ID"/>
        </w:rPr>
        <w:t>-1</w:t>
      </w:r>
      <w:r w:rsidRPr="0035519F">
        <w:rPr>
          <w:rFonts w:ascii="Arial" w:hAnsi="Arial" w:cs="Arial"/>
          <w:sz w:val="24"/>
          <w:szCs w:val="24"/>
        </w:rPr>
        <w:t>)</w:t>
      </w:r>
      <w:r w:rsidRPr="0035519F">
        <w:rPr>
          <w:rFonts w:ascii="Arial" w:hAnsi="Arial" w:cs="Arial"/>
          <w:sz w:val="24"/>
          <w:szCs w:val="24"/>
          <w:lang w:val="id-ID"/>
        </w:rPr>
        <w:t xml:space="preserve"> </w:t>
      </w:r>
      <w:r w:rsidRPr="0035519F">
        <w:rPr>
          <w:rFonts w:ascii="Arial" w:hAnsi="Arial" w:cs="Arial"/>
          <w:sz w:val="24"/>
          <w:szCs w:val="24"/>
        </w:rPr>
        <w:t xml:space="preserve">pada Dewasa </w:t>
      </w:r>
      <w:r w:rsidRPr="0035519F">
        <w:rPr>
          <w:rFonts w:ascii="Arial" w:hAnsi="Arial" w:cs="Arial"/>
          <w:i/>
          <w:sz w:val="24"/>
          <w:szCs w:val="24"/>
        </w:rPr>
        <w:t>Non Diabetes Mellitus</w:t>
      </w:r>
      <w:r w:rsidR="007D1566" w:rsidRPr="0035519F">
        <w:rPr>
          <w:rFonts w:ascii="Arial" w:hAnsi="Arial" w:cs="Arial"/>
          <w:sz w:val="24"/>
          <w:szCs w:val="24"/>
        </w:rPr>
        <w:t xml:space="preserve"> (DM</w:t>
      </w:r>
      <w:r w:rsidR="00AC37D3" w:rsidRPr="0035519F">
        <w:rPr>
          <w:rFonts w:ascii="Arial" w:hAnsi="Arial" w:cs="Arial"/>
          <w:sz w:val="24"/>
          <w:szCs w:val="24"/>
        </w:rPr>
        <w:t>) d</w:t>
      </w:r>
      <w:r w:rsidRPr="0035519F">
        <w:rPr>
          <w:rFonts w:ascii="Arial" w:hAnsi="Arial" w:cs="Arial"/>
          <w:sz w:val="24"/>
          <w:szCs w:val="24"/>
        </w:rPr>
        <w:t>engan dan Tanpa Obesitas Sentral</w:t>
      </w:r>
      <w:r w:rsidRPr="0035519F">
        <w:rPr>
          <w:rFonts w:ascii="Arial" w:hAnsi="Arial" w:cs="Arial"/>
          <w:b/>
          <w:sz w:val="28"/>
          <w:szCs w:val="24"/>
        </w:rPr>
        <w:t xml:space="preserve"> </w:t>
      </w:r>
      <w:r w:rsidR="006468B1" w:rsidRPr="0035519F">
        <w:rPr>
          <w:rFonts w:ascii="Arial" w:hAnsi="Arial" w:cs="Arial"/>
          <w:sz w:val="24"/>
          <w:szCs w:val="24"/>
        </w:rPr>
        <w:t xml:space="preserve">(Dibimbing oleh Liong Boy Kurniawan dan </w:t>
      </w:r>
      <w:r w:rsidRPr="0035519F">
        <w:rPr>
          <w:rFonts w:ascii="Arial" w:hAnsi="Arial" w:cs="Arial"/>
          <w:sz w:val="24"/>
          <w:szCs w:val="24"/>
        </w:rPr>
        <w:t>Tenri Esa</w:t>
      </w:r>
      <w:r w:rsidR="006468B1" w:rsidRPr="0035519F">
        <w:rPr>
          <w:rFonts w:ascii="Arial" w:hAnsi="Arial" w:cs="Arial"/>
          <w:sz w:val="24"/>
          <w:szCs w:val="24"/>
        </w:rPr>
        <w:t>)</w:t>
      </w:r>
    </w:p>
    <w:p w14:paraId="054D9681" w14:textId="0A3F9A7B" w:rsidR="00AC37D3" w:rsidRPr="0035519F" w:rsidRDefault="00AC37D3" w:rsidP="005460C7">
      <w:pPr>
        <w:spacing w:line="276" w:lineRule="auto"/>
        <w:ind w:right="-9" w:firstLine="540"/>
        <w:jc w:val="both"/>
        <w:rPr>
          <w:rFonts w:ascii="Arial" w:hAnsi="Arial" w:cs="Arial"/>
          <w:sz w:val="24"/>
          <w:szCs w:val="24"/>
        </w:rPr>
      </w:pPr>
      <w:r w:rsidRPr="0035519F">
        <w:rPr>
          <w:rFonts w:ascii="Arial" w:hAnsi="Arial" w:cs="Arial"/>
          <w:sz w:val="24"/>
          <w:szCs w:val="24"/>
        </w:rPr>
        <w:t xml:space="preserve">Obesitas adalah akumulasi lemak abnormal atau berlebihan yang menimbulkan risiko bagi kesehatan. </w:t>
      </w:r>
      <w:r w:rsidRPr="0035519F">
        <w:rPr>
          <w:rFonts w:ascii="Arial" w:eastAsia="Times New Roman" w:hAnsi="Arial" w:cs="Arial"/>
          <w:sz w:val="24"/>
          <w:szCs w:val="24"/>
        </w:rPr>
        <w:t xml:space="preserve">Kadar serum IGF-1 disebabkan oleh penurunan sekresi GH pada pasien obesitas. Tingginya kadar </w:t>
      </w:r>
      <w:r w:rsidRPr="0035519F">
        <w:rPr>
          <w:rFonts w:ascii="Arial" w:eastAsia="Times New Roman" w:hAnsi="Arial" w:cs="Arial"/>
          <w:i/>
          <w:sz w:val="24"/>
          <w:szCs w:val="24"/>
        </w:rPr>
        <w:t>Free Fatty Acid</w:t>
      </w:r>
      <w:r w:rsidRPr="0035519F">
        <w:rPr>
          <w:rFonts w:ascii="Arial" w:eastAsia="Times New Roman" w:hAnsi="Arial" w:cs="Arial"/>
          <w:sz w:val="24"/>
          <w:szCs w:val="24"/>
        </w:rPr>
        <w:t xml:space="preserve"> (FFA) dan insulin pada kondisi resistensi insulin memberi umpan balik negatif ke kelenjar pituitari untuk menurunkan sintesis GH yang diikuti dengan penurunan konsentrasi IGF-1 plasma.</w:t>
      </w:r>
      <w:r w:rsidR="008B2AC3" w:rsidRPr="0035519F">
        <w:rPr>
          <w:rFonts w:ascii="Arial" w:eastAsia="Times New Roman" w:hAnsi="Arial" w:cs="Arial"/>
          <w:sz w:val="24"/>
          <w:szCs w:val="24"/>
        </w:rPr>
        <w:t xml:space="preserve"> Tujuan penelitian ini adalah menganalisis hubungan antara resistensi insulin dan kadar IGF-1 pada dewasa non DM dengan dan tanpa obesitas sentral.</w:t>
      </w:r>
      <w:r w:rsidRPr="0035519F">
        <w:rPr>
          <w:rFonts w:ascii="Arial" w:eastAsia="Times New Roman" w:hAnsi="Arial" w:cs="Arial"/>
          <w:sz w:val="24"/>
          <w:szCs w:val="24"/>
        </w:rPr>
        <w:t xml:space="preserve"> </w:t>
      </w:r>
    </w:p>
    <w:p w14:paraId="0C938C30" w14:textId="45017726" w:rsidR="006468B1" w:rsidRPr="0035519F" w:rsidRDefault="006468B1" w:rsidP="007A22B7">
      <w:pPr>
        <w:pStyle w:val="BodyText"/>
        <w:spacing w:before="201" w:line="276" w:lineRule="auto"/>
        <w:ind w:right="-9" w:firstLine="568"/>
        <w:jc w:val="both"/>
        <w:rPr>
          <w:i/>
        </w:rPr>
      </w:pPr>
      <w:r w:rsidRPr="0035519F">
        <w:t xml:space="preserve">Penelitian dengan desain </w:t>
      </w:r>
      <w:r w:rsidRPr="0035519F">
        <w:rPr>
          <w:i/>
        </w:rPr>
        <w:t xml:space="preserve">cross sectional </w:t>
      </w:r>
      <w:r w:rsidRPr="0035519F">
        <w:t>ini menggunakan sampel subjek</w:t>
      </w:r>
      <w:r w:rsidRPr="0035519F">
        <w:rPr>
          <w:spacing w:val="-15"/>
        </w:rPr>
        <w:t xml:space="preserve"> </w:t>
      </w:r>
      <w:r w:rsidRPr="0035519F">
        <w:t>dengan</w:t>
      </w:r>
      <w:r w:rsidRPr="0035519F">
        <w:rPr>
          <w:spacing w:val="-16"/>
        </w:rPr>
        <w:t xml:space="preserve"> </w:t>
      </w:r>
      <w:r w:rsidRPr="0035519F">
        <w:t>obesitas</w:t>
      </w:r>
      <w:r w:rsidRPr="0035519F">
        <w:rPr>
          <w:spacing w:val="-13"/>
        </w:rPr>
        <w:t xml:space="preserve"> </w:t>
      </w:r>
      <w:r w:rsidR="0005295A" w:rsidRPr="0035519F">
        <w:t>sentral</w:t>
      </w:r>
      <w:r w:rsidRPr="0035519F">
        <w:rPr>
          <w:spacing w:val="-14"/>
        </w:rPr>
        <w:t xml:space="preserve"> </w:t>
      </w:r>
      <w:r w:rsidRPr="0035519F">
        <w:t>dan</w:t>
      </w:r>
      <w:r w:rsidRPr="0035519F">
        <w:rPr>
          <w:spacing w:val="-17"/>
        </w:rPr>
        <w:t xml:space="preserve"> </w:t>
      </w:r>
      <w:r w:rsidRPr="0035519F">
        <w:t>tanpa</w:t>
      </w:r>
      <w:r w:rsidRPr="0035519F">
        <w:rPr>
          <w:spacing w:val="-15"/>
        </w:rPr>
        <w:t xml:space="preserve"> </w:t>
      </w:r>
      <w:r w:rsidRPr="0035519F">
        <w:t>obesitas</w:t>
      </w:r>
      <w:r w:rsidRPr="0035519F">
        <w:rPr>
          <w:spacing w:val="-14"/>
        </w:rPr>
        <w:t xml:space="preserve"> </w:t>
      </w:r>
      <w:r w:rsidR="0005295A" w:rsidRPr="0035519F">
        <w:t>sentral</w:t>
      </w:r>
      <w:r w:rsidRPr="0035519F">
        <w:t>.</w:t>
      </w:r>
      <w:r w:rsidRPr="0035519F">
        <w:rPr>
          <w:spacing w:val="39"/>
        </w:rPr>
        <w:t xml:space="preserve"> </w:t>
      </w:r>
      <w:r w:rsidRPr="0035519F">
        <w:t>Jumlah sam</w:t>
      </w:r>
      <w:r w:rsidR="0005295A" w:rsidRPr="0035519F">
        <w:t>pel dalam penelitian sebanyak 88 sampel yang terdiri dari 44</w:t>
      </w:r>
      <w:r w:rsidRPr="0035519F">
        <w:t xml:space="preserve"> sampel obesitas </w:t>
      </w:r>
      <w:r w:rsidR="0005295A" w:rsidRPr="0035519F">
        <w:t>sentral dan 44</w:t>
      </w:r>
      <w:r w:rsidRPr="0035519F">
        <w:t xml:space="preserve"> sampel tanpa obesitas </w:t>
      </w:r>
      <w:r w:rsidR="0005295A" w:rsidRPr="0035519F">
        <w:t>sentral</w:t>
      </w:r>
      <w:r w:rsidRPr="0035519F">
        <w:t xml:space="preserve">. </w:t>
      </w:r>
      <w:r w:rsidR="00A458FF" w:rsidRPr="0035519F">
        <w:rPr>
          <w:i/>
        </w:rPr>
        <w:t>IGF-1</w:t>
      </w:r>
      <w:r w:rsidRPr="0035519F">
        <w:rPr>
          <w:i/>
        </w:rPr>
        <w:t xml:space="preserve"> </w:t>
      </w:r>
      <w:r w:rsidRPr="0035519F">
        <w:t xml:space="preserve">diperiksakan menggunakan metode ELISA, glukosa darah puasa menggunakan metode enzimatik dan insulin puasa menggunakan metode ECLIA. Data dianalisis secara statistik dengan uji </w:t>
      </w:r>
      <w:r w:rsidRPr="0035519F">
        <w:rPr>
          <w:i/>
        </w:rPr>
        <w:t xml:space="preserve">Kolmogorov Smirnov, </w:t>
      </w:r>
      <w:r w:rsidR="005460C7" w:rsidRPr="0035519F">
        <w:rPr>
          <w:i/>
        </w:rPr>
        <w:t>Mann-Whitney</w:t>
      </w:r>
      <w:r w:rsidRPr="0035519F">
        <w:rPr>
          <w:i/>
        </w:rPr>
        <w:t xml:space="preserve"> </w:t>
      </w:r>
      <w:r w:rsidRPr="0035519F">
        <w:t xml:space="preserve">dan </w:t>
      </w:r>
      <w:r w:rsidRPr="0035519F">
        <w:rPr>
          <w:i/>
        </w:rPr>
        <w:t>Spearman.</w:t>
      </w:r>
    </w:p>
    <w:p w14:paraId="1375BF31" w14:textId="2A8AEE28" w:rsidR="006468B1" w:rsidRPr="0035519F" w:rsidRDefault="006468B1" w:rsidP="007A22B7">
      <w:pPr>
        <w:pStyle w:val="BodyText"/>
        <w:spacing w:before="200" w:line="276" w:lineRule="auto"/>
        <w:ind w:right="-9" w:firstLine="720"/>
        <w:jc w:val="both"/>
      </w:pPr>
      <w:r w:rsidRPr="0035519F">
        <w:t xml:space="preserve">Hasil penelitian diperoleh bahwa rerata kadar </w:t>
      </w:r>
      <w:r w:rsidR="00A458FF" w:rsidRPr="0035519F">
        <w:rPr>
          <w:i/>
        </w:rPr>
        <w:t>IGF-1</w:t>
      </w:r>
      <w:r w:rsidRPr="0035519F">
        <w:rPr>
          <w:i/>
        </w:rPr>
        <w:t xml:space="preserve"> </w:t>
      </w:r>
      <w:r w:rsidRPr="0035519F">
        <w:t xml:space="preserve">lebih </w:t>
      </w:r>
      <w:r w:rsidR="0005295A" w:rsidRPr="0035519F">
        <w:t xml:space="preserve">rendah </w:t>
      </w:r>
      <w:r w:rsidRPr="0035519F">
        <w:t xml:space="preserve">signifikan pada subjek obesitas </w:t>
      </w:r>
      <w:r w:rsidR="0005295A" w:rsidRPr="0035519F">
        <w:t>sentral</w:t>
      </w:r>
      <w:r w:rsidRPr="0035519F">
        <w:t xml:space="preserve"> dibandingkan subjek tanpa obesitas </w:t>
      </w:r>
      <w:r w:rsidR="0005295A" w:rsidRPr="0035519F">
        <w:t>sentral</w:t>
      </w:r>
      <w:r w:rsidRPr="0035519F">
        <w:t xml:space="preserve"> </w:t>
      </w:r>
      <w:r w:rsidR="00354E33" w:rsidRPr="0035519F">
        <w:t xml:space="preserve">(328,3 </w:t>
      </w:r>
      <w:r w:rsidR="000A18E1" w:rsidRPr="0035519F">
        <w:t>ng/mL</w:t>
      </w:r>
      <w:r w:rsidR="00354E33" w:rsidRPr="0035519F">
        <w:t xml:space="preserve"> ± 298,09 vs 375</w:t>
      </w:r>
      <w:r w:rsidRPr="0035519F">
        <w:t>,</w:t>
      </w:r>
      <w:r w:rsidR="00354E33" w:rsidRPr="0035519F">
        <w:t>99</w:t>
      </w:r>
      <w:r w:rsidRPr="0035519F">
        <w:t xml:space="preserve"> </w:t>
      </w:r>
      <w:r w:rsidR="000A18E1" w:rsidRPr="0035519F">
        <w:t>ng/mL</w:t>
      </w:r>
      <w:r w:rsidRPr="0035519F">
        <w:t xml:space="preserve"> ± </w:t>
      </w:r>
      <w:r w:rsidR="00354E33" w:rsidRPr="0035519F">
        <w:t>473,33</w:t>
      </w:r>
      <w:r w:rsidRPr="0035519F">
        <w:t xml:space="preserve"> p&lt;0,05). </w:t>
      </w:r>
      <w:r w:rsidR="007D1566" w:rsidRPr="0035519F">
        <w:t>Penurunan</w:t>
      </w:r>
      <w:r w:rsidRPr="0035519F">
        <w:t xml:space="preserve"> kadar </w:t>
      </w:r>
      <w:r w:rsidR="00A458FF" w:rsidRPr="0035519F">
        <w:rPr>
          <w:i/>
        </w:rPr>
        <w:t>IGF-1</w:t>
      </w:r>
      <w:r w:rsidRPr="0035519F">
        <w:rPr>
          <w:i/>
        </w:rPr>
        <w:t xml:space="preserve"> </w:t>
      </w:r>
      <w:r w:rsidRPr="0035519F">
        <w:t xml:space="preserve">pada subjek obesitas </w:t>
      </w:r>
      <w:r w:rsidR="0005295A" w:rsidRPr="0035519F">
        <w:t>sentral</w:t>
      </w:r>
      <w:r w:rsidRPr="0035519F">
        <w:t xml:space="preserve"> terjadi akibat peningkatan sintesis jaringan lemak. Rerata</w:t>
      </w:r>
      <w:r w:rsidR="009768AE" w:rsidRPr="0035519F">
        <w:t xml:space="preserve"> nilai</w:t>
      </w:r>
      <w:r w:rsidRPr="0035519F">
        <w:t xml:space="preserve"> HOMA-IR juga lebih tinggi signifikan pada subjek obesitas </w:t>
      </w:r>
      <w:r w:rsidR="0005295A" w:rsidRPr="0035519F">
        <w:t>sentral</w:t>
      </w:r>
      <w:r w:rsidRPr="0035519F">
        <w:t xml:space="preserve"> dibandingkan subjek tanpa obesitas </w:t>
      </w:r>
      <w:r w:rsidR="0005295A" w:rsidRPr="0035519F">
        <w:t>sentral</w:t>
      </w:r>
      <w:r w:rsidRPr="0035519F">
        <w:t xml:space="preserve"> </w:t>
      </w:r>
      <w:r w:rsidR="00354E33" w:rsidRPr="0035519F">
        <w:t>(3,19 ± 4,26 vs 1,47 ±0,85</w:t>
      </w:r>
      <w:r w:rsidRPr="0035519F">
        <w:t>, p&lt;0,001).</w:t>
      </w:r>
      <w:r w:rsidR="005460C7" w:rsidRPr="0035519F">
        <w:t xml:space="preserve"> </w:t>
      </w:r>
      <w:r w:rsidR="008B2AC3" w:rsidRPr="0035519F">
        <w:t>T</w:t>
      </w:r>
      <w:r w:rsidR="005460C7" w:rsidRPr="0035519F">
        <w:t>erdapat korelasi antara HOMA-IR dengan IGF-1 pada</w:t>
      </w:r>
      <w:r w:rsidRPr="0035519F">
        <w:t xml:space="preserve"> </w:t>
      </w:r>
      <w:r w:rsidR="005460C7" w:rsidRPr="0035519F">
        <w:t>dewasa non DM denga</w:t>
      </w:r>
      <w:r w:rsidR="00DC6CD1" w:rsidRPr="0035519F">
        <w:t xml:space="preserve">n dan tanpa obesitas sentral, </w:t>
      </w:r>
      <w:r w:rsidR="00900364" w:rsidRPr="0035519F">
        <w:t xml:space="preserve">namun tidak signifikan secara statistik </w:t>
      </w:r>
      <w:r w:rsidR="00DC6CD1" w:rsidRPr="0035519F">
        <w:t>&gt;</w:t>
      </w:r>
      <w:r w:rsidR="005460C7" w:rsidRPr="0035519F">
        <w:t xml:space="preserve"> 0,05. </w:t>
      </w:r>
    </w:p>
    <w:p w14:paraId="273485A8" w14:textId="2127BC18" w:rsidR="006468B1" w:rsidRPr="0035519F" w:rsidRDefault="006468B1" w:rsidP="007A22B7">
      <w:pPr>
        <w:spacing w:before="218" w:line="276" w:lineRule="auto"/>
        <w:ind w:right="-9"/>
        <w:jc w:val="both"/>
        <w:rPr>
          <w:rFonts w:ascii="Arial" w:hAnsi="Arial" w:cs="Arial"/>
          <w:sz w:val="24"/>
          <w:szCs w:val="24"/>
        </w:rPr>
      </w:pPr>
      <w:r w:rsidRPr="0035519F">
        <w:rPr>
          <w:rFonts w:ascii="Arial" w:hAnsi="Arial" w:cs="Arial"/>
          <w:sz w:val="24"/>
          <w:szCs w:val="24"/>
        </w:rPr>
        <w:t xml:space="preserve">Kata kunci: </w:t>
      </w:r>
      <w:bookmarkStart w:id="3" w:name="_GoBack"/>
      <w:r w:rsidRPr="0035519F">
        <w:rPr>
          <w:rFonts w:ascii="Arial" w:hAnsi="Arial" w:cs="Arial"/>
          <w:sz w:val="24"/>
          <w:szCs w:val="24"/>
        </w:rPr>
        <w:t xml:space="preserve">Obesitas, </w:t>
      </w:r>
      <w:r w:rsidR="005460C7" w:rsidRPr="0035519F">
        <w:rPr>
          <w:rFonts w:ascii="Arial" w:hAnsi="Arial" w:cs="Arial"/>
          <w:sz w:val="24"/>
          <w:szCs w:val="24"/>
        </w:rPr>
        <w:t>HOMA-IR,</w:t>
      </w:r>
      <w:r w:rsidR="005460C7" w:rsidRPr="0035519F">
        <w:rPr>
          <w:rFonts w:ascii="Arial" w:hAnsi="Arial" w:cs="Arial"/>
          <w:i/>
          <w:sz w:val="24"/>
          <w:szCs w:val="24"/>
        </w:rPr>
        <w:t xml:space="preserve"> </w:t>
      </w:r>
      <w:r w:rsidR="00A458FF" w:rsidRPr="0035519F">
        <w:rPr>
          <w:rFonts w:ascii="Arial" w:hAnsi="Arial" w:cs="Arial"/>
          <w:i/>
          <w:sz w:val="24"/>
          <w:szCs w:val="24"/>
        </w:rPr>
        <w:t>IGF-1</w:t>
      </w:r>
      <w:r w:rsidRPr="0035519F">
        <w:rPr>
          <w:rFonts w:ascii="Arial" w:hAnsi="Arial" w:cs="Arial"/>
          <w:sz w:val="24"/>
          <w:szCs w:val="24"/>
        </w:rPr>
        <w:t xml:space="preserve"> </w:t>
      </w:r>
      <w:bookmarkEnd w:id="3"/>
    </w:p>
    <w:p w14:paraId="24F8431E" w14:textId="77777777" w:rsidR="007A22B7" w:rsidRPr="0035519F" w:rsidRDefault="007A22B7" w:rsidP="007A22B7">
      <w:pPr>
        <w:spacing w:before="218" w:line="240" w:lineRule="auto"/>
        <w:ind w:right="-9"/>
        <w:jc w:val="both"/>
        <w:rPr>
          <w:rFonts w:ascii="Arial" w:hAnsi="Arial" w:cs="Arial"/>
          <w:sz w:val="24"/>
          <w:szCs w:val="24"/>
        </w:rPr>
      </w:pPr>
    </w:p>
    <w:p w14:paraId="63339B81" w14:textId="77777777" w:rsidR="007A22B7" w:rsidRPr="0035519F" w:rsidRDefault="007A22B7" w:rsidP="007A22B7">
      <w:pPr>
        <w:spacing w:before="218" w:line="240" w:lineRule="auto"/>
        <w:ind w:right="-9"/>
        <w:jc w:val="both"/>
        <w:rPr>
          <w:rFonts w:ascii="Arial" w:hAnsi="Arial" w:cs="Arial"/>
          <w:sz w:val="24"/>
          <w:szCs w:val="24"/>
        </w:rPr>
      </w:pPr>
    </w:p>
    <w:p w14:paraId="4DE19A40" w14:textId="77777777" w:rsidR="007A22B7" w:rsidRPr="0035519F" w:rsidRDefault="007A22B7" w:rsidP="007A22B7">
      <w:pPr>
        <w:spacing w:before="218" w:line="240" w:lineRule="auto"/>
        <w:ind w:right="-9"/>
        <w:jc w:val="both"/>
        <w:rPr>
          <w:rFonts w:ascii="Arial" w:hAnsi="Arial" w:cs="Arial"/>
          <w:sz w:val="24"/>
          <w:szCs w:val="24"/>
        </w:rPr>
      </w:pPr>
    </w:p>
    <w:p w14:paraId="62E762CA" w14:textId="77777777" w:rsidR="006468B1" w:rsidRPr="0035519F" w:rsidRDefault="00AC37D3" w:rsidP="00497759">
      <w:pPr>
        <w:pStyle w:val="Heading1"/>
        <w:rPr>
          <w:color w:val="auto"/>
          <w:sz w:val="28"/>
        </w:rPr>
      </w:pPr>
      <w:bookmarkStart w:id="4" w:name="_Toc111022742"/>
      <w:r w:rsidRPr="0035519F">
        <w:rPr>
          <w:color w:val="auto"/>
          <w:sz w:val="28"/>
        </w:rPr>
        <w:t>ABSTRACT</w:t>
      </w:r>
      <w:bookmarkEnd w:id="4"/>
    </w:p>
    <w:p w14:paraId="61C5BB8B" w14:textId="77777777" w:rsidR="00AC37D3" w:rsidRPr="0035519F" w:rsidRDefault="00AC37D3" w:rsidP="007A22B7">
      <w:pPr>
        <w:pStyle w:val="BodyText"/>
        <w:spacing w:line="276" w:lineRule="auto"/>
        <w:jc w:val="center"/>
        <w:rPr>
          <w:b/>
          <w:sz w:val="28"/>
        </w:rPr>
      </w:pPr>
    </w:p>
    <w:p w14:paraId="79B8AD5E" w14:textId="3F63CE51" w:rsidR="00AC37D3" w:rsidRPr="0035519F" w:rsidRDefault="00AC37D3" w:rsidP="007A22B7">
      <w:pPr>
        <w:spacing w:line="276" w:lineRule="auto"/>
        <w:jc w:val="both"/>
        <w:rPr>
          <w:rFonts w:ascii="Arial" w:hAnsi="Arial" w:cs="Arial"/>
          <w:sz w:val="24"/>
          <w:szCs w:val="24"/>
        </w:rPr>
      </w:pPr>
      <w:r w:rsidRPr="0035519F">
        <w:rPr>
          <w:rFonts w:ascii="Arial" w:hAnsi="Arial" w:cs="Arial"/>
          <w:b/>
          <w:sz w:val="24"/>
          <w:szCs w:val="24"/>
        </w:rPr>
        <w:t>Abd. Rahim Mubarak.</w:t>
      </w:r>
      <w:r w:rsidRPr="0035519F">
        <w:rPr>
          <w:rFonts w:ascii="Arial" w:hAnsi="Arial" w:cs="Arial"/>
          <w:sz w:val="24"/>
          <w:szCs w:val="24"/>
        </w:rPr>
        <w:t xml:space="preserve"> Analysis of Insulin Resistance </w:t>
      </w:r>
      <w:r w:rsidR="00DC6CD1" w:rsidRPr="0035519F">
        <w:rPr>
          <w:rFonts w:ascii="Arial" w:hAnsi="Arial" w:cs="Arial"/>
          <w:sz w:val="24"/>
          <w:szCs w:val="24"/>
        </w:rPr>
        <w:t>w</w:t>
      </w:r>
      <w:r w:rsidR="00F8103D" w:rsidRPr="0035519F">
        <w:rPr>
          <w:rFonts w:ascii="Arial" w:hAnsi="Arial" w:cs="Arial"/>
          <w:sz w:val="24"/>
          <w:szCs w:val="24"/>
        </w:rPr>
        <w:t>ith</w:t>
      </w:r>
      <w:r w:rsidRPr="0035519F">
        <w:rPr>
          <w:rFonts w:ascii="Arial" w:hAnsi="Arial" w:cs="Arial"/>
          <w:sz w:val="24"/>
          <w:szCs w:val="24"/>
        </w:rPr>
        <w:t xml:space="preserve"> Insulin-Like Growth Factor 1 (IGF-1) i</w:t>
      </w:r>
      <w:r w:rsidR="00DC6CD1" w:rsidRPr="0035519F">
        <w:rPr>
          <w:rFonts w:ascii="Arial" w:hAnsi="Arial" w:cs="Arial"/>
          <w:sz w:val="24"/>
          <w:szCs w:val="24"/>
        </w:rPr>
        <w:t xml:space="preserve">n Non-Diabetes Mellitus </w:t>
      </w:r>
      <w:r w:rsidR="008B2AC3" w:rsidRPr="0035519F">
        <w:rPr>
          <w:rFonts w:ascii="Arial" w:hAnsi="Arial" w:cs="Arial"/>
          <w:sz w:val="24"/>
          <w:szCs w:val="24"/>
        </w:rPr>
        <w:t xml:space="preserve">(DM) </w:t>
      </w:r>
      <w:r w:rsidR="00DC6CD1" w:rsidRPr="0035519F">
        <w:rPr>
          <w:rFonts w:ascii="Arial" w:hAnsi="Arial" w:cs="Arial"/>
          <w:sz w:val="24"/>
          <w:szCs w:val="24"/>
        </w:rPr>
        <w:t>Adults w</w:t>
      </w:r>
      <w:r w:rsidRPr="0035519F">
        <w:rPr>
          <w:rFonts w:ascii="Arial" w:hAnsi="Arial" w:cs="Arial"/>
          <w:sz w:val="24"/>
          <w:szCs w:val="24"/>
        </w:rPr>
        <w:t>ith and Without Central Obesity (Supervised by Liong Boy Kurniawan and Tenri Esa).</w:t>
      </w:r>
    </w:p>
    <w:p w14:paraId="3CDFE23D" w14:textId="386267E6" w:rsidR="00AC37D3" w:rsidRPr="0035519F" w:rsidRDefault="00AC37D3" w:rsidP="007A22B7">
      <w:pPr>
        <w:spacing w:line="276" w:lineRule="auto"/>
        <w:ind w:firstLine="720"/>
        <w:jc w:val="both"/>
        <w:rPr>
          <w:rFonts w:ascii="Arial" w:hAnsi="Arial" w:cs="Arial"/>
          <w:sz w:val="24"/>
          <w:szCs w:val="24"/>
        </w:rPr>
      </w:pPr>
      <w:r w:rsidRPr="0035519F">
        <w:rPr>
          <w:rFonts w:ascii="Arial" w:hAnsi="Arial" w:cs="Arial"/>
          <w:sz w:val="24"/>
          <w:szCs w:val="24"/>
        </w:rPr>
        <w:t xml:space="preserve"> Obesity is the abnormal or excessive accumulation of fat that poses a risk to health. Low serum IGF-1 levels due to decreased GH secretion in obese patients. High levels of Free Fatty Acid (FFA) and insulin in conditions of insulin resistance give negative feedback to the pituitary gland to decrease GH synthesis followed by a decrease in plasma IGF-1 concentration. </w:t>
      </w:r>
      <w:r w:rsidR="008B2AC3" w:rsidRPr="0035519F">
        <w:rPr>
          <w:rFonts w:ascii="Arial" w:hAnsi="Arial" w:cs="Arial"/>
          <w:sz w:val="24"/>
          <w:szCs w:val="24"/>
        </w:rPr>
        <w:t>The aim of this study was to analyze the relationship between insulin resistance and IGF-1 levels in non-DM adults with and without central obesity</w:t>
      </w:r>
    </w:p>
    <w:p w14:paraId="73F717FF" w14:textId="25370FB3" w:rsidR="00AC37D3" w:rsidRPr="0035519F" w:rsidRDefault="00AC37D3" w:rsidP="007A22B7">
      <w:pPr>
        <w:spacing w:line="276" w:lineRule="auto"/>
        <w:ind w:firstLine="720"/>
        <w:jc w:val="both"/>
        <w:rPr>
          <w:rFonts w:ascii="Arial" w:hAnsi="Arial" w:cs="Arial"/>
          <w:sz w:val="24"/>
          <w:szCs w:val="24"/>
        </w:rPr>
      </w:pPr>
      <w:r w:rsidRPr="0035519F">
        <w:rPr>
          <w:rFonts w:ascii="Arial" w:hAnsi="Arial" w:cs="Arial"/>
          <w:sz w:val="24"/>
          <w:szCs w:val="24"/>
        </w:rPr>
        <w:t xml:space="preserve">This study with a cross sectional design used a sample of subjects with central obesity and without central obesity. The number of samples in the study were 88 samples consisting of 44 samples of central obesity and 44 samples without central obesity. IGF-1 was examined using the ELISA method, fasting blood glucose using the enzymatic method and fasting insulin using the ECLIA method. The data were statistically analyzed with the Kolmogorov Smirnov, </w:t>
      </w:r>
      <w:r w:rsidR="008B2AC3" w:rsidRPr="0035519F">
        <w:rPr>
          <w:rFonts w:ascii="Arial" w:hAnsi="Arial" w:cs="Arial"/>
          <w:sz w:val="24"/>
          <w:szCs w:val="24"/>
        </w:rPr>
        <w:t>Mann-Whitney</w:t>
      </w:r>
      <w:r w:rsidRPr="0035519F">
        <w:rPr>
          <w:rFonts w:ascii="Arial" w:hAnsi="Arial" w:cs="Arial"/>
          <w:sz w:val="24"/>
          <w:szCs w:val="24"/>
        </w:rPr>
        <w:t xml:space="preserve"> and Spearman tests. </w:t>
      </w:r>
    </w:p>
    <w:p w14:paraId="696089AB" w14:textId="09E0C840" w:rsidR="00AC37D3" w:rsidRPr="0035519F" w:rsidRDefault="00AC37D3" w:rsidP="007A22B7">
      <w:pPr>
        <w:spacing w:line="276" w:lineRule="auto"/>
        <w:ind w:firstLine="720"/>
        <w:jc w:val="both"/>
        <w:rPr>
          <w:rFonts w:ascii="Arial" w:hAnsi="Arial" w:cs="Arial"/>
          <w:sz w:val="24"/>
          <w:szCs w:val="24"/>
        </w:rPr>
      </w:pPr>
      <w:r w:rsidRPr="0035519F">
        <w:rPr>
          <w:rFonts w:ascii="Arial" w:hAnsi="Arial" w:cs="Arial"/>
          <w:sz w:val="24"/>
          <w:szCs w:val="24"/>
        </w:rPr>
        <w:t xml:space="preserve">The results showed that the mean IGF-1 levels were significantly lower in centrally obese subjects than subjects without central obesity (328.3 </w:t>
      </w:r>
      <w:r w:rsidR="000A18E1" w:rsidRPr="0035519F">
        <w:rPr>
          <w:rFonts w:ascii="Arial" w:hAnsi="Arial" w:cs="Arial"/>
          <w:sz w:val="24"/>
          <w:szCs w:val="24"/>
        </w:rPr>
        <w:t>ng/mL</w:t>
      </w:r>
      <w:r w:rsidRPr="0035519F">
        <w:rPr>
          <w:rFonts w:ascii="Arial" w:hAnsi="Arial" w:cs="Arial"/>
          <w:sz w:val="24"/>
          <w:szCs w:val="24"/>
        </w:rPr>
        <w:t xml:space="preserve"> ± 298.09 vs. 3</w:t>
      </w:r>
      <w:r w:rsidR="00AC4CE8" w:rsidRPr="0035519F">
        <w:rPr>
          <w:rFonts w:ascii="Arial" w:hAnsi="Arial" w:cs="Arial"/>
          <w:sz w:val="24"/>
          <w:szCs w:val="24"/>
        </w:rPr>
        <w:t xml:space="preserve">75.99 </w:t>
      </w:r>
      <w:r w:rsidR="000A18E1" w:rsidRPr="0035519F">
        <w:rPr>
          <w:rFonts w:ascii="Arial" w:hAnsi="Arial" w:cs="Arial"/>
          <w:sz w:val="24"/>
          <w:szCs w:val="24"/>
        </w:rPr>
        <w:t>ng/mL</w:t>
      </w:r>
      <w:r w:rsidR="00AC4CE8" w:rsidRPr="0035519F">
        <w:rPr>
          <w:rFonts w:ascii="Arial" w:hAnsi="Arial" w:cs="Arial"/>
          <w:sz w:val="24"/>
          <w:szCs w:val="24"/>
        </w:rPr>
        <w:t xml:space="preserve"> ± 473.33 p&lt;0.05). Dec</w:t>
      </w:r>
      <w:r w:rsidRPr="0035519F">
        <w:rPr>
          <w:rFonts w:ascii="Arial" w:hAnsi="Arial" w:cs="Arial"/>
          <w:sz w:val="24"/>
          <w:szCs w:val="24"/>
        </w:rPr>
        <w:t>rea</w:t>
      </w:r>
      <w:r w:rsidR="00AC4CE8" w:rsidRPr="0035519F">
        <w:rPr>
          <w:rFonts w:ascii="Arial" w:hAnsi="Arial" w:cs="Arial"/>
          <w:sz w:val="24"/>
          <w:szCs w:val="24"/>
        </w:rPr>
        <w:t>sed levels of IGF-1 in central obesity</w:t>
      </w:r>
      <w:r w:rsidRPr="0035519F">
        <w:rPr>
          <w:rFonts w:ascii="Arial" w:hAnsi="Arial" w:cs="Arial"/>
          <w:sz w:val="24"/>
          <w:szCs w:val="24"/>
        </w:rPr>
        <w:t xml:space="preserve"> subjects occur due to increased synthesis of fat tissue. The mean HOMA-IR was also significantly higher in centrally obese subjects than subjects without central obesity (3.19 ± 4.26 vs. 1.47 ± 0.85, p&lt;0.001). </w:t>
      </w:r>
      <w:r w:rsidR="005460C7" w:rsidRPr="0035519F">
        <w:rPr>
          <w:rFonts w:ascii="Arial" w:hAnsi="Arial" w:cs="Arial"/>
          <w:sz w:val="24"/>
          <w:szCs w:val="24"/>
        </w:rPr>
        <w:t xml:space="preserve">There was </w:t>
      </w:r>
      <w:r w:rsidR="00900364" w:rsidRPr="0035519F">
        <w:rPr>
          <w:rFonts w:ascii="Arial" w:hAnsi="Arial" w:cs="Arial"/>
          <w:sz w:val="24"/>
          <w:szCs w:val="24"/>
        </w:rPr>
        <w:t xml:space="preserve">a </w:t>
      </w:r>
      <w:r w:rsidR="005460C7" w:rsidRPr="0035519F">
        <w:rPr>
          <w:rFonts w:ascii="Arial" w:hAnsi="Arial" w:cs="Arial"/>
          <w:sz w:val="24"/>
          <w:szCs w:val="24"/>
        </w:rPr>
        <w:t>correlation between HOMA-IR and IGF-1 in Non-Diabetes Mellitus adults with</w:t>
      </w:r>
      <w:r w:rsidR="00DC6CD1" w:rsidRPr="0035519F">
        <w:rPr>
          <w:rFonts w:ascii="Arial" w:hAnsi="Arial" w:cs="Arial"/>
          <w:sz w:val="24"/>
          <w:szCs w:val="24"/>
        </w:rPr>
        <w:t xml:space="preserve"> and without central obesity</w:t>
      </w:r>
      <w:r w:rsidR="00900364" w:rsidRPr="0035519F">
        <w:rPr>
          <w:rFonts w:ascii="Arial" w:hAnsi="Arial" w:cs="Arial"/>
          <w:sz w:val="24"/>
          <w:szCs w:val="24"/>
        </w:rPr>
        <w:t xml:space="preserve"> but not statistically significant</w:t>
      </w:r>
      <w:r w:rsidR="00DC6CD1" w:rsidRPr="0035519F">
        <w:rPr>
          <w:rFonts w:ascii="Arial" w:hAnsi="Arial" w:cs="Arial"/>
          <w:sz w:val="24"/>
          <w:szCs w:val="24"/>
        </w:rPr>
        <w:t>, p&gt;</w:t>
      </w:r>
      <w:r w:rsidR="005460C7" w:rsidRPr="0035519F">
        <w:rPr>
          <w:rFonts w:ascii="Arial" w:hAnsi="Arial" w:cs="Arial"/>
          <w:sz w:val="24"/>
          <w:szCs w:val="24"/>
        </w:rPr>
        <w:t>0.05.</w:t>
      </w:r>
    </w:p>
    <w:p w14:paraId="378E6506" w14:textId="77777777" w:rsidR="00427073" w:rsidRPr="0035519F" w:rsidRDefault="00AC37D3" w:rsidP="007A22B7">
      <w:pPr>
        <w:spacing w:line="276" w:lineRule="auto"/>
        <w:rPr>
          <w:rFonts w:ascii="Arial" w:hAnsi="Arial" w:cs="Arial"/>
          <w:sz w:val="24"/>
          <w:szCs w:val="24"/>
        </w:rPr>
      </w:pPr>
      <w:r w:rsidRPr="0035519F">
        <w:rPr>
          <w:rFonts w:ascii="Arial" w:hAnsi="Arial" w:cs="Arial"/>
          <w:sz w:val="24"/>
          <w:szCs w:val="24"/>
        </w:rPr>
        <w:t>Keywords: Obesity, IGF-1, HOMA-IR</w:t>
      </w:r>
    </w:p>
    <w:p w14:paraId="6CC67357" w14:textId="77777777" w:rsidR="007A22B7" w:rsidRPr="0035519F" w:rsidRDefault="007A22B7" w:rsidP="007A22B7">
      <w:pPr>
        <w:spacing w:line="276" w:lineRule="auto"/>
        <w:rPr>
          <w:rFonts w:ascii="Arial" w:hAnsi="Arial" w:cs="Arial"/>
          <w:sz w:val="24"/>
          <w:szCs w:val="24"/>
        </w:rPr>
      </w:pPr>
    </w:p>
    <w:p w14:paraId="1443BA7B" w14:textId="77777777" w:rsidR="007A22B7" w:rsidRPr="0035519F" w:rsidRDefault="007A22B7" w:rsidP="007A22B7">
      <w:pPr>
        <w:spacing w:line="276" w:lineRule="auto"/>
        <w:rPr>
          <w:rFonts w:ascii="Arial" w:hAnsi="Arial" w:cs="Arial"/>
          <w:sz w:val="24"/>
          <w:szCs w:val="24"/>
        </w:rPr>
      </w:pPr>
    </w:p>
    <w:p w14:paraId="0555CD7D" w14:textId="77777777" w:rsidR="007A22B7" w:rsidRPr="0035519F" w:rsidRDefault="007A22B7" w:rsidP="007A22B7">
      <w:pPr>
        <w:spacing w:line="276" w:lineRule="auto"/>
        <w:rPr>
          <w:rFonts w:ascii="Arial" w:hAnsi="Arial" w:cs="Arial"/>
          <w:sz w:val="24"/>
          <w:szCs w:val="24"/>
        </w:rPr>
      </w:pPr>
    </w:p>
    <w:p w14:paraId="47B8EEDB" w14:textId="77777777" w:rsidR="00497759" w:rsidRPr="0035519F" w:rsidRDefault="00497759" w:rsidP="007A22B7">
      <w:pPr>
        <w:spacing w:line="276" w:lineRule="auto"/>
        <w:rPr>
          <w:rFonts w:ascii="Arial" w:hAnsi="Arial" w:cs="Arial"/>
          <w:sz w:val="24"/>
          <w:szCs w:val="24"/>
        </w:rPr>
      </w:pPr>
    </w:p>
    <w:p w14:paraId="1CB0151D" w14:textId="77777777" w:rsidR="007757AB" w:rsidRPr="0035519F" w:rsidRDefault="007757AB" w:rsidP="00BA23FD">
      <w:pPr>
        <w:pStyle w:val="Heading1"/>
        <w:rPr>
          <w:color w:val="auto"/>
          <w:sz w:val="28"/>
        </w:rPr>
      </w:pPr>
      <w:bookmarkStart w:id="5" w:name="_Toc111022743"/>
      <w:r w:rsidRPr="0035519F">
        <w:rPr>
          <w:color w:val="auto"/>
          <w:sz w:val="28"/>
        </w:rPr>
        <w:t>DAFTAR ISI</w:t>
      </w:r>
      <w:bookmarkEnd w:id="5"/>
      <w:r w:rsidRPr="0035519F">
        <w:rPr>
          <w:color w:val="auto"/>
          <w:sz w:val="28"/>
        </w:rPr>
        <w:t xml:space="preserve"> </w:t>
      </w:r>
    </w:p>
    <w:sdt>
      <w:sdtPr>
        <w:rPr>
          <w:rFonts w:asciiTheme="minorHAnsi" w:eastAsiaTheme="minorHAnsi" w:hAnsiTheme="minorHAnsi" w:cs="Arial"/>
          <w:b w:val="0"/>
          <w:color w:val="auto"/>
          <w:sz w:val="22"/>
          <w:szCs w:val="24"/>
        </w:rPr>
        <w:id w:val="1042860705"/>
        <w:docPartObj>
          <w:docPartGallery w:val="Table of Contents"/>
          <w:docPartUnique/>
        </w:docPartObj>
      </w:sdtPr>
      <w:sdtEndPr>
        <w:rPr>
          <w:bCs/>
          <w:noProof/>
        </w:rPr>
      </w:sdtEndPr>
      <w:sdtContent>
        <w:p w14:paraId="2A26ACF0" w14:textId="77777777" w:rsidR="00304D34" w:rsidRPr="0035519F" w:rsidRDefault="00304D34" w:rsidP="00EC62B8">
          <w:pPr>
            <w:pStyle w:val="TOCHeading"/>
            <w:spacing w:line="480" w:lineRule="auto"/>
            <w:rPr>
              <w:rFonts w:cs="Arial"/>
              <w:color w:val="auto"/>
              <w:szCs w:val="24"/>
            </w:rPr>
          </w:pPr>
        </w:p>
        <w:p w14:paraId="6FE4F67F" w14:textId="10D92D37" w:rsidR="00467A91" w:rsidRPr="0035519F" w:rsidRDefault="00304D34" w:rsidP="00EC62B8">
          <w:pPr>
            <w:pStyle w:val="TOC1"/>
            <w:rPr>
              <w:rFonts w:ascii="Arial" w:eastAsiaTheme="minorEastAsia" w:hAnsi="Arial" w:cs="Arial"/>
              <w:noProof/>
              <w:sz w:val="24"/>
              <w:szCs w:val="24"/>
            </w:rPr>
          </w:pPr>
          <w:r w:rsidRPr="0035519F">
            <w:rPr>
              <w:rFonts w:ascii="Arial" w:hAnsi="Arial" w:cs="Arial"/>
              <w:sz w:val="24"/>
              <w:szCs w:val="24"/>
            </w:rPr>
            <w:fldChar w:fldCharType="begin"/>
          </w:r>
          <w:r w:rsidRPr="0035519F">
            <w:rPr>
              <w:rFonts w:ascii="Arial" w:hAnsi="Arial" w:cs="Arial"/>
              <w:sz w:val="24"/>
              <w:szCs w:val="24"/>
            </w:rPr>
            <w:instrText xml:space="preserve"> TOC \o "1-3" \h \z \u </w:instrText>
          </w:r>
          <w:r w:rsidRPr="0035519F">
            <w:rPr>
              <w:rFonts w:ascii="Arial" w:hAnsi="Arial" w:cs="Arial"/>
              <w:sz w:val="24"/>
              <w:szCs w:val="24"/>
            </w:rPr>
            <w:fldChar w:fldCharType="separate"/>
          </w:r>
          <w:hyperlink w:anchor="_Toc111022740" w:history="1">
            <w:r w:rsidR="00467A91" w:rsidRPr="0035519F">
              <w:rPr>
                <w:rStyle w:val="Hyperlink"/>
                <w:rFonts w:ascii="Arial" w:hAnsi="Arial" w:cs="Arial"/>
                <w:noProof/>
                <w:color w:val="auto"/>
                <w:sz w:val="24"/>
                <w:szCs w:val="24"/>
              </w:rPr>
              <w:t>PRAKATA</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iv</w:t>
            </w:r>
            <w:r w:rsidR="00467A91" w:rsidRPr="0035519F">
              <w:rPr>
                <w:rFonts w:ascii="Arial" w:hAnsi="Arial" w:cs="Arial"/>
                <w:noProof/>
                <w:webHidden/>
                <w:sz w:val="24"/>
                <w:szCs w:val="24"/>
              </w:rPr>
              <w:fldChar w:fldCharType="end"/>
            </w:r>
          </w:hyperlink>
        </w:p>
        <w:p w14:paraId="3DD1540F" w14:textId="7B54127C" w:rsidR="00467A91" w:rsidRPr="0035519F" w:rsidRDefault="00BD6E9E" w:rsidP="00EC62B8">
          <w:pPr>
            <w:pStyle w:val="TOC1"/>
            <w:rPr>
              <w:rFonts w:ascii="Arial" w:eastAsiaTheme="minorEastAsia" w:hAnsi="Arial" w:cs="Arial"/>
              <w:noProof/>
              <w:sz w:val="24"/>
              <w:szCs w:val="24"/>
            </w:rPr>
          </w:pPr>
          <w:hyperlink w:anchor="_Toc111022741" w:history="1">
            <w:r w:rsidR="00467A91" w:rsidRPr="0035519F">
              <w:rPr>
                <w:rStyle w:val="Hyperlink"/>
                <w:rFonts w:ascii="Arial" w:hAnsi="Arial" w:cs="Arial"/>
                <w:noProof/>
                <w:color w:val="auto"/>
                <w:sz w:val="24"/>
                <w:szCs w:val="24"/>
              </w:rPr>
              <w:t>ABSTRAK</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xii</w:t>
            </w:r>
            <w:r w:rsidR="00467A91" w:rsidRPr="0035519F">
              <w:rPr>
                <w:rFonts w:ascii="Arial" w:hAnsi="Arial" w:cs="Arial"/>
                <w:noProof/>
                <w:webHidden/>
                <w:sz w:val="24"/>
                <w:szCs w:val="24"/>
              </w:rPr>
              <w:fldChar w:fldCharType="end"/>
            </w:r>
          </w:hyperlink>
        </w:p>
        <w:p w14:paraId="229288E9" w14:textId="7872BD95" w:rsidR="00467A91" w:rsidRPr="0035519F" w:rsidRDefault="00BD6E9E" w:rsidP="00EC62B8">
          <w:pPr>
            <w:pStyle w:val="TOC1"/>
            <w:rPr>
              <w:rFonts w:ascii="Arial" w:eastAsiaTheme="minorEastAsia" w:hAnsi="Arial" w:cs="Arial"/>
              <w:noProof/>
              <w:sz w:val="24"/>
              <w:szCs w:val="24"/>
            </w:rPr>
          </w:pPr>
          <w:hyperlink w:anchor="_Toc111022742" w:history="1">
            <w:r w:rsidR="00467A91" w:rsidRPr="0035519F">
              <w:rPr>
                <w:rStyle w:val="Hyperlink"/>
                <w:rFonts w:ascii="Arial" w:hAnsi="Arial" w:cs="Arial"/>
                <w:noProof/>
                <w:color w:val="auto"/>
                <w:sz w:val="24"/>
                <w:szCs w:val="24"/>
              </w:rPr>
              <w:t>ABSTRACT</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xiii</w:t>
            </w:r>
            <w:r w:rsidR="00467A91" w:rsidRPr="0035519F">
              <w:rPr>
                <w:rFonts w:ascii="Arial" w:hAnsi="Arial" w:cs="Arial"/>
                <w:noProof/>
                <w:webHidden/>
                <w:sz w:val="24"/>
                <w:szCs w:val="24"/>
              </w:rPr>
              <w:fldChar w:fldCharType="end"/>
            </w:r>
          </w:hyperlink>
        </w:p>
        <w:p w14:paraId="6A9B14BB" w14:textId="7EC1A650" w:rsidR="00467A91" w:rsidRPr="0035519F" w:rsidRDefault="00BD6E9E" w:rsidP="00EC62B8">
          <w:pPr>
            <w:pStyle w:val="TOC1"/>
            <w:rPr>
              <w:rFonts w:ascii="Arial" w:eastAsiaTheme="minorEastAsia" w:hAnsi="Arial" w:cs="Arial"/>
              <w:noProof/>
              <w:sz w:val="24"/>
              <w:szCs w:val="24"/>
            </w:rPr>
          </w:pPr>
          <w:hyperlink w:anchor="_Toc111022743" w:history="1">
            <w:r w:rsidR="00467A91" w:rsidRPr="0035519F">
              <w:rPr>
                <w:rStyle w:val="Hyperlink"/>
                <w:rFonts w:ascii="Arial" w:hAnsi="Arial" w:cs="Arial"/>
                <w:noProof/>
                <w:color w:val="auto"/>
                <w:sz w:val="24"/>
                <w:szCs w:val="24"/>
              </w:rPr>
              <w:t>DAFTAR ISI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_Toc111022743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xiv</w:t>
            </w:r>
            <w:r w:rsidR="00467A91" w:rsidRPr="0035519F">
              <w:rPr>
                <w:rFonts w:ascii="Arial" w:hAnsi="Arial" w:cs="Arial"/>
                <w:noProof/>
                <w:webHidden/>
                <w:sz w:val="24"/>
                <w:szCs w:val="24"/>
              </w:rPr>
              <w:fldChar w:fldCharType="end"/>
            </w:r>
          </w:hyperlink>
        </w:p>
        <w:p w14:paraId="5A772BB7" w14:textId="7D640347" w:rsidR="00467A91" w:rsidRPr="0035519F" w:rsidRDefault="00BD6E9E" w:rsidP="00EC62B8">
          <w:pPr>
            <w:pStyle w:val="TOC1"/>
            <w:rPr>
              <w:rFonts w:ascii="Arial" w:eastAsiaTheme="minorEastAsia" w:hAnsi="Arial" w:cs="Arial"/>
              <w:noProof/>
              <w:sz w:val="24"/>
              <w:szCs w:val="24"/>
            </w:rPr>
          </w:pPr>
          <w:hyperlink w:anchor="_Toc111022744" w:history="1">
            <w:r w:rsidR="00467A91" w:rsidRPr="0035519F">
              <w:rPr>
                <w:rStyle w:val="Hyperlink"/>
                <w:rFonts w:ascii="Arial" w:hAnsi="Arial" w:cs="Arial"/>
                <w:noProof/>
                <w:color w:val="auto"/>
                <w:sz w:val="24"/>
                <w:szCs w:val="24"/>
              </w:rPr>
              <w:t>DAFTAR TABEL</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xvii</w:t>
            </w:r>
            <w:r w:rsidR="00467A91" w:rsidRPr="0035519F">
              <w:rPr>
                <w:rFonts w:ascii="Arial" w:hAnsi="Arial" w:cs="Arial"/>
                <w:noProof/>
                <w:webHidden/>
                <w:sz w:val="24"/>
                <w:szCs w:val="24"/>
              </w:rPr>
              <w:fldChar w:fldCharType="end"/>
            </w:r>
          </w:hyperlink>
        </w:p>
        <w:p w14:paraId="28D4E6E5" w14:textId="7834E2EF" w:rsidR="00467A91" w:rsidRPr="0035519F" w:rsidRDefault="00BD6E9E" w:rsidP="00EC62B8">
          <w:pPr>
            <w:pStyle w:val="TOC1"/>
            <w:rPr>
              <w:rFonts w:ascii="Arial" w:eastAsiaTheme="minorEastAsia" w:hAnsi="Arial" w:cs="Arial"/>
              <w:noProof/>
              <w:sz w:val="24"/>
              <w:szCs w:val="24"/>
            </w:rPr>
          </w:pPr>
          <w:hyperlink w:anchor="_Toc111022745" w:history="1">
            <w:r w:rsidR="00467A91" w:rsidRPr="0035519F">
              <w:rPr>
                <w:rStyle w:val="Hyperlink"/>
                <w:rFonts w:ascii="Arial" w:hAnsi="Arial" w:cs="Arial"/>
                <w:noProof/>
                <w:color w:val="auto"/>
                <w:sz w:val="24"/>
                <w:szCs w:val="24"/>
              </w:rPr>
              <w:t>DAFTAR GAMBAR</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xviii</w:t>
            </w:r>
            <w:r w:rsidR="00467A91" w:rsidRPr="0035519F">
              <w:rPr>
                <w:rFonts w:ascii="Arial" w:hAnsi="Arial" w:cs="Arial"/>
                <w:noProof/>
                <w:webHidden/>
                <w:sz w:val="24"/>
                <w:szCs w:val="24"/>
              </w:rPr>
              <w:fldChar w:fldCharType="end"/>
            </w:r>
          </w:hyperlink>
        </w:p>
        <w:p w14:paraId="0AAAA9C0" w14:textId="4509EA6F" w:rsidR="00467A91" w:rsidRPr="0035519F" w:rsidRDefault="00BD6E9E" w:rsidP="00EC62B8">
          <w:pPr>
            <w:pStyle w:val="TOC1"/>
            <w:rPr>
              <w:rFonts w:ascii="Arial" w:eastAsiaTheme="minorEastAsia" w:hAnsi="Arial" w:cs="Arial"/>
              <w:noProof/>
              <w:sz w:val="24"/>
              <w:szCs w:val="24"/>
            </w:rPr>
          </w:pPr>
          <w:hyperlink w:anchor="_Toc111022746" w:history="1">
            <w:r w:rsidR="00467A91" w:rsidRPr="0035519F">
              <w:rPr>
                <w:rStyle w:val="Hyperlink"/>
                <w:rFonts w:ascii="Arial" w:hAnsi="Arial" w:cs="Arial"/>
                <w:noProof/>
                <w:color w:val="auto"/>
                <w:sz w:val="24"/>
                <w:szCs w:val="24"/>
              </w:rPr>
              <w:t>DAFTAR SINGKATAN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_Toc111022746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xx</w:t>
            </w:r>
            <w:r w:rsidR="00467A91" w:rsidRPr="0035519F">
              <w:rPr>
                <w:rFonts w:ascii="Arial" w:hAnsi="Arial" w:cs="Arial"/>
                <w:noProof/>
                <w:webHidden/>
                <w:sz w:val="24"/>
                <w:szCs w:val="24"/>
              </w:rPr>
              <w:fldChar w:fldCharType="end"/>
            </w:r>
          </w:hyperlink>
        </w:p>
        <w:p w14:paraId="15565A76" w14:textId="73C9EB43" w:rsidR="00467A91" w:rsidRPr="0035519F" w:rsidRDefault="00BD6E9E" w:rsidP="00EC62B8">
          <w:pPr>
            <w:pStyle w:val="TOC1"/>
            <w:rPr>
              <w:rFonts w:ascii="Arial" w:eastAsiaTheme="minorEastAsia" w:hAnsi="Arial" w:cs="Arial"/>
              <w:noProof/>
              <w:sz w:val="24"/>
              <w:szCs w:val="24"/>
            </w:rPr>
          </w:pPr>
          <w:hyperlink w:anchor="_Toc111022747" w:history="1">
            <w:r w:rsidR="00467A91" w:rsidRPr="0035519F">
              <w:rPr>
                <w:rStyle w:val="Hyperlink"/>
                <w:rFonts w:ascii="Arial" w:hAnsi="Arial" w:cs="Arial"/>
                <w:noProof/>
                <w:color w:val="auto"/>
                <w:sz w:val="24"/>
                <w:szCs w:val="24"/>
              </w:rPr>
              <w:t>I</w:t>
            </w:r>
          </w:hyperlink>
          <w:r w:rsidR="00EC62B8" w:rsidRPr="0035519F">
            <w:rPr>
              <w:rFonts w:ascii="Arial" w:eastAsiaTheme="minorEastAsia" w:hAnsi="Arial" w:cs="Arial"/>
              <w:noProof/>
              <w:sz w:val="24"/>
              <w:szCs w:val="24"/>
            </w:rPr>
            <w:t xml:space="preserve">. </w:t>
          </w:r>
          <w:hyperlink w:anchor="_Toc111022748" w:history="1">
            <w:r w:rsidR="00467A91" w:rsidRPr="0035519F">
              <w:rPr>
                <w:rStyle w:val="Hyperlink"/>
                <w:rFonts w:ascii="Arial" w:hAnsi="Arial" w:cs="Arial"/>
                <w:noProof/>
                <w:color w:val="auto"/>
                <w:sz w:val="24"/>
                <w:szCs w:val="24"/>
              </w:rPr>
              <w:t>PENDAHULUAN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1</w:t>
            </w:r>
            <w:r w:rsidR="00467A91" w:rsidRPr="0035519F">
              <w:rPr>
                <w:rFonts w:ascii="Arial" w:hAnsi="Arial" w:cs="Arial"/>
                <w:noProof/>
                <w:webHidden/>
                <w:sz w:val="24"/>
                <w:szCs w:val="24"/>
              </w:rPr>
              <w:fldChar w:fldCharType="end"/>
            </w:r>
          </w:hyperlink>
        </w:p>
        <w:p w14:paraId="2CD92F65" w14:textId="2B2AD787"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49"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Latar Belakang</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_Toc111022749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1</w:t>
            </w:r>
            <w:r w:rsidR="00467A91" w:rsidRPr="0035519F">
              <w:rPr>
                <w:rFonts w:ascii="Arial" w:hAnsi="Arial" w:cs="Arial"/>
                <w:noProof/>
                <w:webHidden/>
                <w:sz w:val="24"/>
                <w:szCs w:val="24"/>
              </w:rPr>
              <w:fldChar w:fldCharType="end"/>
            </w:r>
          </w:hyperlink>
        </w:p>
        <w:p w14:paraId="22FBF6F5" w14:textId="4C946DC4"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50"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Rumusan Masalah</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w:t>
            </w:r>
            <w:r w:rsidR="00467A91" w:rsidRPr="0035519F">
              <w:rPr>
                <w:rFonts w:ascii="Arial" w:hAnsi="Arial" w:cs="Arial"/>
                <w:noProof/>
                <w:webHidden/>
                <w:sz w:val="24"/>
                <w:szCs w:val="24"/>
              </w:rPr>
              <w:fldChar w:fldCharType="end"/>
            </w:r>
          </w:hyperlink>
        </w:p>
        <w:p w14:paraId="373DD07F" w14:textId="468D19C7"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51" w:history="1">
            <w:r w:rsidR="00467A91" w:rsidRPr="0035519F">
              <w:rPr>
                <w:rStyle w:val="Hyperlink"/>
                <w:rFonts w:ascii="Arial" w:hAnsi="Arial" w:cs="Arial"/>
                <w:noProof/>
                <w:color w:val="auto"/>
                <w:sz w:val="24"/>
                <w:szCs w:val="24"/>
              </w:rPr>
              <w:t>C.</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Tujuan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w:t>
            </w:r>
            <w:r w:rsidR="00467A91" w:rsidRPr="0035519F">
              <w:rPr>
                <w:rFonts w:ascii="Arial" w:hAnsi="Arial" w:cs="Arial"/>
                <w:noProof/>
                <w:webHidden/>
                <w:sz w:val="24"/>
                <w:szCs w:val="24"/>
              </w:rPr>
              <w:fldChar w:fldCharType="end"/>
            </w:r>
          </w:hyperlink>
        </w:p>
        <w:p w14:paraId="59747A84" w14:textId="08DBEA0F" w:rsidR="00467A91" w:rsidRPr="0035519F" w:rsidRDefault="00BD6E9E" w:rsidP="00EC62B8">
          <w:pPr>
            <w:pStyle w:val="TOC3"/>
            <w:spacing w:line="480" w:lineRule="auto"/>
            <w:rPr>
              <w:rFonts w:ascii="Arial" w:eastAsiaTheme="minorEastAsia" w:hAnsi="Arial" w:cs="Arial"/>
              <w:noProof/>
              <w:sz w:val="24"/>
              <w:szCs w:val="24"/>
            </w:rPr>
          </w:pPr>
          <w:hyperlink w:anchor="_Toc111022752" w:history="1">
            <w:r w:rsidR="00467A91" w:rsidRPr="0035519F">
              <w:rPr>
                <w:rStyle w:val="Hyperlink"/>
                <w:rFonts w:ascii="Arial" w:hAnsi="Arial" w:cs="Arial"/>
                <w:noProof/>
                <w:color w:val="auto"/>
                <w:sz w:val="24"/>
                <w:szCs w:val="24"/>
              </w:rPr>
              <w:t>1.</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Tujuan Umum</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w:t>
            </w:r>
            <w:r w:rsidR="00467A91" w:rsidRPr="0035519F">
              <w:rPr>
                <w:rFonts w:ascii="Arial" w:hAnsi="Arial" w:cs="Arial"/>
                <w:noProof/>
                <w:webHidden/>
                <w:sz w:val="24"/>
                <w:szCs w:val="24"/>
              </w:rPr>
              <w:fldChar w:fldCharType="end"/>
            </w:r>
          </w:hyperlink>
        </w:p>
        <w:p w14:paraId="648D06BF" w14:textId="0D89BEB0" w:rsidR="00467A91" w:rsidRPr="0035519F" w:rsidRDefault="00BD6E9E" w:rsidP="00EC62B8">
          <w:pPr>
            <w:pStyle w:val="TOC3"/>
            <w:spacing w:line="480" w:lineRule="auto"/>
            <w:rPr>
              <w:rFonts w:ascii="Arial" w:eastAsiaTheme="minorEastAsia" w:hAnsi="Arial" w:cs="Arial"/>
              <w:noProof/>
              <w:sz w:val="24"/>
              <w:szCs w:val="24"/>
            </w:rPr>
          </w:pPr>
          <w:hyperlink w:anchor="_Toc111022753" w:history="1">
            <w:r w:rsidR="00467A91" w:rsidRPr="0035519F">
              <w:rPr>
                <w:rStyle w:val="Hyperlink"/>
                <w:rFonts w:ascii="Arial" w:hAnsi="Arial" w:cs="Arial"/>
                <w:noProof/>
                <w:color w:val="auto"/>
                <w:sz w:val="24"/>
                <w:szCs w:val="24"/>
              </w:rPr>
              <w:t>2.</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Tujuan Khusus</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_Toc111022753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w:t>
            </w:r>
            <w:r w:rsidR="00467A91" w:rsidRPr="0035519F">
              <w:rPr>
                <w:rFonts w:ascii="Arial" w:hAnsi="Arial" w:cs="Arial"/>
                <w:noProof/>
                <w:webHidden/>
                <w:sz w:val="24"/>
                <w:szCs w:val="24"/>
              </w:rPr>
              <w:fldChar w:fldCharType="end"/>
            </w:r>
          </w:hyperlink>
        </w:p>
        <w:p w14:paraId="1148C3B4" w14:textId="59F44486"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54" w:history="1">
            <w:r w:rsidR="00467A91" w:rsidRPr="0035519F">
              <w:rPr>
                <w:rStyle w:val="Hyperlink"/>
                <w:rFonts w:ascii="Arial" w:hAnsi="Arial" w:cs="Arial"/>
                <w:noProof/>
                <w:color w:val="auto"/>
                <w:sz w:val="24"/>
                <w:szCs w:val="24"/>
              </w:rPr>
              <w:t>D.</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Hipotesis</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5</w:t>
            </w:r>
            <w:r w:rsidR="00467A91" w:rsidRPr="0035519F">
              <w:rPr>
                <w:rFonts w:ascii="Arial" w:hAnsi="Arial" w:cs="Arial"/>
                <w:noProof/>
                <w:webHidden/>
                <w:sz w:val="24"/>
                <w:szCs w:val="24"/>
              </w:rPr>
              <w:fldChar w:fldCharType="end"/>
            </w:r>
          </w:hyperlink>
        </w:p>
        <w:p w14:paraId="2F887C9A" w14:textId="0D2091B7"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55" w:history="1">
            <w:r w:rsidR="00467A91" w:rsidRPr="0035519F">
              <w:rPr>
                <w:rStyle w:val="Hyperlink"/>
                <w:rFonts w:ascii="Arial" w:hAnsi="Arial" w:cs="Arial"/>
                <w:noProof/>
                <w:color w:val="auto"/>
                <w:sz w:val="24"/>
                <w:szCs w:val="24"/>
              </w:rPr>
              <w:t>E.</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Manfaat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5</w:t>
            </w:r>
            <w:r w:rsidR="00467A91" w:rsidRPr="0035519F">
              <w:rPr>
                <w:rFonts w:ascii="Arial" w:hAnsi="Arial" w:cs="Arial"/>
                <w:noProof/>
                <w:webHidden/>
                <w:sz w:val="24"/>
                <w:szCs w:val="24"/>
              </w:rPr>
              <w:fldChar w:fldCharType="end"/>
            </w:r>
          </w:hyperlink>
        </w:p>
        <w:p w14:paraId="6152DCC8" w14:textId="76A45D2C" w:rsidR="00467A91" w:rsidRPr="0035519F" w:rsidRDefault="00BD6E9E" w:rsidP="00EC62B8">
          <w:pPr>
            <w:pStyle w:val="TOC1"/>
            <w:rPr>
              <w:rFonts w:ascii="Arial" w:eastAsiaTheme="minorEastAsia" w:hAnsi="Arial" w:cs="Arial"/>
              <w:noProof/>
              <w:sz w:val="24"/>
              <w:szCs w:val="24"/>
            </w:rPr>
          </w:pPr>
          <w:hyperlink w:anchor="_Toc111022756" w:history="1">
            <w:r w:rsidR="00467A91" w:rsidRPr="0035519F">
              <w:rPr>
                <w:rStyle w:val="Hyperlink"/>
                <w:rFonts w:ascii="Arial" w:hAnsi="Arial" w:cs="Arial"/>
                <w:noProof/>
                <w:color w:val="auto"/>
                <w:sz w:val="24"/>
                <w:szCs w:val="24"/>
              </w:rPr>
              <w:t>II</w:t>
            </w:r>
          </w:hyperlink>
          <w:r w:rsidR="00EC62B8" w:rsidRPr="0035519F">
            <w:rPr>
              <w:rFonts w:ascii="Arial" w:eastAsiaTheme="minorEastAsia" w:hAnsi="Arial" w:cs="Arial"/>
              <w:noProof/>
              <w:sz w:val="24"/>
              <w:szCs w:val="24"/>
            </w:rPr>
            <w:t xml:space="preserve">. </w:t>
          </w:r>
          <w:hyperlink w:anchor="_Toc111022757" w:history="1">
            <w:r w:rsidR="00467A91" w:rsidRPr="0035519F">
              <w:rPr>
                <w:rStyle w:val="Hyperlink"/>
                <w:rFonts w:ascii="Arial" w:hAnsi="Arial" w:cs="Arial"/>
                <w:noProof/>
                <w:color w:val="auto"/>
                <w:sz w:val="24"/>
                <w:szCs w:val="24"/>
              </w:rPr>
              <w:t>TINJAUAN PUSTAKA</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_Toc111022757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w:t>
            </w:r>
            <w:r w:rsidR="00467A91" w:rsidRPr="0035519F">
              <w:rPr>
                <w:rFonts w:ascii="Arial" w:hAnsi="Arial" w:cs="Arial"/>
                <w:noProof/>
                <w:webHidden/>
                <w:sz w:val="24"/>
                <w:szCs w:val="24"/>
              </w:rPr>
              <w:fldChar w:fldCharType="end"/>
            </w:r>
          </w:hyperlink>
        </w:p>
        <w:p w14:paraId="42ECDB45" w14:textId="3B13D039"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58"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Obesitas</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w:t>
            </w:r>
            <w:r w:rsidR="00467A91" w:rsidRPr="0035519F">
              <w:rPr>
                <w:rFonts w:ascii="Arial" w:hAnsi="Arial" w:cs="Arial"/>
                <w:noProof/>
                <w:webHidden/>
                <w:sz w:val="24"/>
                <w:szCs w:val="24"/>
              </w:rPr>
              <w:fldChar w:fldCharType="end"/>
            </w:r>
          </w:hyperlink>
        </w:p>
        <w:p w14:paraId="13A4AE27" w14:textId="4EEF3249" w:rsidR="00467A91" w:rsidRPr="0035519F" w:rsidRDefault="00BD6E9E" w:rsidP="00EC62B8">
          <w:pPr>
            <w:pStyle w:val="TOC3"/>
            <w:spacing w:line="480" w:lineRule="auto"/>
            <w:rPr>
              <w:rFonts w:ascii="Arial" w:eastAsiaTheme="minorEastAsia" w:hAnsi="Arial" w:cs="Arial"/>
              <w:noProof/>
              <w:sz w:val="24"/>
              <w:szCs w:val="24"/>
            </w:rPr>
          </w:pPr>
          <w:hyperlink w:anchor="_Toc111022759" w:history="1">
            <w:r w:rsidR="00467A91" w:rsidRPr="0035519F">
              <w:rPr>
                <w:rStyle w:val="Hyperlink"/>
                <w:rFonts w:ascii="Arial" w:hAnsi="Arial" w:cs="Arial"/>
                <w:noProof/>
                <w:color w:val="auto"/>
                <w:sz w:val="24"/>
                <w:szCs w:val="24"/>
              </w:rPr>
              <w:t>1.</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Definisi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_Toc111022759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w:t>
            </w:r>
            <w:r w:rsidR="00467A91" w:rsidRPr="0035519F">
              <w:rPr>
                <w:rFonts w:ascii="Arial" w:hAnsi="Arial" w:cs="Arial"/>
                <w:noProof/>
                <w:webHidden/>
                <w:sz w:val="24"/>
                <w:szCs w:val="24"/>
              </w:rPr>
              <w:fldChar w:fldCharType="end"/>
            </w:r>
          </w:hyperlink>
        </w:p>
        <w:p w14:paraId="2FB9B79B" w14:textId="5A98B46A" w:rsidR="00467A91" w:rsidRPr="0035519F" w:rsidRDefault="00BD6E9E" w:rsidP="00EC62B8">
          <w:pPr>
            <w:pStyle w:val="TOC3"/>
            <w:spacing w:line="480" w:lineRule="auto"/>
            <w:rPr>
              <w:rFonts w:ascii="Arial" w:eastAsiaTheme="minorEastAsia" w:hAnsi="Arial" w:cs="Arial"/>
              <w:noProof/>
              <w:sz w:val="24"/>
              <w:szCs w:val="24"/>
            </w:rPr>
          </w:pPr>
          <w:hyperlink w:anchor="_Toc111022760" w:history="1">
            <w:r w:rsidR="00467A91" w:rsidRPr="0035519F">
              <w:rPr>
                <w:rStyle w:val="Hyperlink"/>
                <w:rFonts w:ascii="Arial" w:hAnsi="Arial" w:cs="Arial"/>
                <w:noProof/>
                <w:color w:val="auto"/>
                <w:sz w:val="24"/>
                <w:szCs w:val="24"/>
              </w:rPr>
              <w:t>2.</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Epidemiologi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10</w:t>
            </w:r>
            <w:r w:rsidR="00467A91" w:rsidRPr="0035519F">
              <w:rPr>
                <w:rFonts w:ascii="Arial" w:hAnsi="Arial" w:cs="Arial"/>
                <w:noProof/>
                <w:webHidden/>
                <w:sz w:val="24"/>
                <w:szCs w:val="24"/>
              </w:rPr>
              <w:fldChar w:fldCharType="end"/>
            </w:r>
          </w:hyperlink>
        </w:p>
        <w:p w14:paraId="02C579F2" w14:textId="6546F077" w:rsidR="00467A91" w:rsidRPr="0035519F" w:rsidRDefault="00BD6E9E" w:rsidP="00EC62B8">
          <w:pPr>
            <w:pStyle w:val="TOC3"/>
            <w:spacing w:line="480" w:lineRule="auto"/>
            <w:rPr>
              <w:rFonts w:ascii="Arial" w:eastAsiaTheme="minorEastAsia" w:hAnsi="Arial" w:cs="Arial"/>
              <w:noProof/>
              <w:sz w:val="24"/>
              <w:szCs w:val="24"/>
            </w:rPr>
          </w:pPr>
          <w:hyperlink w:anchor="_Toc111022761" w:history="1">
            <w:r w:rsidR="00467A91" w:rsidRPr="0035519F">
              <w:rPr>
                <w:rStyle w:val="Hyperlink"/>
                <w:rFonts w:ascii="Arial" w:hAnsi="Arial" w:cs="Arial"/>
                <w:noProof/>
                <w:color w:val="auto"/>
                <w:sz w:val="24"/>
                <w:szCs w:val="24"/>
              </w:rPr>
              <w:t>3.</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Etiologi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12</w:t>
            </w:r>
            <w:r w:rsidR="00467A91" w:rsidRPr="0035519F">
              <w:rPr>
                <w:rFonts w:ascii="Arial" w:hAnsi="Arial" w:cs="Arial"/>
                <w:noProof/>
                <w:webHidden/>
                <w:sz w:val="24"/>
                <w:szCs w:val="24"/>
              </w:rPr>
              <w:fldChar w:fldCharType="end"/>
            </w:r>
          </w:hyperlink>
        </w:p>
        <w:p w14:paraId="6CE3FB13" w14:textId="79956A3D" w:rsidR="00467A91" w:rsidRPr="0035519F" w:rsidRDefault="00BD6E9E" w:rsidP="00EC62B8">
          <w:pPr>
            <w:pStyle w:val="TOC3"/>
            <w:spacing w:line="480" w:lineRule="auto"/>
            <w:rPr>
              <w:rFonts w:ascii="Arial" w:eastAsiaTheme="minorEastAsia" w:hAnsi="Arial" w:cs="Arial"/>
              <w:noProof/>
              <w:sz w:val="24"/>
              <w:szCs w:val="24"/>
            </w:rPr>
          </w:pPr>
          <w:hyperlink w:anchor="_Toc111022762" w:history="1">
            <w:r w:rsidR="00467A91" w:rsidRPr="0035519F">
              <w:rPr>
                <w:rStyle w:val="Hyperlink"/>
                <w:rFonts w:ascii="Arial" w:hAnsi="Arial" w:cs="Arial"/>
                <w:noProof/>
                <w:color w:val="auto"/>
                <w:sz w:val="24"/>
                <w:szCs w:val="24"/>
              </w:rPr>
              <w:t>4.</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Patofisiologi.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16</w:t>
            </w:r>
            <w:r w:rsidR="00467A91" w:rsidRPr="0035519F">
              <w:rPr>
                <w:rFonts w:ascii="Arial" w:hAnsi="Arial" w:cs="Arial"/>
                <w:noProof/>
                <w:webHidden/>
                <w:sz w:val="24"/>
                <w:szCs w:val="24"/>
              </w:rPr>
              <w:fldChar w:fldCharType="end"/>
            </w:r>
          </w:hyperlink>
        </w:p>
        <w:p w14:paraId="0123F0A9" w14:textId="16A89431" w:rsidR="00467A91" w:rsidRPr="0035519F" w:rsidRDefault="00BD6E9E" w:rsidP="00EC62B8">
          <w:pPr>
            <w:pStyle w:val="TOC3"/>
            <w:spacing w:line="480" w:lineRule="auto"/>
            <w:rPr>
              <w:rFonts w:ascii="Arial" w:eastAsiaTheme="minorEastAsia" w:hAnsi="Arial" w:cs="Arial"/>
              <w:noProof/>
              <w:sz w:val="24"/>
              <w:szCs w:val="24"/>
            </w:rPr>
          </w:pPr>
          <w:hyperlink w:anchor="_Toc111022763" w:history="1">
            <w:r w:rsidR="00467A91" w:rsidRPr="0035519F">
              <w:rPr>
                <w:rStyle w:val="Hyperlink"/>
                <w:rFonts w:ascii="Arial" w:hAnsi="Arial" w:cs="Arial"/>
                <w:noProof/>
                <w:color w:val="auto"/>
                <w:sz w:val="24"/>
                <w:szCs w:val="24"/>
              </w:rPr>
              <w:t>5.</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Komplikasi.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_Toc111022763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23</w:t>
            </w:r>
            <w:r w:rsidR="00467A91" w:rsidRPr="0035519F">
              <w:rPr>
                <w:rFonts w:ascii="Arial" w:hAnsi="Arial" w:cs="Arial"/>
                <w:noProof/>
                <w:webHidden/>
                <w:sz w:val="24"/>
                <w:szCs w:val="24"/>
              </w:rPr>
              <w:fldChar w:fldCharType="end"/>
            </w:r>
          </w:hyperlink>
        </w:p>
        <w:p w14:paraId="5AD42509" w14:textId="16DB25E2" w:rsidR="00467A91" w:rsidRPr="0035519F" w:rsidRDefault="00BD6E9E" w:rsidP="00EC62B8">
          <w:pPr>
            <w:pStyle w:val="TOC3"/>
            <w:spacing w:line="480" w:lineRule="auto"/>
            <w:rPr>
              <w:rFonts w:ascii="Arial" w:eastAsiaTheme="minorEastAsia" w:hAnsi="Arial" w:cs="Arial"/>
              <w:noProof/>
              <w:sz w:val="24"/>
              <w:szCs w:val="24"/>
            </w:rPr>
          </w:pPr>
          <w:hyperlink w:anchor="_Toc111022764" w:history="1">
            <w:r w:rsidR="00467A91" w:rsidRPr="0035519F">
              <w:rPr>
                <w:rStyle w:val="Hyperlink"/>
                <w:rFonts w:ascii="Arial" w:hAnsi="Arial" w:cs="Arial"/>
                <w:noProof/>
                <w:color w:val="auto"/>
                <w:sz w:val="24"/>
                <w:szCs w:val="24"/>
              </w:rPr>
              <w:t>6.</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Diagnosis</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25</w:t>
            </w:r>
            <w:r w:rsidR="00467A91" w:rsidRPr="0035519F">
              <w:rPr>
                <w:rFonts w:ascii="Arial" w:hAnsi="Arial" w:cs="Arial"/>
                <w:noProof/>
                <w:webHidden/>
                <w:sz w:val="24"/>
                <w:szCs w:val="24"/>
              </w:rPr>
              <w:fldChar w:fldCharType="end"/>
            </w:r>
          </w:hyperlink>
        </w:p>
        <w:p w14:paraId="179DB978" w14:textId="3B09040B"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65"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Insulin dan Resistensi Insulin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29</w:t>
            </w:r>
            <w:r w:rsidR="00467A91" w:rsidRPr="0035519F">
              <w:rPr>
                <w:rFonts w:ascii="Arial" w:hAnsi="Arial" w:cs="Arial"/>
                <w:noProof/>
                <w:webHidden/>
                <w:sz w:val="24"/>
                <w:szCs w:val="24"/>
              </w:rPr>
              <w:fldChar w:fldCharType="end"/>
            </w:r>
          </w:hyperlink>
        </w:p>
        <w:p w14:paraId="18E0DE74" w14:textId="132837DE"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66" w:history="1">
            <w:r w:rsidR="00467A91" w:rsidRPr="0035519F">
              <w:rPr>
                <w:rStyle w:val="Hyperlink"/>
                <w:rFonts w:ascii="Arial" w:hAnsi="Arial" w:cs="Arial"/>
                <w:noProof/>
                <w:color w:val="auto"/>
                <w:sz w:val="24"/>
                <w:szCs w:val="24"/>
              </w:rPr>
              <w:t>C.</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Obesitas Sentral dan Resistensi Insulin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_Toc111022766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34</w:t>
            </w:r>
            <w:r w:rsidR="00467A91" w:rsidRPr="0035519F">
              <w:rPr>
                <w:rFonts w:ascii="Arial" w:hAnsi="Arial" w:cs="Arial"/>
                <w:noProof/>
                <w:webHidden/>
                <w:sz w:val="24"/>
                <w:szCs w:val="24"/>
              </w:rPr>
              <w:fldChar w:fldCharType="end"/>
            </w:r>
          </w:hyperlink>
        </w:p>
        <w:p w14:paraId="05C2C1EA" w14:textId="12AE99B2" w:rsidR="00467A91" w:rsidRPr="0035519F" w:rsidRDefault="00BD6E9E" w:rsidP="00EC62B8">
          <w:pPr>
            <w:pStyle w:val="TOC2"/>
            <w:tabs>
              <w:tab w:val="left" w:pos="880"/>
            </w:tabs>
            <w:spacing w:line="480" w:lineRule="auto"/>
            <w:rPr>
              <w:rFonts w:ascii="Arial" w:eastAsiaTheme="minorEastAsia" w:hAnsi="Arial" w:cs="Arial"/>
              <w:noProof/>
              <w:sz w:val="24"/>
              <w:szCs w:val="24"/>
            </w:rPr>
          </w:pPr>
          <w:hyperlink w:anchor="_Toc111022767" w:history="1">
            <w:r w:rsidR="00467A91" w:rsidRPr="0035519F">
              <w:rPr>
                <w:rStyle w:val="Hyperlink"/>
                <w:rFonts w:ascii="Arial" w:hAnsi="Arial" w:cs="Arial"/>
                <w:noProof/>
                <w:color w:val="auto"/>
                <w:sz w:val="24"/>
                <w:szCs w:val="24"/>
              </w:rPr>
              <w:t>D.</w:t>
            </w:r>
            <w:r w:rsidR="00467A91" w:rsidRPr="0035519F">
              <w:rPr>
                <w:rFonts w:ascii="Arial" w:eastAsiaTheme="minorEastAsia" w:hAnsi="Arial" w:cs="Arial"/>
                <w:noProof/>
                <w:sz w:val="24"/>
                <w:szCs w:val="24"/>
              </w:rPr>
              <w:tab/>
            </w:r>
            <w:r w:rsidR="00467A91" w:rsidRPr="0035519F">
              <w:rPr>
                <w:rStyle w:val="Hyperlink"/>
                <w:rFonts w:ascii="Arial" w:hAnsi="Arial" w:cs="Arial"/>
                <w:i/>
                <w:noProof/>
                <w:color w:val="auto"/>
                <w:sz w:val="24"/>
                <w:szCs w:val="24"/>
              </w:rPr>
              <w:t>Homeostasis Model Assessment – Insulin Resistance (IR)</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_Toc111022767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35</w:t>
            </w:r>
            <w:r w:rsidR="00467A91" w:rsidRPr="0035519F">
              <w:rPr>
                <w:rFonts w:ascii="Arial" w:hAnsi="Arial" w:cs="Arial"/>
                <w:noProof/>
                <w:webHidden/>
                <w:sz w:val="24"/>
                <w:szCs w:val="24"/>
              </w:rPr>
              <w:fldChar w:fldCharType="end"/>
            </w:r>
          </w:hyperlink>
        </w:p>
        <w:p w14:paraId="1B95E336" w14:textId="0AB3ABDB" w:rsidR="00467A91" w:rsidRPr="0035519F" w:rsidRDefault="00BD6E9E" w:rsidP="00EC62B8">
          <w:pPr>
            <w:pStyle w:val="TOC2"/>
            <w:tabs>
              <w:tab w:val="left" w:pos="880"/>
            </w:tabs>
            <w:spacing w:line="240" w:lineRule="auto"/>
            <w:jc w:val="both"/>
            <w:rPr>
              <w:rStyle w:val="Hyperlink"/>
              <w:rFonts w:ascii="Arial" w:hAnsi="Arial" w:cs="Arial"/>
              <w:noProof/>
              <w:color w:val="auto"/>
              <w:sz w:val="24"/>
              <w:szCs w:val="24"/>
            </w:rPr>
          </w:pPr>
          <w:hyperlink w:anchor="_Toc111022768" w:history="1">
            <w:r w:rsidR="00467A91" w:rsidRPr="0035519F">
              <w:rPr>
                <w:rStyle w:val="Hyperlink"/>
                <w:rFonts w:ascii="Arial" w:hAnsi="Arial" w:cs="Arial"/>
                <w:noProof/>
                <w:color w:val="auto"/>
                <w:sz w:val="24"/>
                <w:szCs w:val="24"/>
              </w:rPr>
              <w:t>E.</w:t>
            </w:r>
            <w:r w:rsidR="00467A91" w:rsidRPr="0035519F">
              <w:rPr>
                <w:rFonts w:ascii="Arial" w:eastAsiaTheme="minorEastAsia" w:hAnsi="Arial" w:cs="Arial"/>
                <w:noProof/>
                <w:sz w:val="24"/>
                <w:szCs w:val="24"/>
              </w:rPr>
              <w:tab/>
            </w:r>
            <w:r w:rsidR="00467A91" w:rsidRPr="0035519F">
              <w:rPr>
                <w:rStyle w:val="Hyperlink"/>
                <w:rFonts w:ascii="Arial" w:hAnsi="Arial" w:cs="Arial"/>
                <w:i/>
                <w:noProof/>
                <w:color w:val="auto"/>
                <w:sz w:val="24"/>
                <w:szCs w:val="24"/>
              </w:rPr>
              <w:t>Insulin-like Growth Factor 1</w:t>
            </w:r>
            <w:r w:rsidR="00467A91" w:rsidRPr="0035519F">
              <w:rPr>
                <w:rStyle w:val="Hyperlink"/>
                <w:rFonts w:ascii="Arial" w:hAnsi="Arial" w:cs="Arial"/>
                <w:noProof/>
                <w:color w:val="auto"/>
                <w:sz w:val="24"/>
                <w:szCs w:val="24"/>
              </w:rPr>
              <w:t xml:space="preserve"> (IGF-1), Obesitas Sentral dan Resistensi Insulin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_Toc111022768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38</w:t>
            </w:r>
            <w:r w:rsidR="00467A91" w:rsidRPr="0035519F">
              <w:rPr>
                <w:rFonts w:ascii="Arial" w:hAnsi="Arial" w:cs="Arial"/>
                <w:noProof/>
                <w:webHidden/>
                <w:sz w:val="24"/>
                <w:szCs w:val="24"/>
              </w:rPr>
              <w:fldChar w:fldCharType="end"/>
            </w:r>
          </w:hyperlink>
        </w:p>
        <w:p w14:paraId="67E9D218" w14:textId="77777777" w:rsidR="00EC62B8" w:rsidRPr="0035519F" w:rsidRDefault="00EC62B8" w:rsidP="00EC62B8">
          <w:pPr>
            <w:rPr>
              <w:noProof/>
            </w:rPr>
          </w:pPr>
        </w:p>
        <w:p w14:paraId="35D2A6B8" w14:textId="5E40F7F5" w:rsidR="00467A91" w:rsidRPr="0035519F" w:rsidRDefault="00BD6E9E" w:rsidP="00EC62B8">
          <w:pPr>
            <w:pStyle w:val="TOC1"/>
            <w:rPr>
              <w:rFonts w:ascii="Arial" w:eastAsiaTheme="minorEastAsia" w:hAnsi="Arial" w:cs="Arial"/>
              <w:noProof/>
              <w:sz w:val="24"/>
              <w:szCs w:val="24"/>
            </w:rPr>
          </w:pPr>
          <w:hyperlink w:anchor="_Toc111022769" w:history="1">
            <w:r w:rsidR="00467A91" w:rsidRPr="0035519F">
              <w:rPr>
                <w:rStyle w:val="Hyperlink"/>
                <w:rFonts w:ascii="Arial" w:hAnsi="Arial" w:cs="Arial"/>
                <w:noProof/>
                <w:color w:val="auto"/>
                <w:sz w:val="24"/>
                <w:szCs w:val="24"/>
              </w:rPr>
              <w:t>III</w:t>
            </w:r>
          </w:hyperlink>
          <w:r w:rsidR="00EC62B8" w:rsidRPr="0035519F">
            <w:rPr>
              <w:rFonts w:ascii="Arial" w:eastAsiaTheme="minorEastAsia" w:hAnsi="Arial" w:cs="Arial"/>
              <w:noProof/>
              <w:sz w:val="24"/>
              <w:szCs w:val="24"/>
            </w:rPr>
            <w:t xml:space="preserve">. </w:t>
          </w:r>
          <w:hyperlink w:anchor="_Toc111022770" w:history="1">
            <w:r w:rsidR="00467A91" w:rsidRPr="0035519F">
              <w:rPr>
                <w:rStyle w:val="Hyperlink"/>
                <w:rFonts w:ascii="Arial" w:hAnsi="Arial" w:cs="Arial"/>
                <w:noProof/>
                <w:color w:val="auto"/>
                <w:sz w:val="24"/>
                <w:szCs w:val="24"/>
              </w:rPr>
              <w:t xml:space="preserve">KERANGKA PENELITIAN  </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43</w:t>
            </w:r>
            <w:r w:rsidR="00467A91" w:rsidRPr="0035519F">
              <w:rPr>
                <w:rFonts w:ascii="Arial" w:hAnsi="Arial" w:cs="Arial"/>
                <w:noProof/>
                <w:webHidden/>
                <w:sz w:val="24"/>
                <w:szCs w:val="24"/>
              </w:rPr>
              <w:fldChar w:fldCharType="end"/>
            </w:r>
          </w:hyperlink>
        </w:p>
        <w:p w14:paraId="6D52B7AF" w14:textId="18FF62BA"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1"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Kerangka Teori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43</w:t>
            </w:r>
            <w:r w:rsidR="00467A91" w:rsidRPr="0035519F">
              <w:rPr>
                <w:rFonts w:ascii="Arial" w:hAnsi="Arial" w:cs="Arial"/>
                <w:noProof/>
                <w:webHidden/>
                <w:sz w:val="24"/>
                <w:szCs w:val="24"/>
              </w:rPr>
              <w:fldChar w:fldCharType="end"/>
            </w:r>
          </w:hyperlink>
        </w:p>
        <w:p w14:paraId="195DA26C" w14:textId="4C644A06"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2"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 xml:space="preserve">Kerangka Konsep </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44</w:t>
            </w:r>
            <w:r w:rsidR="00467A91" w:rsidRPr="0035519F">
              <w:rPr>
                <w:rFonts w:ascii="Arial" w:hAnsi="Arial" w:cs="Arial"/>
                <w:noProof/>
                <w:webHidden/>
                <w:sz w:val="24"/>
                <w:szCs w:val="24"/>
              </w:rPr>
              <w:fldChar w:fldCharType="end"/>
            </w:r>
          </w:hyperlink>
        </w:p>
        <w:p w14:paraId="28F9D0A7" w14:textId="38678366" w:rsidR="00467A91" w:rsidRPr="0035519F" w:rsidRDefault="00BD6E9E" w:rsidP="00EC62B8">
          <w:pPr>
            <w:pStyle w:val="TOC1"/>
            <w:rPr>
              <w:rFonts w:ascii="Arial" w:eastAsiaTheme="minorEastAsia" w:hAnsi="Arial" w:cs="Arial"/>
              <w:noProof/>
              <w:sz w:val="24"/>
              <w:szCs w:val="24"/>
            </w:rPr>
          </w:pPr>
          <w:hyperlink w:anchor="_Toc111022773" w:history="1">
            <w:r w:rsidR="00467A91" w:rsidRPr="0035519F">
              <w:rPr>
                <w:rStyle w:val="Hyperlink"/>
                <w:rFonts w:ascii="Arial" w:hAnsi="Arial" w:cs="Arial"/>
                <w:noProof/>
                <w:color w:val="auto"/>
                <w:sz w:val="24"/>
                <w:szCs w:val="24"/>
              </w:rPr>
              <w:t>IV</w:t>
            </w:r>
          </w:hyperlink>
          <w:r w:rsidR="00EC62B8" w:rsidRPr="0035519F">
            <w:rPr>
              <w:rFonts w:ascii="Arial" w:eastAsiaTheme="minorEastAsia" w:hAnsi="Arial" w:cs="Arial"/>
              <w:noProof/>
              <w:sz w:val="24"/>
              <w:szCs w:val="24"/>
            </w:rPr>
            <w:t xml:space="preserve">. </w:t>
          </w:r>
          <w:hyperlink w:anchor="_Toc111022774" w:history="1">
            <w:r w:rsidR="00467A91" w:rsidRPr="0035519F">
              <w:rPr>
                <w:rStyle w:val="Hyperlink"/>
                <w:rFonts w:ascii="Arial" w:hAnsi="Arial" w:cs="Arial"/>
                <w:noProof/>
                <w:color w:val="auto"/>
                <w:sz w:val="24"/>
                <w:szCs w:val="24"/>
              </w:rPr>
              <w:t>METODE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45</w:t>
            </w:r>
            <w:r w:rsidR="00467A91" w:rsidRPr="0035519F">
              <w:rPr>
                <w:rFonts w:ascii="Arial" w:hAnsi="Arial" w:cs="Arial"/>
                <w:noProof/>
                <w:webHidden/>
                <w:sz w:val="24"/>
                <w:szCs w:val="24"/>
              </w:rPr>
              <w:fldChar w:fldCharType="end"/>
            </w:r>
          </w:hyperlink>
        </w:p>
        <w:p w14:paraId="12C64D98" w14:textId="11A46C8F"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5"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lang w:val="id-ID"/>
              </w:rPr>
              <w:t xml:space="preserve">Desain </w:t>
            </w:r>
            <w:r w:rsidR="00467A91" w:rsidRPr="0035519F">
              <w:rPr>
                <w:rStyle w:val="Hyperlink"/>
                <w:rFonts w:ascii="Arial" w:hAnsi="Arial" w:cs="Arial"/>
                <w:noProof/>
                <w:color w:val="auto"/>
                <w:sz w:val="24"/>
                <w:szCs w:val="24"/>
              </w:rPr>
              <w:t>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45</w:t>
            </w:r>
            <w:r w:rsidR="00467A91" w:rsidRPr="0035519F">
              <w:rPr>
                <w:rFonts w:ascii="Arial" w:hAnsi="Arial" w:cs="Arial"/>
                <w:noProof/>
                <w:webHidden/>
                <w:sz w:val="24"/>
                <w:szCs w:val="24"/>
              </w:rPr>
              <w:fldChar w:fldCharType="end"/>
            </w:r>
          </w:hyperlink>
        </w:p>
        <w:p w14:paraId="5C9B792A" w14:textId="5A46645F"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6"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Tempat dan Waktu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_Toc111022776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45</w:t>
            </w:r>
            <w:r w:rsidR="00467A91" w:rsidRPr="0035519F">
              <w:rPr>
                <w:rFonts w:ascii="Arial" w:hAnsi="Arial" w:cs="Arial"/>
                <w:noProof/>
                <w:webHidden/>
                <w:sz w:val="24"/>
                <w:szCs w:val="24"/>
              </w:rPr>
              <w:fldChar w:fldCharType="end"/>
            </w:r>
          </w:hyperlink>
        </w:p>
        <w:p w14:paraId="53841BE5" w14:textId="6EEEC91F"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7" w:history="1">
            <w:r w:rsidR="00467A91" w:rsidRPr="0035519F">
              <w:rPr>
                <w:rStyle w:val="Hyperlink"/>
                <w:rFonts w:ascii="Arial" w:hAnsi="Arial" w:cs="Arial"/>
                <w:noProof/>
                <w:color w:val="auto"/>
                <w:sz w:val="24"/>
                <w:szCs w:val="24"/>
              </w:rPr>
              <w:t>C.</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Populasi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_Toc111022777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45</w:t>
            </w:r>
            <w:r w:rsidR="00467A91" w:rsidRPr="0035519F">
              <w:rPr>
                <w:rFonts w:ascii="Arial" w:hAnsi="Arial" w:cs="Arial"/>
                <w:noProof/>
                <w:webHidden/>
                <w:sz w:val="24"/>
                <w:szCs w:val="24"/>
              </w:rPr>
              <w:fldChar w:fldCharType="end"/>
            </w:r>
          </w:hyperlink>
        </w:p>
        <w:p w14:paraId="0E2EFFA7" w14:textId="69BE2AC9"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8" w:history="1">
            <w:r w:rsidR="00467A91" w:rsidRPr="0035519F">
              <w:rPr>
                <w:rStyle w:val="Hyperlink"/>
                <w:rFonts w:ascii="Arial" w:hAnsi="Arial" w:cs="Arial"/>
                <w:noProof/>
                <w:color w:val="auto"/>
                <w:sz w:val="24"/>
                <w:szCs w:val="24"/>
              </w:rPr>
              <w:t>D.</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Sampel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45</w:t>
            </w:r>
            <w:r w:rsidR="00467A91" w:rsidRPr="0035519F">
              <w:rPr>
                <w:rFonts w:ascii="Arial" w:hAnsi="Arial" w:cs="Arial"/>
                <w:noProof/>
                <w:webHidden/>
                <w:sz w:val="24"/>
                <w:szCs w:val="24"/>
              </w:rPr>
              <w:fldChar w:fldCharType="end"/>
            </w:r>
          </w:hyperlink>
        </w:p>
        <w:p w14:paraId="3C126CE1" w14:textId="1FCA8EFB"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79" w:history="1">
            <w:r w:rsidR="00467A91" w:rsidRPr="0035519F">
              <w:rPr>
                <w:rStyle w:val="Hyperlink"/>
                <w:rFonts w:ascii="Arial" w:hAnsi="Arial" w:cs="Arial"/>
                <w:bCs/>
                <w:noProof/>
                <w:color w:val="auto"/>
                <w:sz w:val="24"/>
                <w:szCs w:val="24"/>
              </w:rPr>
              <w:t>E.</w:t>
            </w:r>
            <w:r w:rsidR="00467A91" w:rsidRPr="0035519F">
              <w:rPr>
                <w:rFonts w:ascii="Arial" w:eastAsiaTheme="minorEastAsia" w:hAnsi="Arial" w:cs="Arial"/>
                <w:noProof/>
                <w:sz w:val="24"/>
                <w:szCs w:val="24"/>
              </w:rPr>
              <w:tab/>
            </w:r>
            <w:r w:rsidR="00467A91" w:rsidRPr="0035519F">
              <w:rPr>
                <w:rStyle w:val="Hyperlink"/>
                <w:rFonts w:ascii="Arial" w:hAnsi="Arial" w:cs="Arial"/>
                <w:bCs/>
                <w:noProof/>
                <w:color w:val="auto"/>
                <w:sz w:val="24"/>
                <w:szCs w:val="24"/>
              </w:rPr>
              <w:t>Perkiraan Besaran Sampel</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_Toc111022779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46</w:t>
            </w:r>
            <w:r w:rsidR="00467A91" w:rsidRPr="0035519F">
              <w:rPr>
                <w:rFonts w:ascii="Arial" w:hAnsi="Arial" w:cs="Arial"/>
                <w:noProof/>
                <w:webHidden/>
                <w:sz w:val="24"/>
                <w:szCs w:val="24"/>
              </w:rPr>
              <w:fldChar w:fldCharType="end"/>
            </w:r>
          </w:hyperlink>
        </w:p>
        <w:p w14:paraId="29E7CAF5" w14:textId="66C257D9"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0" w:history="1">
            <w:r w:rsidR="00467A91" w:rsidRPr="0035519F">
              <w:rPr>
                <w:rStyle w:val="Hyperlink"/>
                <w:rFonts w:ascii="Arial" w:hAnsi="Arial" w:cs="Arial"/>
                <w:noProof/>
                <w:color w:val="auto"/>
                <w:sz w:val="24"/>
                <w:szCs w:val="24"/>
              </w:rPr>
              <w:t>F.</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Kriteria Inklusi dan Eksklusi</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46</w:t>
            </w:r>
            <w:r w:rsidR="00467A91" w:rsidRPr="0035519F">
              <w:rPr>
                <w:rFonts w:ascii="Arial" w:hAnsi="Arial" w:cs="Arial"/>
                <w:noProof/>
                <w:webHidden/>
                <w:sz w:val="24"/>
                <w:szCs w:val="24"/>
              </w:rPr>
              <w:fldChar w:fldCharType="end"/>
            </w:r>
          </w:hyperlink>
        </w:p>
        <w:p w14:paraId="3C61DCF7" w14:textId="4DF02D66"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1" w:history="1">
            <w:r w:rsidR="00467A91" w:rsidRPr="0035519F">
              <w:rPr>
                <w:rStyle w:val="Hyperlink"/>
                <w:rFonts w:ascii="Arial" w:hAnsi="Arial" w:cs="Arial"/>
                <w:noProof/>
                <w:color w:val="auto"/>
                <w:sz w:val="24"/>
                <w:szCs w:val="24"/>
              </w:rPr>
              <w:t>G.</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Izin Penelitian dan Kelayakan Etik</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47</w:t>
            </w:r>
            <w:r w:rsidR="00467A91" w:rsidRPr="0035519F">
              <w:rPr>
                <w:rFonts w:ascii="Arial" w:hAnsi="Arial" w:cs="Arial"/>
                <w:noProof/>
                <w:webHidden/>
                <w:sz w:val="24"/>
                <w:szCs w:val="24"/>
              </w:rPr>
              <w:fldChar w:fldCharType="end"/>
            </w:r>
          </w:hyperlink>
        </w:p>
        <w:p w14:paraId="1166BFE8" w14:textId="376AEFED"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2" w:history="1">
            <w:r w:rsidR="00467A91" w:rsidRPr="0035519F">
              <w:rPr>
                <w:rStyle w:val="Hyperlink"/>
                <w:rFonts w:ascii="Arial" w:hAnsi="Arial" w:cs="Arial"/>
                <w:noProof/>
                <w:color w:val="auto"/>
                <w:sz w:val="24"/>
                <w:szCs w:val="24"/>
              </w:rPr>
              <w:t>H.</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Cara Kerja</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47</w:t>
            </w:r>
            <w:r w:rsidR="00467A91" w:rsidRPr="0035519F">
              <w:rPr>
                <w:rFonts w:ascii="Arial" w:hAnsi="Arial" w:cs="Arial"/>
                <w:noProof/>
                <w:webHidden/>
                <w:sz w:val="24"/>
                <w:szCs w:val="24"/>
              </w:rPr>
              <w:fldChar w:fldCharType="end"/>
            </w:r>
          </w:hyperlink>
        </w:p>
        <w:p w14:paraId="2DDCE865" w14:textId="6C64421D" w:rsidR="00467A91" w:rsidRPr="0035519F" w:rsidRDefault="00BD6E9E" w:rsidP="00EC62B8">
          <w:pPr>
            <w:pStyle w:val="TOC2"/>
            <w:tabs>
              <w:tab w:val="left" w:pos="660"/>
            </w:tabs>
            <w:spacing w:line="480" w:lineRule="auto"/>
            <w:ind w:left="630"/>
            <w:rPr>
              <w:rFonts w:ascii="Arial" w:eastAsiaTheme="minorEastAsia" w:hAnsi="Arial" w:cs="Arial"/>
              <w:noProof/>
              <w:sz w:val="24"/>
              <w:szCs w:val="24"/>
            </w:rPr>
          </w:pPr>
          <w:hyperlink w:anchor="_Toc111022783" w:history="1">
            <w:r w:rsidR="00467A91" w:rsidRPr="0035519F">
              <w:rPr>
                <w:rStyle w:val="Hyperlink"/>
                <w:rFonts w:ascii="Arial" w:hAnsi="Arial" w:cs="Arial"/>
                <w:noProof/>
                <w:color w:val="auto"/>
                <w:sz w:val="24"/>
                <w:szCs w:val="24"/>
                <w:lang w:val="id-ID"/>
              </w:rPr>
              <w:t>I.</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Prosedur Tes</w:t>
            </w:r>
            <w:r w:rsidR="00467A91" w:rsidRPr="0035519F">
              <w:rPr>
                <w:rStyle w:val="Hyperlink"/>
                <w:rFonts w:ascii="Arial" w:hAnsi="Arial" w:cs="Arial"/>
                <w:noProof/>
                <w:color w:val="auto"/>
                <w:sz w:val="24"/>
                <w:szCs w:val="24"/>
                <w:lang w:val="id-ID"/>
              </w:rPr>
              <w:t xml:space="preserve"> </w:t>
            </w:r>
            <w:r w:rsidR="00467A91" w:rsidRPr="0035519F">
              <w:rPr>
                <w:rStyle w:val="Hyperlink"/>
                <w:rFonts w:ascii="Arial" w:hAnsi="Arial" w:cs="Arial"/>
                <w:noProof/>
                <w:color w:val="auto"/>
                <w:sz w:val="24"/>
                <w:szCs w:val="24"/>
              </w:rPr>
              <w:t>Laboratorium</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_Toc111022783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49</w:t>
            </w:r>
            <w:r w:rsidR="00467A91" w:rsidRPr="0035519F">
              <w:rPr>
                <w:rFonts w:ascii="Arial" w:hAnsi="Arial" w:cs="Arial"/>
                <w:noProof/>
                <w:webHidden/>
                <w:sz w:val="24"/>
                <w:szCs w:val="24"/>
              </w:rPr>
              <w:fldChar w:fldCharType="end"/>
            </w:r>
          </w:hyperlink>
        </w:p>
        <w:p w14:paraId="0ECC3E9D" w14:textId="5CB0BFC1"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4" w:history="1">
            <w:r w:rsidR="00467A91" w:rsidRPr="0035519F">
              <w:rPr>
                <w:rStyle w:val="Hyperlink"/>
                <w:rFonts w:ascii="Arial" w:hAnsi="Arial" w:cs="Arial"/>
                <w:noProof/>
                <w:color w:val="auto"/>
                <w:sz w:val="24"/>
                <w:szCs w:val="24"/>
              </w:rPr>
              <w:t>J.</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Def</w:t>
            </w:r>
            <w:r w:rsidR="00467A91" w:rsidRPr="0035519F">
              <w:rPr>
                <w:rStyle w:val="Hyperlink"/>
                <w:rFonts w:ascii="Arial" w:hAnsi="Arial" w:cs="Arial"/>
                <w:noProof/>
                <w:color w:val="auto"/>
                <w:sz w:val="24"/>
                <w:szCs w:val="24"/>
                <w:lang w:val="id-ID"/>
              </w:rPr>
              <w:t>i</w:t>
            </w:r>
            <w:r w:rsidR="00467A91" w:rsidRPr="0035519F">
              <w:rPr>
                <w:rStyle w:val="Hyperlink"/>
                <w:rFonts w:ascii="Arial" w:hAnsi="Arial" w:cs="Arial"/>
                <w:noProof/>
                <w:color w:val="auto"/>
                <w:sz w:val="24"/>
                <w:szCs w:val="24"/>
              </w:rPr>
              <w:t>nisi operasional dan kriteria objektif</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57</w:t>
            </w:r>
            <w:r w:rsidR="00467A91" w:rsidRPr="0035519F">
              <w:rPr>
                <w:rFonts w:ascii="Arial" w:hAnsi="Arial" w:cs="Arial"/>
                <w:noProof/>
                <w:webHidden/>
                <w:sz w:val="24"/>
                <w:szCs w:val="24"/>
              </w:rPr>
              <w:fldChar w:fldCharType="end"/>
            </w:r>
          </w:hyperlink>
        </w:p>
        <w:p w14:paraId="4C8AD14B" w14:textId="72FFF7D1"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5" w:history="1">
            <w:r w:rsidR="00467A91" w:rsidRPr="0035519F">
              <w:rPr>
                <w:rStyle w:val="Hyperlink"/>
                <w:rFonts w:ascii="Arial" w:hAnsi="Arial" w:cs="Arial"/>
                <w:noProof/>
                <w:color w:val="auto"/>
                <w:sz w:val="24"/>
                <w:szCs w:val="24"/>
              </w:rPr>
              <w:t>K.</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Metode Analisis</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58</w:t>
            </w:r>
            <w:r w:rsidR="00467A91" w:rsidRPr="0035519F">
              <w:rPr>
                <w:rFonts w:ascii="Arial" w:hAnsi="Arial" w:cs="Arial"/>
                <w:noProof/>
                <w:webHidden/>
                <w:sz w:val="24"/>
                <w:szCs w:val="24"/>
              </w:rPr>
              <w:fldChar w:fldCharType="end"/>
            </w:r>
          </w:hyperlink>
        </w:p>
        <w:p w14:paraId="048C164C" w14:textId="1986755D"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86" w:history="1">
            <w:r w:rsidR="00467A91" w:rsidRPr="0035519F">
              <w:rPr>
                <w:rStyle w:val="Hyperlink"/>
                <w:rFonts w:ascii="Arial" w:hAnsi="Arial" w:cs="Arial"/>
                <w:noProof/>
                <w:color w:val="auto"/>
                <w:sz w:val="24"/>
                <w:szCs w:val="24"/>
              </w:rPr>
              <w:t>L.</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lang w:val="id-ID"/>
              </w:rPr>
              <w:t>Skema Alur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_Toc111022786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60</w:t>
            </w:r>
            <w:r w:rsidR="00467A91" w:rsidRPr="0035519F">
              <w:rPr>
                <w:rFonts w:ascii="Arial" w:hAnsi="Arial" w:cs="Arial"/>
                <w:noProof/>
                <w:webHidden/>
                <w:sz w:val="24"/>
                <w:szCs w:val="24"/>
              </w:rPr>
              <w:fldChar w:fldCharType="end"/>
            </w:r>
          </w:hyperlink>
        </w:p>
        <w:p w14:paraId="6E088393" w14:textId="04D16E85" w:rsidR="00467A91" w:rsidRPr="0035519F" w:rsidRDefault="00BD6E9E" w:rsidP="00EC62B8">
          <w:pPr>
            <w:pStyle w:val="TOC1"/>
            <w:rPr>
              <w:rFonts w:ascii="Arial" w:eastAsiaTheme="minorEastAsia" w:hAnsi="Arial" w:cs="Arial"/>
              <w:noProof/>
              <w:sz w:val="24"/>
              <w:szCs w:val="24"/>
            </w:rPr>
          </w:pPr>
          <w:hyperlink w:anchor="_Toc111022787" w:history="1">
            <w:r w:rsidR="00467A91" w:rsidRPr="0035519F">
              <w:rPr>
                <w:rStyle w:val="Hyperlink"/>
                <w:rFonts w:ascii="Arial" w:hAnsi="Arial" w:cs="Arial"/>
                <w:noProof/>
                <w:color w:val="auto"/>
                <w:sz w:val="24"/>
                <w:szCs w:val="24"/>
              </w:rPr>
              <w:t>V</w:t>
            </w:r>
          </w:hyperlink>
          <w:r w:rsidR="00EC62B8" w:rsidRPr="0035519F">
            <w:rPr>
              <w:rStyle w:val="Hyperlink"/>
              <w:rFonts w:ascii="Arial" w:hAnsi="Arial" w:cs="Arial"/>
              <w:noProof/>
              <w:color w:val="auto"/>
              <w:sz w:val="24"/>
              <w:szCs w:val="24"/>
            </w:rPr>
            <w:t xml:space="preserve">.  </w:t>
          </w:r>
          <w:hyperlink w:anchor="_Toc111022788" w:history="1">
            <w:r w:rsidR="00467A91" w:rsidRPr="0035519F">
              <w:rPr>
                <w:rStyle w:val="Hyperlink"/>
                <w:rFonts w:ascii="Arial" w:hAnsi="Arial" w:cs="Arial"/>
                <w:noProof/>
                <w:color w:val="auto"/>
                <w:sz w:val="24"/>
                <w:szCs w:val="24"/>
              </w:rPr>
              <w:t>HASIL DAN PEMBAHASAN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61</w:t>
            </w:r>
            <w:r w:rsidR="00467A91" w:rsidRPr="0035519F">
              <w:rPr>
                <w:rFonts w:ascii="Arial" w:hAnsi="Arial" w:cs="Arial"/>
                <w:noProof/>
                <w:webHidden/>
                <w:sz w:val="24"/>
                <w:szCs w:val="24"/>
              </w:rPr>
              <w:fldChar w:fldCharType="end"/>
            </w:r>
          </w:hyperlink>
        </w:p>
        <w:p w14:paraId="57ACA14D" w14:textId="47856D6D" w:rsidR="00467A91" w:rsidRPr="0035519F" w:rsidRDefault="00BD6E9E" w:rsidP="00EC62B8">
          <w:pPr>
            <w:pStyle w:val="TOC2"/>
            <w:tabs>
              <w:tab w:val="left" w:pos="880"/>
            </w:tabs>
            <w:spacing w:line="480" w:lineRule="auto"/>
            <w:ind w:left="720"/>
            <w:rPr>
              <w:rFonts w:ascii="Arial" w:eastAsiaTheme="minorEastAsia" w:hAnsi="Arial" w:cs="Arial"/>
              <w:noProof/>
              <w:sz w:val="24"/>
              <w:szCs w:val="24"/>
            </w:rPr>
          </w:pPr>
          <w:hyperlink w:anchor="_Toc111022789"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Hasil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_Toc111022789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61</w:t>
            </w:r>
            <w:r w:rsidR="00467A91" w:rsidRPr="0035519F">
              <w:rPr>
                <w:rFonts w:ascii="Arial" w:hAnsi="Arial" w:cs="Arial"/>
                <w:noProof/>
                <w:webHidden/>
                <w:sz w:val="24"/>
                <w:szCs w:val="24"/>
              </w:rPr>
              <w:fldChar w:fldCharType="end"/>
            </w:r>
          </w:hyperlink>
        </w:p>
        <w:p w14:paraId="14B4ED67" w14:textId="451E4BAC" w:rsidR="00467A91" w:rsidRPr="0035519F" w:rsidRDefault="00BD6E9E" w:rsidP="00EC62B8">
          <w:pPr>
            <w:pStyle w:val="TOC2"/>
            <w:tabs>
              <w:tab w:val="left" w:pos="880"/>
            </w:tabs>
            <w:spacing w:line="480" w:lineRule="auto"/>
            <w:ind w:left="720"/>
            <w:rPr>
              <w:rFonts w:ascii="Arial" w:eastAsiaTheme="minorEastAsia" w:hAnsi="Arial" w:cs="Arial"/>
              <w:noProof/>
              <w:sz w:val="24"/>
              <w:szCs w:val="24"/>
            </w:rPr>
          </w:pPr>
          <w:hyperlink w:anchor="_Toc111022790"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Pembahasan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_Toc111022790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65</w:t>
            </w:r>
            <w:r w:rsidR="00467A91" w:rsidRPr="0035519F">
              <w:rPr>
                <w:rFonts w:ascii="Arial" w:hAnsi="Arial" w:cs="Arial"/>
                <w:noProof/>
                <w:webHidden/>
                <w:sz w:val="24"/>
                <w:szCs w:val="24"/>
              </w:rPr>
              <w:fldChar w:fldCharType="end"/>
            </w:r>
          </w:hyperlink>
        </w:p>
        <w:p w14:paraId="7C044781" w14:textId="49711730" w:rsidR="00467A91" w:rsidRPr="0035519F" w:rsidRDefault="00BD6E9E" w:rsidP="00EC62B8">
          <w:pPr>
            <w:pStyle w:val="TOC2"/>
            <w:tabs>
              <w:tab w:val="left" w:pos="880"/>
            </w:tabs>
            <w:spacing w:line="480" w:lineRule="auto"/>
            <w:ind w:left="720"/>
            <w:rPr>
              <w:rFonts w:ascii="Arial" w:eastAsiaTheme="minorEastAsia" w:hAnsi="Arial" w:cs="Arial"/>
              <w:noProof/>
              <w:sz w:val="24"/>
              <w:szCs w:val="24"/>
            </w:rPr>
          </w:pPr>
          <w:hyperlink w:anchor="_Toc111022791" w:history="1">
            <w:r w:rsidR="00467A91" w:rsidRPr="0035519F">
              <w:rPr>
                <w:rStyle w:val="Hyperlink"/>
                <w:rFonts w:ascii="Arial" w:hAnsi="Arial" w:cs="Arial"/>
                <w:noProof/>
                <w:color w:val="auto"/>
                <w:sz w:val="24"/>
                <w:szCs w:val="24"/>
              </w:rPr>
              <w:t>C.</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Keterbatasan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_Toc111022791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71</w:t>
            </w:r>
            <w:r w:rsidR="00467A91" w:rsidRPr="0035519F">
              <w:rPr>
                <w:rFonts w:ascii="Arial" w:hAnsi="Arial" w:cs="Arial"/>
                <w:noProof/>
                <w:webHidden/>
                <w:sz w:val="24"/>
                <w:szCs w:val="24"/>
              </w:rPr>
              <w:fldChar w:fldCharType="end"/>
            </w:r>
          </w:hyperlink>
        </w:p>
        <w:p w14:paraId="4B381DD1" w14:textId="3D2BF36E" w:rsidR="00467A91" w:rsidRPr="0035519F" w:rsidRDefault="00BD6E9E" w:rsidP="00EC62B8">
          <w:pPr>
            <w:pStyle w:val="TOC2"/>
            <w:tabs>
              <w:tab w:val="left" w:pos="880"/>
            </w:tabs>
            <w:spacing w:line="480" w:lineRule="auto"/>
            <w:ind w:left="720"/>
            <w:rPr>
              <w:rFonts w:ascii="Arial" w:eastAsiaTheme="minorEastAsia" w:hAnsi="Arial" w:cs="Arial"/>
              <w:noProof/>
              <w:sz w:val="24"/>
              <w:szCs w:val="24"/>
            </w:rPr>
          </w:pPr>
          <w:hyperlink w:anchor="_Toc111022792" w:history="1">
            <w:r w:rsidR="00467A91" w:rsidRPr="0035519F">
              <w:rPr>
                <w:rStyle w:val="Hyperlink"/>
                <w:rFonts w:ascii="Arial" w:hAnsi="Arial" w:cs="Arial"/>
                <w:noProof/>
                <w:color w:val="auto"/>
                <w:sz w:val="24"/>
                <w:szCs w:val="24"/>
              </w:rPr>
              <w:t>D.</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Ringkasan Hasil Penelitian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_Toc111022792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71</w:t>
            </w:r>
            <w:r w:rsidR="00467A91" w:rsidRPr="0035519F">
              <w:rPr>
                <w:rFonts w:ascii="Arial" w:hAnsi="Arial" w:cs="Arial"/>
                <w:noProof/>
                <w:webHidden/>
                <w:sz w:val="24"/>
                <w:szCs w:val="24"/>
              </w:rPr>
              <w:fldChar w:fldCharType="end"/>
            </w:r>
          </w:hyperlink>
        </w:p>
        <w:p w14:paraId="2A03BE60" w14:textId="14718C22" w:rsidR="00467A91" w:rsidRPr="0035519F" w:rsidRDefault="00BD6E9E" w:rsidP="00EC62B8">
          <w:pPr>
            <w:pStyle w:val="TOC1"/>
            <w:rPr>
              <w:rFonts w:ascii="Arial" w:eastAsiaTheme="minorEastAsia" w:hAnsi="Arial" w:cs="Arial"/>
              <w:noProof/>
              <w:sz w:val="24"/>
              <w:szCs w:val="24"/>
            </w:rPr>
          </w:pPr>
          <w:hyperlink w:anchor="_Toc111022793" w:history="1">
            <w:r w:rsidR="00467A91" w:rsidRPr="0035519F">
              <w:rPr>
                <w:rStyle w:val="Hyperlink"/>
                <w:rFonts w:ascii="Arial" w:hAnsi="Arial" w:cs="Arial"/>
                <w:noProof/>
                <w:color w:val="auto"/>
                <w:sz w:val="24"/>
                <w:szCs w:val="24"/>
              </w:rPr>
              <w:t>VI</w:t>
            </w:r>
          </w:hyperlink>
          <w:r w:rsidR="00EC62B8" w:rsidRPr="0035519F">
            <w:rPr>
              <w:rStyle w:val="Hyperlink"/>
              <w:rFonts w:ascii="Arial" w:hAnsi="Arial" w:cs="Arial"/>
              <w:noProof/>
              <w:color w:val="auto"/>
              <w:sz w:val="24"/>
              <w:szCs w:val="24"/>
            </w:rPr>
            <w:t>.</w:t>
          </w:r>
          <w:r w:rsidR="00EC62B8" w:rsidRPr="0035519F">
            <w:rPr>
              <w:rFonts w:ascii="Arial" w:eastAsiaTheme="minorEastAsia" w:hAnsi="Arial" w:cs="Arial"/>
              <w:noProof/>
              <w:sz w:val="24"/>
              <w:szCs w:val="24"/>
            </w:rPr>
            <w:t xml:space="preserve"> </w:t>
          </w:r>
          <w:hyperlink w:anchor="_Toc111022794" w:history="1">
            <w:r w:rsidR="00467A91" w:rsidRPr="0035519F">
              <w:rPr>
                <w:rStyle w:val="Hyperlink"/>
                <w:rFonts w:ascii="Arial" w:hAnsi="Arial" w:cs="Arial"/>
                <w:noProof/>
                <w:color w:val="auto"/>
                <w:sz w:val="24"/>
                <w:szCs w:val="24"/>
              </w:rPr>
              <w:t>PENUTUP</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_Toc111022794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73</w:t>
            </w:r>
            <w:r w:rsidR="00467A91" w:rsidRPr="0035519F">
              <w:rPr>
                <w:rFonts w:ascii="Arial" w:hAnsi="Arial" w:cs="Arial"/>
                <w:noProof/>
                <w:webHidden/>
                <w:sz w:val="24"/>
                <w:szCs w:val="24"/>
              </w:rPr>
              <w:fldChar w:fldCharType="end"/>
            </w:r>
          </w:hyperlink>
        </w:p>
        <w:p w14:paraId="6CAB27BD" w14:textId="6BB83122"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95" w:history="1">
            <w:r w:rsidR="00467A91" w:rsidRPr="0035519F">
              <w:rPr>
                <w:rStyle w:val="Hyperlink"/>
                <w:rFonts w:ascii="Arial" w:hAnsi="Arial" w:cs="Arial"/>
                <w:noProof/>
                <w:color w:val="auto"/>
                <w:sz w:val="24"/>
                <w:szCs w:val="24"/>
              </w:rPr>
              <w:t>A.</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Kesimpulan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_Toc111022795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73</w:t>
            </w:r>
            <w:r w:rsidR="00467A91" w:rsidRPr="0035519F">
              <w:rPr>
                <w:rFonts w:ascii="Arial" w:hAnsi="Arial" w:cs="Arial"/>
                <w:noProof/>
                <w:webHidden/>
                <w:sz w:val="24"/>
                <w:szCs w:val="24"/>
              </w:rPr>
              <w:fldChar w:fldCharType="end"/>
            </w:r>
          </w:hyperlink>
        </w:p>
        <w:p w14:paraId="7D2066B5" w14:textId="3AAF3CC5" w:rsidR="00467A91" w:rsidRPr="0035519F" w:rsidRDefault="00BD6E9E" w:rsidP="00EC62B8">
          <w:pPr>
            <w:pStyle w:val="TOC2"/>
            <w:tabs>
              <w:tab w:val="left" w:pos="880"/>
            </w:tabs>
            <w:spacing w:line="480" w:lineRule="auto"/>
            <w:ind w:left="630"/>
            <w:rPr>
              <w:rFonts w:ascii="Arial" w:eastAsiaTheme="minorEastAsia" w:hAnsi="Arial" w:cs="Arial"/>
              <w:noProof/>
              <w:sz w:val="24"/>
              <w:szCs w:val="24"/>
            </w:rPr>
          </w:pPr>
          <w:hyperlink w:anchor="_Toc111022796" w:history="1">
            <w:r w:rsidR="00467A91" w:rsidRPr="0035519F">
              <w:rPr>
                <w:rStyle w:val="Hyperlink"/>
                <w:rFonts w:ascii="Arial" w:hAnsi="Arial" w:cs="Arial"/>
                <w:noProof/>
                <w:color w:val="auto"/>
                <w:sz w:val="24"/>
                <w:szCs w:val="24"/>
              </w:rPr>
              <w:t>B.</w:t>
            </w:r>
            <w:r w:rsidR="00467A91" w:rsidRPr="0035519F">
              <w:rPr>
                <w:rFonts w:ascii="Arial" w:eastAsiaTheme="minorEastAsia" w:hAnsi="Arial" w:cs="Arial"/>
                <w:noProof/>
                <w:sz w:val="24"/>
                <w:szCs w:val="24"/>
              </w:rPr>
              <w:tab/>
            </w:r>
            <w:r w:rsidR="00467A91" w:rsidRPr="0035519F">
              <w:rPr>
                <w:rStyle w:val="Hyperlink"/>
                <w:rFonts w:ascii="Arial" w:hAnsi="Arial" w:cs="Arial"/>
                <w:noProof/>
                <w:color w:val="auto"/>
                <w:sz w:val="24"/>
                <w:szCs w:val="24"/>
              </w:rPr>
              <w:t>Saran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_Toc111022796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73</w:t>
            </w:r>
            <w:r w:rsidR="00467A91" w:rsidRPr="0035519F">
              <w:rPr>
                <w:rFonts w:ascii="Arial" w:hAnsi="Arial" w:cs="Arial"/>
                <w:noProof/>
                <w:webHidden/>
                <w:sz w:val="24"/>
                <w:szCs w:val="24"/>
              </w:rPr>
              <w:fldChar w:fldCharType="end"/>
            </w:r>
          </w:hyperlink>
        </w:p>
        <w:p w14:paraId="5F112111" w14:textId="7ADBE22F" w:rsidR="00467A91" w:rsidRPr="0035519F" w:rsidRDefault="00BD6E9E" w:rsidP="00EC62B8">
          <w:pPr>
            <w:pStyle w:val="TOC1"/>
            <w:rPr>
              <w:rFonts w:ascii="Arial" w:eastAsiaTheme="minorEastAsia" w:hAnsi="Arial" w:cs="Arial"/>
              <w:noProof/>
              <w:sz w:val="24"/>
              <w:szCs w:val="24"/>
            </w:rPr>
          </w:pPr>
          <w:hyperlink w:anchor="_Toc111022797" w:history="1">
            <w:r w:rsidR="00467A91" w:rsidRPr="0035519F">
              <w:rPr>
                <w:rStyle w:val="Hyperlink"/>
                <w:rFonts w:ascii="Arial" w:hAnsi="Arial" w:cs="Arial"/>
                <w:noProof/>
                <w:color w:val="auto"/>
                <w:sz w:val="24"/>
                <w:szCs w:val="24"/>
              </w:rPr>
              <w:t>DAFTAR PUSTAKA</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_Toc111022797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74</w:t>
            </w:r>
            <w:r w:rsidR="00467A91" w:rsidRPr="0035519F">
              <w:rPr>
                <w:rFonts w:ascii="Arial" w:hAnsi="Arial" w:cs="Arial"/>
                <w:noProof/>
                <w:webHidden/>
                <w:sz w:val="24"/>
                <w:szCs w:val="24"/>
              </w:rPr>
              <w:fldChar w:fldCharType="end"/>
            </w:r>
          </w:hyperlink>
        </w:p>
        <w:p w14:paraId="2F2E77FF" w14:textId="524F8B44" w:rsidR="00467A91" w:rsidRPr="0035519F" w:rsidRDefault="00BD6E9E" w:rsidP="00EC62B8">
          <w:pPr>
            <w:pStyle w:val="TOC1"/>
            <w:rPr>
              <w:rFonts w:ascii="Arial" w:eastAsiaTheme="minorEastAsia" w:hAnsi="Arial" w:cs="Arial"/>
              <w:noProof/>
              <w:sz w:val="24"/>
              <w:szCs w:val="24"/>
            </w:rPr>
          </w:pPr>
          <w:hyperlink w:anchor="_Toc111022798" w:history="1">
            <w:r w:rsidR="00467A91" w:rsidRPr="0035519F">
              <w:rPr>
                <w:rStyle w:val="Hyperlink"/>
                <w:rFonts w:ascii="Arial" w:hAnsi="Arial" w:cs="Arial"/>
                <w:noProof/>
                <w:color w:val="auto"/>
                <w:sz w:val="24"/>
                <w:szCs w:val="24"/>
              </w:rPr>
              <w:t>LAMPIRAN</w:t>
            </w:r>
            <w:r w:rsidR="00467A91" w:rsidRPr="0035519F">
              <w:rPr>
                <w:rFonts w:ascii="Arial" w:hAnsi="Arial" w:cs="Arial"/>
                <w:noProof/>
                <w:webHidden/>
                <w:sz w:val="24"/>
                <w:szCs w:val="24"/>
              </w:rPr>
              <w:tab/>
            </w:r>
            <w:r w:rsidR="00467A91" w:rsidRPr="0035519F">
              <w:rPr>
                <w:rFonts w:ascii="Arial" w:hAnsi="Arial" w:cs="Arial"/>
                <w:noProof/>
                <w:webHidden/>
                <w:sz w:val="24"/>
                <w:szCs w:val="24"/>
              </w:rPr>
              <w:fldChar w:fldCharType="begin"/>
            </w:r>
            <w:r w:rsidR="00467A91" w:rsidRPr="0035519F">
              <w:rPr>
                <w:rFonts w:ascii="Arial" w:hAnsi="Arial" w:cs="Arial"/>
                <w:noProof/>
                <w:webHidden/>
                <w:sz w:val="24"/>
                <w:szCs w:val="24"/>
              </w:rPr>
              <w:instrText xml:space="preserve"> PAGEREF _Toc111022798 \h </w:instrText>
            </w:r>
            <w:r w:rsidR="00467A91" w:rsidRPr="0035519F">
              <w:rPr>
                <w:rFonts w:ascii="Arial" w:hAnsi="Arial" w:cs="Arial"/>
                <w:noProof/>
                <w:webHidden/>
                <w:sz w:val="24"/>
                <w:szCs w:val="24"/>
              </w:rPr>
            </w:r>
            <w:r w:rsidR="00467A91" w:rsidRPr="0035519F">
              <w:rPr>
                <w:rFonts w:ascii="Arial" w:hAnsi="Arial" w:cs="Arial"/>
                <w:noProof/>
                <w:webHidden/>
                <w:sz w:val="24"/>
                <w:szCs w:val="24"/>
              </w:rPr>
              <w:fldChar w:fldCharType="separate"/>
            </w:r>
            <w:r w:rsidR="005B4074">
              <w:rPr>
                <w:rFonts w:ascii="Arial" w:hAnsi="Arial" w:cs="Arial"/>
                <w:noProof/>
                <w:webHidden/>
                <w:sz w:val="24"/>
                <w:szCs w:val="24"/>
              </w:rPr>
              <w:t>83</w:t>
            </w:r>
            <w:r w:rsidR="00467A91" w:rsidRPr="0035519F">
              <w:rPr>
                <w:rFonts w:ascii="Arial" w:hAnsi="Arial" w:cs="Arial"/>
                <w:noProof/>
                <w:webHidden/>
                <w:sz w:val="24"/>
                <w:szCs w:val="24"/>
              </w:rPr>
              <w:fldChar w:fldCharType="end"/>
            </w:r>
          </w:hyperlink>
        </w:p>
        <w:p w14:paraId="4631B243" w14:textId="67926FFC" w:rsidR="00304D34" w:rsidRPr="0035519F" w:rsidRDefault="00304D34" w:rsidP="00EC62B8">
          <w:pPr>
            <w:spacing w:line="480" w:lineRule="auto"/>
            <w:rPr>
              <w:rFonts w:ascii="Arial" w:hAnsi="Arial" w:cs="Arial"/>
              <w:sz w:val="24"/>
              <w:szCs w:val="24"/>
            </w:rPr>
          </w:pPr>
          <w:r w:rsidRPr="0035519F">
            <w:rPr>
              <w:rFonts w:ascii="Arial" w:hAnsi="Arial" w:cs="Arial"/>
              <w:bCs/>
              <w:noProof/>
              <w:sz w:val="24"/>
              <w:szCs w:val="24"/>
            </w:rPr>
            <w:fldChar w:fldCharType="end"/>
          </w:r>
        </w:p>
      </w:sdtContent>
    </w:sdt>
    <w:p w14:paraId="7B909B5D" w14:textId="77777777" w:rsidR="007757AB" w:rsidRPr="0035519F" w:rsidRDefault="007757AB" w:rsidP="007757AB"/>
    <w:p w14:paraId="4B7AD600" w14:textId="77777777" w:rsidR="007757AB" w:rsidRPr="0035519F" w:rsidRDefault="007757AB" w:rsidP="00891FA6">
      <w:pPr>
        <w:pStyle w:val="Heading1"/>
        <w:rPr>
          <w:rFonts w:cs="Arial"/>
          <w:color w:val="auto"/>
          <w:sz w:val="28"/>
          <w:szCs w:val="28"/>
        </w:rPr>
      </w:pPr>
      <w:bookmarkStart w:id="6" w:name="_Toc111022744"/>
      <w:r w:rsidRPr="0035519F">
        <w:rPr>
          <w:rFonts w:cs="Arial"/>
          <w:color w:val="auto"/>
          <w:sz w:val="28"/>
          <w:szCs w:val="28"/>
        </w:rPr>
        <w:t>DAFTAR TABEL</w:t>
      </w:r>
      <w:bookmarkEnd w:id="6"/>
    </w:p>
    <w:p w14:paraId="4270A8D9" w14:textId="77777777" w:rsidR="001C440B" w:rsidRPr="0035519F" w:rsidRDefault="001C440B" w:rsidP="001C440B"/>
    <w:p w14:paraId="4C035294" w14:textId="6CBA3205" w:rsidR="00117C25" w:rsidRPr="0035519F" w:rsidRDefault="001C440B" w:rsidP="00117C25">
      <w:pPr>
        <w:pStyle w:val="TableofFigures"/>
        <w:tabs>
          <w:tab w:val="right" w:leader="dot" w:pos="8261"/>
        </w:tabs>
        <w:spacing w:line="480" w:lineRule="auto"/>
        <w:rPr>
          <w:rFonts w:ascii="Arial" w:eastAsiaTheme="minorEastAsia" w:hAnsi="Arial" w:cs="Arial"/>
          <w:noProof/>
          <w:sz w:val="24"/>
          <w:szCs w:val="24"/>
        </w:rPr>
      </w:pPr>
      <w:r w:rsidRPr="0035519F">
        <w:rPr>
          <w:rFonts w:ascii="Arial" w:hAnsi="Arial" w:cs="Arial"/>
          <w:sz w:val="24"/>
          <w:szCs w:val="24"/>
        </w:rPr>
        <w:fldChar w:fldCharType="begin"/>
      </w:r>
      <w:r w:rsidRPr="0035519F">
        <w:rPr>
          <w:rFonts w:ascii="Arial" w:hAnsi="Arial" w:cs="Arial"/>
          <w:sz w:val="24"/>
          <w:szCs w:val="24"/>
        </w:rPr>
        <w:instrText xml:space="preserve"> TOC \h \z \c "Tabel" </w:instrText>
      </w:r>
      <w:r w:rsidRPr="0035519F">
        <w:rPr>
          <w:rFonts w:ascii="Arial" w:hAnsi="Arial" w:cs="Arial"/>
          <w:sz w:val="24"/>
          <w:szCs w:val="24"/>
        </w:rPr>
        <w:fldChar w:fldCharType="separate"/>
      </w:r>
      <w:hyperlink w:anchor="_Toc111873673" w:history="1">
        <w:r w:rsidR="00117C25" w:rsidRPr="0035519F">
          <w:rPr>
            <w:rStyle w:val="Hyperlink"/>
            <w:rFonts w:ascii="Arial" w:hAnsi="Arial" w:cs="Arial"/>
            <w:noProof/>
            <w:sz w:val="24"/>
            <w:szCs w:val="24"/>
          </w:rPr>
          <w:t>Tabel 1. Klasifikasi IMT pada Asia Pasifik Dewasa</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_Toc111873673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27</w:t>
        </w:r>
        <w:r w:rsidR="00117C25" w:rsidRPr="0035519F">
          <w:rPr>
            <w:rFonts w:ascii="Arial" w:hAnsi="Arial" w:cs="Arial"/>
            <w:noProof/>
            <w:webHidden/>
            <w:sz w:val="24"/>
            <w:szCs w:val="24"/>
          </w:rPr>
          <w:fldChar w:fldCharType="end"/>
        </w:r>
      </w:hyperlink>
    </w:p>
    <w:p w14:paraId="3683E3BD" w14:textId="17E4CA66" w:rsidR="00117C25" w:rsidRPr="0035519F" w:rsidRDefault="00BD6E9E" w:rsidP="00117C25">
      <w:pPr>
        <w:pStyle w:val="TableofFigures"/>
        <w:tabs>
          <w:tab w:val="right" w:leader="dot" w:pos="8261"/>
        </w:tabs>
        <w:spacing w:line="480" w:lineRule="auto"/>
        <w:ind w:left="990" w:hanging="990"/>
        <w:rPr>
          <w:rFonts w:ascii="Arial" w:eastAsiaTheme="minorEastAsia" w:hAnsi="Arial" w:cs="Arial"/>
          <w:noProof/>
          <w:sz w:val="24"/>
          <w:szCs w:val="24"/>
        </w:rPr>
      </w:pPr>
      <w:hyperlink w:anchor="_Toc111873674" w:history="1">
        <w:r w:rsidR="00117C25" w:rsidRPr="0035519F">
          <w:rPr>
            <w:rStyle w:val="Hyperlink"/>
            <w:rFonts w:ascii="Arial" w:hAnsi="Arial" w:cs="Arial"/>
            <w:noProof/>
            <w:sz w:val="24"/>
            <w:szCs w:val="24"/>
          </w:rPr>
          <w:t>Tabel 2. Cut-off lingkar pinggang untuk kelompok etnis berbeda berdasarkan rekomendasi IDF</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_Toc111873674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28</w:t>
        </w:r>
        <w:r w:rsidR="00117C25" w:rsidRPr="0035519F">
          <w:rPr>
            <w:rFonts w:ascii="Arial" w:hAnsi="Arial" w:cs="Arial"/>
            <w:noProof/>
            <w:webHidden/>
            <w:sz w:val="24"/>
            <w:szCs w:val="24"/>
          </w:rPr>
          <w:fldChar w:fldCharType="end"/>
        </w:r>
      </w:hyperlink>
    </w:p>
    <w:p w14:paraId="7CC499AE" w14:textId="0197499F" w:rsidR="00117C25" w:rsidRPr="0035519F" w:rsidRDefault="00BD6E9E" w:rsidP="00117C25">
      <w:pPr>
        <w:pStyle w:val="TableofFigures"/>
        <w:tabs>
          <w:tab w:val="right" w:leader="dot" w:pos="8261"/>
        </w:tabs>
        <w:spacing w:line="480" w:lineRule="auto"/>
        <w:rPr>
          <w:rFonts w:ascii="Arial" w:eastAsiaTheme="minorEastAsia" w:hAnsi="Arial" w:cs="Arial"/>
          <w:noProof/>
          <w:sz w:val="24"/>
          <w:szCs w:val="24"/>
        </w:rPr>
      </w:pPr>
      <w:hyperlink w:anchor="_Toc111873675" w:history="1">
        <w:r w:rsidR="00117C25" w:rsidRPr="0035519F">
          <w:rPr>
            <w:rStyle w:val="Hyperlink"/>
            <w:rFonts w:ascii="Arial" w:hAnsi="Arial" w:cs="Arial"/>
            <w:noProof/>
            <w:sz w:val="24"/>
            <w:szCs w:val="24"/>
          </w:rPr>
          <w:t>Tabel 3. Nilai cut-off HOMA-IR dalam literatur</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_Toc111873675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37</w:t>
        </w:r>
        <w:r w:rsidR="00117C25" w:rsidRPr="0035519F">
          <w:rPr>
            <w:rFonts w:ascii="Arial" w:hAnsi="Arial" w:cs="Arial"/>
            <w:noProof/>
            <w:webHidden/>
            <w:sz w:val="24"/>
            <w:szCs w:val="24"/>
          </w:rPr>
          <w:fldChar w:fldCharType="end"/>
        </w:r>
      </w:hyperlink>
    </w:p>
    <w:p w14:paraId="1D48A81E" w14:textId="48914EAC" w:rsidR="00117C25" w:rsidRPr="0035519F" w:rsidRDefault="00BD6E9E" w:rsidP="00117C25">
      <w:pPr>
        <w:pStyle w:val="TableofFigures"/>
        <w:tabs>
          <w:tab w:val="right" w:leader="dot" w:pos="8261"/>
        </w:tabs>
        <w:spacing w:line="480" w:lineRule="auto"/>
        <w:rPr>
          <w:rFonts w:ascii="Arial" w:eastAsiaTheme="minorEastAsia" w:hAnsi="Arial" w:cs="Arial"/>
          <w:noProof/>
          <w:sz w:val="24"/>
          <w:szCs w:val="24"/>
        </w:rPr>
      </w:pPr>
      <w:hyperlink w:anchor="_Toc111873676" w:history="1">
        <w:r w:rsidR="00117C25" w:rsidRPr="0035519F">
          <w:rPr>
            <w:rStyle w:val="Hyperlink"/>
            <w:rFonts w:ascii="Arial" w:hAnsi="Arial" w:cs="Arial"/>
            <w:noProof/>
            <w:sz w:val="24"/>
            <w:szCs w:val="24"/>
          </w:rPr>
          <w:t>Tabel 4. Pengenceran Larutan Kalibrator (Demeditec Diagnostics, 2022)</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_Toc111873676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55</w:t>
        </w:r>
        <w:r w:rsidR="00117C25" w:rsidRPr="0035519F">
          <w:rPr>
            <w:rFonts w:ascii="Arial" w:hAnsi="Arial" w:cs="Arial"/>
            <w:noProof/>
            <w:webHidden/>
            <w:sz w:val="24"/>
            <w:szCs w:val="24"/>
          </w:rPr>
          <w:fldChar w:fldCharType="end"/>
        </w:r>
      </w:hyperlink>
    </w:p>
    <w:p w14:paraId="07663CC7" w14:textId="27F37FB0" w:rsidR="00117C25" w:rsidRPr="0035519F" w:rsidRDefault="00BD6E9E" w:rsidP="00117C25">
      <w:pPr>
        <w:pStyle w:val="TableofFigures"/>
        <w:tabs>
          <w:tab w:val="right" w:leader="dot" w:pos="8261"/>
        </w:tabs>
        <w:spacing w:line="480" w:lineRule="auto"/>
        <w:rPr>
          <w:rFonts w:ascii="Arial" w:eastAsiaTheme="minorEastAsia" w:hAnsi="Arial" w:cs="Arial"/>
          <w:noProof/>
          <w:sz w:val="24"/>
          <w:szCs w:val="24"/>
        </w:rPr>
      </w:pPr>
      <w:hyperlink w:anchor="_Toc111873677" w:history="1">
        <w:r w:rsidR="00117C25" w:rsidRPr="0035519F">
          <w:rPr>
            <w:rStyle w:val="Hyperlink"/>
            <w:rFonts w:ascii="Arial" w:eastAsia="MS Mincho" w:hAnsi="Arial" w:cs="Arial"/>
            <w:noProof/>
            <w:sz w:val="24"/>
            <w:szCs w:val="24"/>
          </w:rPr>
          <w:t>Tabel 5. Karakteristik subjek penelitian (n=88)</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_Toc111873677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61</w:t>
        </w:r>
        <w:r w:rsidR="00117C25" w:rsidRPr="0035519F">
          <w:rPr>
            <w:rFonts w:ascii="Arial" w:hAnsi="Arial" w:cs="Arial"/>
            <w:noProof/>
            <w:webHidden/>
            <w:sz w:val="24"/>
            <w:szCs w:val="24"/>
          </w:rPr>
          <w:fldChar w:fldCharType="end"/>
        </w:r>
      </w:hyperlink>
    </w:p>
    <w:p w14:paraId="78364268" w14:textId="2C14AF86" w:rsidR="00117C25" w:rsidRPr="0035519F" w:rsidRDefault="00BD6E9E" w:rsidP="00117C25">
      <w:pPr>
        <w:pStyle w:val="TableofFigures"/>
        <w:tabs>
          <w:tab w:val="right" w:leader="dot" w:pos="8261"/>
        </w:tabs>
        <w:spacing w:line="480" w:lineRule="auto"/>
        <w:rPr>
          <w:rFonts w:ascii="Arial" w:eastAsiaTheme="minorEastAsia" w:hAnsi="Arial" w:cs="Arial"/>
          <w:noProof/>
          <w:sz w:val="24"/>
          <w:szCs w:val="24"/>
        </w:rPr>
      </w:pPr>
      <w:hyperlink w:anchor="_Toc111873678" w:history="1">
        <w:r w:rsidR="00117C25" w:rsidRPr="0035519F">
          <w:rPr>
            <w:rStyle w:val="Hyperlink"/>
            <w:rFonts w:ascii="Arial" w:eastAsia="MS Mincho" w:hAnsi="Arial" w:cs="Arial"/>
            <w:noProof/>
            <w:sz w:val="24"/>
            <w:szCs w:val="24"/>
          </w:rPr>
          <w:t>Tabel 6. Perbandingan HOMA-IR pada kelompok dewasa non DM dengan dan tanpa obesitas sentral (Data primer)</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_Toc111873678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62</w:t>
        </w:r>
        <w:r w:rsidR="00117C25" w:rsidRPr="0035519F">
          <w:rPr>
            <w:rFonts w:ascii="Arial" w:hAnsi="Arial" w:cs="Arial"/>
            <w:noProof/>
            <w:webHidden/>
            <w:sz w:val="24"/>
            <w:szCs w:val="24"/>
          </w:rPr>
          <w:fldChar w:fldCharType="end"/>
        </w:r>
      </w:hyperlink>
    </w:p>
    <w:p w14:paraId="549E7EC0" w14:textId="47411203" w:rsidR="00117C25" w:rsidRPr="0035519F" w:rsidRDefault="00BD6E9E" w:rsidP="00117C25">
      <w:pPr>
        <w:pStyle w:val="TableofFigures"/>
        <w:tabs>
          <w:tab w:val="right" w:leader="dot" w:pos="8261"/>
        </w:tabs>
        <w:spacing w:line="480" w:lineRule="auto"/>
        <w:ind w:left="990" w:hanging="990"/>
        <w:rPr>
          <w:rFonts w:ascii="Arial" w:eastAsiaTheme="minorEastAsia" w:hAnsi="Arial" w:cs="Arial"/>
          <w:noProof/>
          <w:sz w:val="24"/>
          <w:szCs w:val="24"/>
        </w:rPr>
      </w:pPr>
      <w:hyperlink w:anchor="_Toc111873679" w:history="1">
        <w:r w:rsidR="00117C25" w:rsidRPr="0035519F">
          <w:rPr>
            <w:rStyle w:val="Hyperlink"/>
            <w:rFonts w:ascii="Arial" w:eastAsia="MS Mincho" w:hAnsi="Arial" w:cs="Arial"/>
            <w:noProof/>
            <w:sz w:val="24"/>
            <w:szCs w:val="24"/>
          </w:rPr>
          <w:t>Tabel 7. Perbandingan kadar IGF-1 pada kelompok dewasa non DM dengan dan tanpa obesitas sentral. (Data primer)</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_Toc111873679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63</w:t>
        </w:r>
        <w:r w:rsidR="00117C25" w:rsidRPr="0035519F">
          <w:rPr>
            <w:rFonts w:ascii="Arial" w:hAnsi="Arial" w:cs="Arial"/>
            <w:noProof/>
            <w:webHidden/>
            <w:sz w:val="24"/>
            <w:szCs w:val="24"/>
          </w:rPr>
          <w:fldChar w:fldCharType="end"/>
        </w:r>
      </w:hyperlink>
    </w:p>
    <w:p w14:paraId="5F716609" w14:textId="52DC3810" w:rsidR="00117C25" w:rsidRPr="0035519F" w:rsidRDefault="00BD6E9E" w:rsidP="00117C25">
      <w:pPr>
        <w:pStyle w:val="TableofFigures"/>
        <w:tabs>
          <w:tab w:val="right" w:leader="dot" w:pos="8261"/>
        </w:tabs>
        <w:spacing w:line="480" w:lineRule="auto"/>
        <w:ind w:left="990" w:hanging="990"/>
        <w:rPr>
          <w:rFonts w:ascii="Arial" w:eastAsiaTheme="minorEastAsia" w:hAnsi="Arial" w:cs="Arial"/>
          <w:noProof/>
          <w:sz w:val="24"/>
          <w:szCs w:val="24"/>
        </w:rPr>
      </w:pPr>
      <w:hyperlink w:anchor="_Toc111873680" w:history="1">
        <w:r w:rsidR="00117C25" w:rsidRPr="0035519F">
          <w:rPr>
            <w:rStyle w:val="Hyperlink"/>
            <w:rFonts w:ascii="Arial" w:eastAsia="MS Mincho" w:hAnsi="Arial" w:cs="Arial"/>
            <w:noProof/>
            <w:sz w:val="24"/>
            <w:szCs w:val="24"/>
          </w:rPr>
          <w:t xml:space="preserve">Tabel 8. </w:t>
        </w:r>
        <w:r w:rsidR="009768AE" w:rsidRPr="0035519F">
          <w:rPr>
            <w:rStyle w:val="Hyperlink"/>
            <w:rFonts w:ascii="Arial" w:hAnsi="Arial" w:cs="Arial"/>
            <w:noProof/>
            <w:sz w:val="24"/>
            <w:szCs w:val="24"/>
          </w:rPr>
          <w:t>Korelasi nilai</w:t>
        </w:r>
        <w:r w:rsidR="00117C25" w:rsidRPr="0035519F">
          <w:rPr>
            <w:rStyle w:val="Hyperlink"/>
            <w:rFonts w:ascii="Arial" w:hAnsi="Arial" w:cs="Arial"/>
            <w:noProof/>
            <w:sz w:val="24"/>
            <w:szCs w:val="24"/>
          </w:rPr>
          <w:t xml:space="preserve"> HOMA IR dan IGF-1 pada seluruh kelompok Dewasa Non DM (Data Primer)</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_Toc111873680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65</w:t>
        </w:r>
        <w:r w:rsidR="00117C25" w:rsidRPr="0035519F">
          <w:rPr>
            <w:rFonts w:ascii="Arial" w:hAnsi="Arial" w:cs="Arial"/>
            <w:noProof/>
            <w:webHidden/>
            <w:sz w:val="24"/>
            <w:szCs w:val="24"/>
          </w:rPr>
          <w:fldChar w:fldCharType="end"/>
        </w:r>
      </w:hyperlink>
    </w:p>
    <w:p w14:paraId="1C6462C1" w14:textId="20D6617F" w:rsidR="00117C25" w:rsidRPr="0035519F" w:rsidRDefault="00BD6E9E" w:rsidP="00117C25">
      <w:pPr>
        <w:pStyle w:val="TableofFigures"/>
        <w:tabs>
          <w:tab w:val="right" w:leader="dot" w:pos="8261"/>
        </w:tabs>
        <w:spacing w:line="480" w:lineRule="auto"/>
        <w:rPr>
          <w:rFonts w:eastAsiaTheme="minorEastAsia"/>
          <w:noProof/>
        </w:rPr>
      </w:pPr>
      <w:hyperlink w:anchor="_Toc111873681" w:history="1">
        <w:r w:rsidR="00117C25" w:rsidRPr="0035519F">
          <w:rPr>
            <w:rStyle w:val="Hyperlink"/>
            <w:rFonts w:ascii="Arial" w:eastAsia="MS Mincho" w:hAnsi="Arial" w:cs="Arial"/>
            <w:noProof/>
            <w:sz w:val="24"/>
            <w:szCs w:val="24"/>
          </w:rPr>
          <w:t>Tabel 9.</w:t>
        </w:r>
        <w:r w:rsidR="009768AE" w:rsidRPr="0035519F">
          <w:rPr>
            <w:rStyle w:val="Hyperlink"/>
            <w:rFonts w:ascii="Arial" w:hAnsi="Arial" w:cs="Arial"/>
            <w:noProof/>
            <w:sz w:val="24"/>
            <w:szCs w:val="24"/>
          </w:rPr>
          <w:t xml:space="preserve"> Korelasi nilai</w:t>
        </w:r>
        <w:r w:rsidR="00117C25" w:rsidRPr="0035519F">
          <w:rPr>
            <w:rStyle w:val="Hyperlink"/>
            <w:rFonts w:ascii="Arial" w:hAnsi="Arial" w:cs="Arial"/>
            <w:noProof/>
            <w:sz w:val="24"/>
            <w:szCs w:val="24"/>
          </w:rPr>
          <w:t xml:space="preserve"> HOMA IR dan IGF-1 pada kelompok dewasa Non DM dengan dan tanpa obesitas tipe sentral (Data Primer)</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_Toc111873681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65</w:t>
        </w:r>
        <w:r w:rsidR="00117C25" w:rsidRPr="0035519F">
          <w:rPr>
            <w:rFonts w:ascii="Arial" w:hAnsi="Arial" w:cs="Arial"/>
            <w:noProof/>
            <w:webHidden/>
            <w:sz w:val="24"/>
            <w:szCs w:val="24"/>
          </w:rPr>
          <w:fldChar w:fldCharType="end"/>
        </w:r>
      </w:hyperlink>
    </w:p>
    <w:p w14:paraId="0BA65086" w14:textId="3DBB0D8B" w:rsidR="007757AB" w:rsidRPr="0035519F" w:rsidRDefault="001C440B" w:rsidP="00C76E0D">
      <w:pPr>
        <w:spacing w:line="480" w:lineRule="auto"/>
        <w:jc w:val="both"/>
        <w:rPr>
          <w:rFonts w:ascii="Arial" w:hAnsi="Arial" w:cs="Arial"/>
          <w:sz w:val="24"/>
          <w:szCs w:val="24"/>
        </w:rPr>
      </w:pPr>
      <w:r w:rsidRPr="0035519F">
        <w:rPr>
          <w:rFonts w:ascii="Arial" w:hAnsi="Arial" w:cs="Arial"/>
          <w:sz w:val="24"/>
          <w:szCs w:val="24"/>
        </w:rPr>
        <w:fldChar w:fldCharType="end"/>
      </w:r>
    </w:p>
    <w:p w14:paraId="066BDD2E" w14:textId="61E33C2C" w:rsidR="001C440B" w:rsidRPr="0035519F" w:rsidRDefault="001C440B" w:rsidP="007757AB">
      <w:pPr>
        <w:spacing w:line="480" w:lineRule="auto"/>
        <w:rPr>
          <w:rFonts w:ascii="Arial" w:hAnsi="Arial" w:cs="Arial"/>
          <w:sz w:val="24"/>
          <w:szCs w:val="24"/>
        </w:rPr>
      </w:pPr>
    </w:p>
    <w:p w14:paraId="65884B62" w14:textId="77777777" w:rsidR="00C76E0D" w:rsidRPr="0035519F" w:rsidRDefault="00C76E0D" w:rsidP="007757AB">
      <w:pPr>
        <w:spacing w:line="480" w:lineRule="auto"/>
        <w:rPr>
          <w:rFonts w:ascii="Arial" w:hAnsi="Arial" w:cs="Arial"/>
          <w:sz w:val="24"/>
          <w:szCs w:val="24"/>
        </w:rPr>
      </w:pPr>
    </w:p>
    <w:p w14:paraId="7310DF89" w14:textId="77777777" w:rsidR="001C440B" w:rsidRPr="0035519F" w:rsidRDefault="001C440B" w:rsidP="007757AB">
      <w:pPr>
        <w:spacing w:line="480" w:lineRule="auto"/>
        <w:rPr>
          <w:rFonts w:ascii="Arial" w:hAnsi="Arial" w:cs="Arial"/>
          <w:sz w:val="24"/>
          <w:szCs w:val="24"/>
        </w:rPr>
      </w:pPr>
    </w:p>
    <w:p w14:paraId="695C82F4" w14:textId="77777777" w:rsidR="001C440B" w:rsidRPr="0035519F" w:rsidRDefault="001C440B" w:rsidP="007757AB">
      <w:pPr>
        <w:spacing w:line="480" w:lineRule="auto"/>
        <w:rPr>
          <w:rFonts w:ascii="Arial" w:hAnsi="Arial" w:cs="Arial"/>
          <w:sz w:val="24"/>
          <w:szCs w:val="24"/>
        </w:rPr>
      </w:pPr>
    </w:p>
    <w:p w14:paraId="07E3F4C5" w14:textId="56750E53" w:rsidR="007757AB" w:rsidRPr="0035519F" w:rsidRDefault="00DC6CD1" w:rsidP="00891FA6">
      <w:pPr>
        <w:pStyle w:val="Heading1"/>
        <w:rPr>
          <w:rFonts w:cs="Arial"/>
          <w:b w:val="0"/>
          <w:color w:val="auto"/>
          <w:sz w:val="28"/>
          <w:szCs w:val="28"/>
        </w:rPr>
      </w:pPr>
      <w:bookmarkStart w:id="7" w:name="_Toc111022745"/>
      <w:r w:rsidRPr="0035519F">
        <w:rPr>
          <w:rFonts w:cs="Arial"/>
          <w:color w:val="auto"/>
          <w:sz w:val="28"/>
          <w:szCs w:val="28"/>
        </w:rPr>
        <w:t>D</w:t>
      </w:r>
      <w:r w:rsidR="007757AB" w:rsidRPr="0035519F">
        <w:rPr>
          <w:rFonts w:cs="Arial"/>
          <w:color w:val="auto"/>
          <w:sz w:val="28"/>
          <w:szCs w:val="28"/>
        </w:rPr>
        <w:t>AFTAR GAMBAR</w:t>
      </w:r>
      <w:bookmarkEnd w:id="7"/>
      <w:r w:rsidR="007757AB" w:rsidRPr="0035519F">
        <w:rPr>
          <w:rFonts w:cs="Arial"/>
          <w:color w:val="auto"/>
          <w:sz w:val="28"/>
          <w:szCs w:val="28"/>
        </w:rPr>
        <w:t xml:space="preserve"> </w:t>
      </w:r>
    </w:p>
    <w:p w14:paraId="4F31EE80" w14:textId="77777777" w:rsidR="007757AB" w:rsidRPr="0035519F" w:rsidRDefault="007757AB" w:rsidP="007757AB"/>
    <w:p w14:paraId="4BAD865D" w14:textId="194DE5D9" w:rsidR="00117C25" w:rsidRPr="0035519F" w:rsidRDefault="00DD3A1F" w:rsidP="00117C25">
      <w:pPr>
        <w:pStyle w:val="TableofFigures"/>
        <w:tabs>
          <w:tab w:val="right" w:leader="dot" w:pos="8261"/>
        </w:tabs>
        <w:spacing w:line="480" w:lineRule="auto"/>
        <w:jc w:val="both"/>
        <w:rPr>
          <w:rFonts w:ascii="Arial" w:eastAsiaTheme="minorEastAsia" w:hAnsi="Arial" w:cs="Arial"/>
          <w:noProof/>
          <w:sz w:val="24"/>
          <w:szCs w:val="24"/>
        </w:rPr>
      </w:pPr>
      <w:r w:rsidRPr="0035519F">
        <w:rPr>
          <w:rFonts w:ascii="Arial" w:hAnsi="Arial" w:cs="Arial"/>
          <w:sz w:val="24"/>
          <w:szCs w:val="24"/>
        </w:rPr>
        <w:fldChar w:fldCharType="begin"/>
      </w:r>
      <w:r w:rsidRPr="0035519F">
        <w:rPr>
          <w:rFonts w:ascii="Arial" w:hAnsi="Arial" w:cs="Arial"/>
          <w:sz w:val="24"/>
          <w:szCs w:val="24"/>
        </w:rPr>
        <w:instrText xml:space="preserve"> TOC \h \z \c "Gambar" </w:instrText>
      </w:r>
      <w:r w:rsidRPr="0035519F">
        <w:rPr>
          <w:rFonts w:ascii="Arial" w:hAnsi="Arial" w:cs="Arial"/>
          <w:sz w:val="24"/>
          <w:szCs w:val="24"/>
        </w:rPr>
        <w:fldChar w:fldCharType="separate"/>
      </w:r>
      <w:hyperlink w:anchor="_Toc111873689" w:history="1">
        <w:r w:rsidR="00117C25" w:rsidRPr="0035519F">
          <w:rPr>
            <w:rStyle w:val="Hyperlink"/>
            <w:rFonts w:ascii="Arial" w:hAnsi="Arial" w:cs="Arial"/>
            <w:noProof/>
            <w:sz w:val="24"/>
            <w:szCs w:val="24"/>
          </w:rPr>
          <w:t>Gambar 1. Skema anatomi jaringan adiposa manusia.</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_Toc111873689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9</w:t>
        </w:r>
        <w:r w:rsidR="00117C25" w:rsidRPr="0035519F">
          <w:rPr>
            <w:rFonts w:ascii="Arial" w:hAnsi="Arial" w:cs="Arial"/>
            <w:noProof/>
            <w:webHidden/>
            <w:sz w:val="24"/>
            <w:szCs w:val="24"/>
          </w:rPr>
          <w:fldChar w:fldCharType="end"/>
        </w:r>
      </w:hyperlink>
    </w:p>
    <w:p w14:paraId="5B087F1E" w14:textId="6BDC0FB2" w:rsidR="00117C25" w:rsidRPr="0035519F" w:rsidRDefault="00BD6E9E" w:rsidP="00117C25">
      <w:pPr>
        <w:pStyle w:val="TableofFigures"/>
        <w:tabs>
          <w:tab w:val="right" w:leader="dot" w:pos="8261"/>
        </w:tabs>
        <w:spacing w:line="480" w:lineRule="auto"/>
        <w:ind w:left="1260" w:hanging="1260"/>
        <w:jc w:val="both"/>
        <w:rPr>
          <w:rFonts w:ascii="Arial" w:eastAsiaTheme="minorEastAsia" w:hAnsi="Arial" w:cs="Arial"/>
          <w:noProof/>
          <w:sz w:val="24"/>
          <w:szCs w:val="24"/>
        </w:rPr>
      </w:pPr>
      <w:hyperlink w:anchor="_Toc111873690" w:history="1">
        <w:r w:rsidR="00117C25" w:rsidRPr="0035519F">
          <w:rPr>
            <w:rStyle w:val="Hyperlink"/>
            <w:rFonts w:ascii="Arial" w:hAnsi="Arial" w:cs="Arial"/>
            <w:noProof/>
            <w:sz w:val="24"/>
            <w:szCs w:val="24"/>
          </w:rPr>
          <w:t>Gambar 2. Prevalensi Obesitas pada usia &gt; 18 tahun berdasarkan provinsi di Indonesia tahun 2018.</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_Toc111873690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11</w:t>
        </w:r>
        <w:r w:rsidR="00117C25" w:rsidRPr="0035519F">
          <w:rPr>
            <w:rFonts w:ascii="Arial" w:hAnsi="Arial" w:cs="Arial"/>
            <w:noProof/>
            <w:webHidden/>
            <w:sz w:val="24"/>
            <w:szCs w:val="24"/>
          </w:rPr>
          <w:fldChar w:fldCharType="end"/>
        </w:r>
      </w:hyperlink>
    </w:p>
    <w:p w14:paraId="700179DD" w14:textId="33875E92" w:rsidR="00117C25" w:rsidRPr="0035519F" w:rsidRDefault="00BD6E9E" w:rsidP="00117C25">
      <w:pPr>
        <w:pStyle w:val="TableofFigures"/>
        <w:tabs>
          <w:tab w:val="right" w:leader="dot" w:pos="8261"/>
        </w:tabs>
        <w:spacing w:line="480" w:lineRule="auto"/>
        <w:ind w:left="1260" w:hanging="1260"/>
        <w:jc w:val="both"/>
        <w:rPr>
          <w:rFonts w:ascii="Arial" w:eastAsiaTheme="minorEastAsia" w:hAnsi="Arial" w:cs="Arial"/>
          <w:noProof/>
          <w:sz w:val="24"/>
          <w:szCs w:val="24"/>
        </w:rPr>
      </w:pPr>
      <w:hyperlink w:anchor="_Toc111873691" w:history="1">
        <w:r w:rsidR="00117C25" w:rsidRPr="0035519F">
          <w:rPr>
            <w:rStyle w:val="Hyperlink"/>
            <w:rFonts w:ascii="Arial" w:hAnsi="Arial" w:cs="Arial"/>
            <w:noProof/>
            <w:sz w:val="24"/>
            <w:szCs w:val="24"/>
          </w:rPr>
          <w:t>Gambar 3. Integrasi sinyal metabolisme perifer dan sistem saraf pusat mempertahankan homeostasis energi.</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_Toc111873691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17</w:t>
        </w:r>
        <w:r w:rsidR="00117C25" w:rsidRPr="0035519F">
          <w:rPr>
            <w:rFonts w:ascii="Arial" w:hAnsi="Arial" w:cs="Arial"/>
            <w:noProof/>
            <w:webHidden/>
            <w:sz w:val="24"/>
            <w:szCs w:val="24"/>
          </w:rPr>
          <w:fldChar w:fldCharType="end"/>
        </w:r>
      </w:hyperlink>
    </w:p>
    <w:p w14:paraId="03ACF692" w14:textId="23090C97" w:rsidR="00117C25" w:rsidRPr="0035519F" w:rsidRDefault="00BD6E9E" w:rsidP="00117C25">
      <w:pPr>
        <w:pStyle w:val="TableofFigures"/>
        <w:tabs>
          <w:tab w:val="right" w:leader="dot" w:pos="8261"/>
        </w:tabs>
        <w:spacing w:line="480" w:lineRule="auto"/>
        <w:jc w:val="both"/>
        <w:rPr>
          <w:rFonts w:ascii="Arial" w:eastAsiaTheme="minorEastAsia" w:hAnsi="Arial" w:cs="Arial"/>
          <w:noProof/>
          <w:sz w:val="24"/>
          <w:szCs w:val="24"/>
        </w:rPr>
      </w:pPr>
      <w:hyperlink w:anchor="_Toc111873692" w:history="1">
        <w:r w:rsidR="00117C25" w:rsidRPr="0035519F">
          <w:rPr>
            <w:rStyle w:val="Hyperlink"/>
            <w:rFonts w:ascii="Arial" w:hAnsi="Arial" w:cs="Arial"/>
            <w:noProof/>
            <w:sz w:val="24"/>
            <w:szCs w:val="24"/>
          </w:rPr>
          <w:t>Gambar 4. Ekspansi WAT pada obesitas.</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_Toc111873692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22</w:t>
        </w:r>
        <w:r w:rsidR="00117C25" w:rsidRPr="0035519F">
          <w:rPr>
            <w:rFonts w:ascii="Arial" w:hAnsi="Arial" w:cs="Arial"/>
            <w:noProof/>
            <w:webHidden/>
            <w:sz w:val="24"/>
            <w:szCs w:val="24"/>
          </w:rPr>
          <w:fldChar w:fldCharType="end"/>
        </w:r>
      </w:hyperlink>
    </w:p>
    <w:p w14:paraId="1D7BE614" w14:textId="5A93F095" w:rsidR="00117C25" w:rsidRPr="0035519F" w:rsidRDefault="00BD6E9E" w:rsidP="00117C25">
      <w:pPr>
        <w:pStyle w:val="TableofFigures"/>
        <w:tabs>
          <w:tab w:val="right" w:leader="dot" w:pos="8261"/>
        </w:tabs>
        <w:spacing w:line="480" w:lineRule="auto"/>
        <w:ind w:left="1260" w:hanging="1260"/>
        <w:jc w:val="both"/>
        <w:rPr>
          <w:rFonts w:ascii="Arial" w:eastAsiaTheme="minorEastAsia" w:hAnsi="Arial" w:cs="Arial"/>
          <w:noProof/>
          <w:sz w:val="24"/>
          <w:szCs w:val="24"/>
        </w:rPr>
      </w:pPr>
      <w:hyperlink w:anchor="_Toc111873693" w:history="1">
        <w:r w:rsidR="00117C25" w:rsidRPr="0035519F">
          <w:rPr>
            <w:rStyle w:val="Hyperlink"/>
            <w:rFonts w:ascii="Arial" w:hAnsi="Arial" w:cs="Arial"/>
            <w:noProof/>
            <w:sz w:val="24"/>
            <w:szCs w:val="24"/>
          </w:rPr>
          <w:t>Gambar 5. Struktur peptida C proinsulin manusia dan molekul insulin yang terhubung di dua tempat oleh tautan dipeptide.</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_Toc111873693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30</w:t>
        </w:r>
        <w:r w:rsidR="00117C25" w:rsidRPr="0035519F">
          <w:rPr>
            <w:rFonts w:ascii="Arial" w:hAnsi="Arial" w:cs="Arial"/>
            <w:noProof/>
            <w:webHidden/>
            <w:sz w:val="24"/>
            <w:szCs w:val="24"/>
          </w:rPr>
          <w:fldChar w:fldCharType="end"/>
        </w:r>
      </w:hyperlink>
    </w:p>
    <w:p w14:paraId="35365918" w14:textId="1837EB29" w:rsidR="00117C25" w:rsidRPr="0035519F" w:rsidRDefault="00BD6E9E" w:rsidP="00117C25">
      <w:pPr>
        <w:pStyle w:val="TableofFigures"/>
        <w:tabs>
          <w:tab w:val="right" w:leader="dot" w:pos="8261"/>
        </w:tabs>
        <w:spacing w:line="480" w:lineRule="auto"/>
        <w:jc w:val="both"/>
        <w:rPr>
          <w:rFonts w:ascii="Arial" w:eastAsiaTheme="minorEastAsia" w:hAnsi="Arial" w:cs="Arial"/>
          <w:noProof/>
          <w:sz w:val="24"/>
          <w:szCs w:val="24"/>
        </w:rPr>
      </w:pPr>
      <w:hyperlink w:anchor="_Toc111873694" w:history="1">
        <w:r w:rsidR="00117C25" w:rsidRPr="0035519F">
          <w:rPr>
            <w:rStyle w:val="Hyperlink"/>
            <w:rFonts w:ascii="Arial" w:hAnsi="Arial" w:cs="Arial"/>
            <w:noProof/>
            <w:sz w:val="24"/>
            <w:szCs w:val="24"/>
          </w:rPr>
          <w:t>Gambar 6. Skema jalur transduksi sinyal insulin.</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_Toc111873694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32</w:t>
        </w:r>
        <w:r w:rsidR="00117C25" w:rsidRPr="0035519F">
          <w:rPr>
            <w:rFonts w:ascii="Arial" w:hAnsi="Arial" w:cs="Arial"/>
            <w:noProof/>
            <w:webHidden/>
            <w:sz w:val="24"/>
            <w:szCs w:val="24"/>
          </w:rPr>
          <w:fldChar w:fldCharType="end"/>
        </w:r>
      </w:hyperlink>
    </w:p>
    <w:p w14:paraId="0104C0AB" w14:textId="628BD997" w:rsidR="00117C25" w:rsidRPr="0035519F" w:rsidRDefault="00BD6E9E" w:rsidP="00117C25">
      <w:pPr>
        <w:pStyle w:val="TableofFigures"/>
        <w:tabs>
          <w:tab w:val="right" w:leader="dot" w:pos="8261"/>
        </w:tabs>
        <w:spacing w:line="480" w:lineRule="auto"/>
        <w:ind w:left="1260" w:hanging="1260"/>
        <w:jc w:val="both"/>
        <w:rPr>
          <w:rFonts w:ascii="Arial" w:eastAsiaTheme="minorEastAsia" w:hAnsi="Arial" w:cs="Arial"/>
          <w:noProof/>
          <w:sz w:val="24"/>
          <w:szCs w:val="24"/>
        </w:rPr>
      </w:pPr>
      <w:hyperlink w:anchor="_Toc111873695" w:history="1">
        <w:r w:rsidR="00117C25" w:rsidRPr="0035519F">
          <w:rPr>
            <w:rStyle w:val="Hyperlink"/>
            <w:rFonts w:ascii="Arial" w:hAnsi="Arial" w:cs="Arial"/>
            <w:noProof/>
            <w:sz w:val="24"/>
            <w:szCs w:val="24"/>
          </w:rPr>
          <w:t>Gambar 7</w:t>
        </w:r>
        <w:r w:rsidR="00117C25" w:rsidRPr="0035519F">
          <w:rPr>
            <w:rStyle w:val="Hyperlink"/>
            <w:rFonts w:ascii="Arial" w:eastAsia="Times New Roman" w:hAnsi="Arial" w:cs="Arial"/>
            <w:noProof/>
            <w:sz w:val="24"/>
            <w:szCs w:val="24"/>
          </w:rPr>
          <w:t>. Efek metabolik IGF-1, GH, dan insulin dalam kondisi fisiologis pada organ target.</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_Toc111873695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41</w:t>
        </w:r>
        <w:r w:rsidR="00117C25" w:rsidRPr="0035519F">
          <w:rPr>
            <w:rFonts w:ascii="Arial" w:hAnsi="Arial" w:cs="Arial"/>
            <w:noProof/>
            <w:webHidden/>
            <w:sz w:val="24"/>
            <w:szCs w:val="24"/>
          </w:rPr>
          <w:fldChar w:fldCharType="end"/>
        </w:r>
      </w:hyperlink>
    </w:p>
    <w:p w14:paraId="2E601685" w14:textId="43C9D313" w:rsidR="00117C25" w:rsidRPr="0035519F" w:rsidRDefault="00BD6E9E" w:rsidP="00117C25">
      <w:pPr>
        <w:pStyle w:val="TableofFigures"/>
        <w:tabs>
          <w:tab w:val="right" w:leader="dot" w:pos="8261"/>
        </w:tabs>
        <w:spacing w:line="480" w:lineRule="auto"/>
        <w:ind w:left="1260" w:hanging="1260"/>
        <w:jc w:val="both"/>
        <w:rPr>
          <w:rFonts w:ascii="Arial" w:eastAsiaTheme="minorEastAsia" w:hAnsi="Arial" w:cs="Arial"/>
          <w:noProof/>
          <w:sz w:val="24"/>
          <w:szCs w:val="24"/>
        </w:rPr>
      </w:pPr>
      <w:hyperlink w:anchor="_Toc111873696" w:history="1">
        <w:r w:rsidR="00117C25" w:rsidRPr="0035519F">
          <w:rPr>
            <w:rStyle w:val="Hyperlink"/>
            <w:rFonts w:ascii="Arial" w:hAnsi="Arial" w:cs="Arial"/>
            <w:noProof/>
            <w:sz w:val="24"/>
            <w:szCs w:val="24"/>
          </w:rPr>
          <w:t>Gambar 8. Perbedaan rerata nilai HOMA-IR pada kelompok obesitas sentral dan tanpa obesitas sentral.</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_Toc111873696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63</w:t>
        </w:r>
        <w:r w:rsidR="00117C25" w:rsidRPr="0035519F">
          <w:rPr>
            <w:rFonts w:ascii="Arial" w:hAnsi="Arial" w:cs="Arial"/>
            <w:noProof/>
            <w:webHidden/>
            <w:sz w:val="24"/>
            <w:szCs w:val="24"/>
          </w:rPr>
          <w:fldChar w:fldCharType="end"/>
        </w:r>
      </w:hyperlink>
    </w:p>
    <w:p w14:paraId="374CC136" w14:textId="6AAC2986" w:rsidR="00117C25" w:rsidRPr="0035519F" w:rsidRDefault="00BD6E9E" w:rsidP="00117C25">
      <w:pPr>
        <w:pStyle w:val="TableofFigures"/>
        <w:tabs>
          <w:tab w:val="right" w:leader="dot" w:pos="8261"/>
        </w:tabs>
        <w:spacing w:line="480" w:lineRule="auto"/>
        <w:ind w:left="1260" w:hanging="1260"/>
        <w:jc w:val="both"/>
        <w:rPr>
          <w:rFonts w:eastAsiaTheme="minorEastAsia"/>
          <w:noProof/>
        </w:rPr>
      </w:pPr>
      <w:hyperlink w:anchor="_Toc111873697" w:history="1">
        <w:r w:rsidR="00117C25" w:rsidRPr="0035519F">
          <w:rPr>
            <w:rStyle w:val="Hyperlink"/>
            <w:rFonts w:ascii="Arial" w:hAnsi="Arial" w:cs="Arial"/>
            <w:noProof/>
            <w:sz w:val="24"/>
            <w:szCs w:val="24"/>
          </w:rPr>
          <w:t>Gambar 9. Perbedaan rerata kadar IGF-1 pada kelompok dewasa non DM dengan dan tanpa obesitas sentral.</w:t>
        </w:r>
        <w:r w:rsidR="00117C25" w:rsidRPr="0035519F">
          <w:rPr>
            <w:rFonts w:ascii="Arial" w:hAnsi="Arial" w:cs="Arial"/>
            <w:noProof/>
            <w:webHidden/>
            <w:sz w:val="24"/>
            <w:szCs w:val="24"/>
          </w:rPr>
          <w:tab/>
        </w:r>
        <w:r w:rsidR="00117C25" w:rsidRPr="0035519F">
          <w:rPr>
            <w:rFonts w:ascii="Arial" w:hAnsi="Arial" w:cs="Arial"/>
            <w:noProof/>
            <w:webHidden/>
            <w:sz w:val="24"/>
            <w:szCs w:val="24"/>
          </w:rPr>
          <w:fldChar w:fldCharType="begin"/>
        </w:r>
        <w:r w:rsidR="00117C25" w:rsidRPr="0035519F">
          <w:rPr>
            <w:rFonts w:ascii="Arial" w:hAnsi="Arial" w:cs="Arial"/>
            <w:noProof/>
            <w:webHidden/>
            <w:sz w:val="24"/>
            <w:szCs w:val="24"/>
          </w:rPr>
          <w:instrText xml:space="preserve"> PAGEREF _Toc111873697 \h </w:instrText>
        </w:r>
        <w:r w:rsidR="00117C25" w:rsidRPr="0035519F">
          <w:rPr>
            <w:rFonts w:ascii="Arial" w:hAnsi="Arial" w:cs="Arial"/>
            <w:noProof/>
            <w:webHidden/>
            <w:sz w:val="24"/>
            <w:szCs w:val="24"/>
          </w:rPr>
        </w:r>
        <w:r w:rsidR="00117C25" w:rsidRPr="0035519F">
          <w:rPr>
            <w:rFonts w:ascii="Arial" w:hAnsi="Arial" w:cs="Arial"/>
            <w:noProof/>
            <w:webHidden/>
            <w:sz w:val="24"/>
            <w:szCs w:val="24"/>
          </w:rPr>
          <w:fldChar w:fldCharType="separate"/>
        </w:r>
        <w:r w:rsidR="005B4074">
          <w:rPr>
            <w:rFonts w:ascii="Arial" w:hAnsi="Arial" w:cs="Arial"/>
            <w:noProof/>
            <w:webHidden/>
            <w:sz w:val="24"/>
            <w:szCs w:val="24"/>
          </w:rPr>
          <w:t>64</w:t>
        </w:r>
        <w:r w:rsidR="00117C25" w:rsidRPr="0035519F">
          <w:rPr>
            <w:rFonts w:ascii="Arial" w:hAnsi="Arial" w:cs="Arial"/>
            <w:noProof/>
            <w:webHidden/>
            <w:sz w:val="24"/>
            <w:szCs w:val="24"/>
          </w:rPr>
          <w:fldChar w:fldCharType="end"/>
        </w:r>
      </w:hyperlink>
    </w:p>
    <w:p w14:paraId="13FD3E21" w14:textId="07B87D59" w:rsidR="00BF3F90" w:rsidRPr="0035519F" w:rsidRDefault="00DD3A1F" w:rsidP="00BF3F90">
      <w:pPr>
        <w:pStyle w:val="Heading1"/>
        <w:spacing w:line="480" w:lineRule="auto"/>
        <w:ind w:left="1260" w:hanging="1260"/>
        <w:jc w:val="both"/>
        <w:rPr>
          <w:rFonts w:cs="Arial"/>
          <w:color w:val="auto"/>
          <w:szCs w:val="24"/>
        </w:rPr>
      </w:pPr>
      <w:r w:rsidRPr="0035519F">
        <w:rPr>
          <w:rFonts w:cs="Arial"/>
          <w:color w:val="auto"/>
          <w:szCs w:val="24"/>
        </w:rPr>
        <w:fldChar w:fldCharType="end"/>
      </w:r>
      <w:r w:rsidR="007757AB" w:rsidRPr="0035519F">
        <w:rPr>
          <w:rFonts w:cs="Arial"/>
          <w:color w:val="auto"/>
          <w:szCs w:val="24"/>
        </w:rPr>
        <w:br w:type="page"/>
      </w:r>
    </w:p>
    <w:p w14:paraId="5C88AF78" w14:textId="44A18A6F" w:rsidR="00BF3F90" w:rsidRPr="0035519F" w:rsidRDefault="00BF3F90" w:rsidP="00BF3F90">
      <w:pPr>
        <w:jc w:val="center"/>
        <w:rPr>
          <w:rFonts w:ascii="Arial" w:hAnsi="Arial" w:cs="Arial"/>
          <w:b/>
          <w:sz w:val="28"/>
          <w:szCs w:val="24"/>
        </w:rPr>
      </w:pPr>
      <w:r w:rsidRPr="0035519F">
        <w:rPr>
          <w:rFonts w:ascii="Arial" w:hAnsi="Arial" w:cs="Arial"/>
          <w:b/>
          <w:sz w:val="28"/>
          <w:szCs w:val="24"/>
        </w:rPr>
        <w:lastRenderedPageBreak/>
        <w:t>DAFTAR LAMPIRAN</w:t>
      </w:r>
    </w:p>
    <w:p w14:paraId="3FA3A785" w14:textId="4CBC9CE6" w:rsidR="005D5F8D" w:rsidRPr="0035519F" w:rsidRDefault="005D5F8D" w:rsidP="005D5F8D">
      <w:pPr>
        <w:pStyle w:val="TableofFigures"/>
        <w:tabs>
          <w:tab w:val="right" w:leader="dot" w:pos="8261"/>
        </w:tabs>
        <w:spacing w:line="480" w:lineRule="auto"/>
        <w:jc w:val="both"/>
        <w:rPr>
          <w:rFonts w:ascii="Arial" w:eastAsiaTheme="minorEastAsia" w:hAnsi="Arial" w:cs="Arial"/>
          <w:noProof/>
          <w:sz w:val="24"/>
          <w:szCs w:val="24"/>
        </w:rPr>
      </w:pPr>
      <w:r w:rsidRPr="0035519F">
        <w:rPr>
          <w:rFonts w:ascii="Arial" w:hAnsi="Arial" w:cs="Arial"/>
          <w:b/>
          <w:sz w:val="28"/>
          <w:szCs w:val="24"/>
        </w:rPr>
        <w:fldChar w:fldCharType="begin"/>
      </w:r>
      <w:r w:rsidRPr="0035519F">
        <w:rPr>
          <w:rFonts w:ascii="Arial" w:hAnsi="Arial" w:cs="Arial"/>
          <w:b/>
          <w:sz w:val="28"/>
          <w:szCs w:val="24"/>
        </w:rPr>
        <w:instrText xml:space="preserve"> TOC \h \z \c "Lampiran" </w:instrText>
      </w:r>
      <w:r w:rsidRPr="0035519F">
        <w:rPr>
          <w:rFonts w:ascii="Arial" w:hAnsi="Arial" w:cs="Arial"/>
          <w:b/>
          <w:sz w:val="28"/>
          <w:szCs w:val="24"/>
        </w:rPr>
        <w:fldChar w:fldCharType="separate"/>
      </w:r>
      <w:hyperlink w:anchor="_Toc111025457" w:history="1">
        <w:r w:rsidRPr="0035519F">
          <w:rPr>
            <w:rStyle w:val="Hyperlink"/>
            <w:rFonts w:ascii="Arial" w:hAnsi="Arial" w:cs="Arial"/>
            <w:noProof/>
            <w:color w:val="auto"/>
            <w:sz w:val="24"/>
            <w:szCs w:val="24"/>
          </w:rPr>
          <w:t>Lampiran 1. Persetujuan Etik Penelitian</w:t>
        </w:r>
        <w:r w:rsidRPr="0035519F">
          <w:rPr>
            <w:rFonts w:ascii="Arial" w:hAnsi="Arial" w:cs="Arial"/>
            <w:noProof/>
            <w:webHidden/>
            <w:sz w:val="24"/>
            <w:szCs w:val="24"/>
          </w:rPr>
          <w:tab/>
        </w:r>
        <w:r w:rsidRPr="0035519F">
          <w:rPr>
            <w:rFonts w:ascii="Arial" w:hAnsi="Arial" w:cs="Arial"/>
            <w:noProof/>
            <w:webHidden/>
            <w:sz w:val="24"/>
            <w:szCs w:val="24"/>
          </w:rPr>
          <w:fldChar w:fldCharType="begin"/>
        </w:r>
        <w:r w:rsidRPr="0035519F">
          <w:rPr>
            <w:rFonts w:ascii="Arial" w:hAnsi="Arial" w:cs="Arial"/>
            <w:noProof/>
            <w:webHidden/>
            <w:sz w:val="24"/>
            <w:szCs w:val="24"/>
          </w:rPr>
          <w:instrText xml:space="preserve"> PAGEREF _Toc111025457 \h </w:instrText>
        </w:r>
        <w:r w:rsidRPr="0035519F">
          <w:rPr>
            <w:rFonts w:ascii="Arial" w:hAnsi="Arial" w:cs="Arial"/>
            <w:noProof/>
            <w:webHidden/>
            <w:sz w:val="24"/>
            <w:szCs w:val="24"/>
          </w:rPr>
        </w:r>
        <w:r w:rsidRPr="0035519F">
          <w:rPr>
            <w:rFonts w:ascii="Arial" w:hAnsi="Arial" w:cs="Arial"/>
            <w:noProof/>
            <w:webHidden/>
            <w:sz w:val="24"/>
            <w:szCs w:val="24"/>
          </w:rPr>
          <w:fldChar w:fldCharType="separate"/>
        </w:r>
        <w:r w:rsidR="005B4074">
          <w:rPr>
            <w:rFonts w:ascii="Arial" w:hAnsi="Arial" w:cs="Arial"/>
            <w:noProof/>
            <w:webHidden/>
            <w:sz w:val="24"/>
            <w:szCs w:val="24"/>
          </w:rPr>
          <w:t>83</w:t>
        </w:r>
        <w:r w:rsidRPr="0035519F">
          <w:rPr>
            <w:rFonts w:ascii="Arial" w:hAnsi="Arial" w:cs="Arial"/>
            <w:noProof/>
            <w:webHidden/>
            <w:sz w:val="24"/>
            <w:szCs w:val="24"/>
          </w:rPr>
          <w:fldChar w:fldCharType="end"/>
        </w:r>
      </w:hyperlink>
    </w:p>
    <w:p w14:paraId="045E71A9" w14:textId="6815B503" w:rsidR="005D5F8D" w:rsidRPr="0035519F" w:rsidRDefault="00BD6E9E" w:rsidP="005D5F8D">
      <w:pPr>
        <w:pStyle w:val="TableofFigures"/>
        <w:tabs>
          <w:tab w:val="right" w:leader="dot" w:pos="8261"/>
        </w:tabs>
        <w:spacing w:line="240" w:lineRule="auto"/>
        <w:ind w:left="1350" w:hanging="1350"/>
        <w:jc w:val="both"/>
        <w:rPr>
          <w:rStyle w:val="Hyperlink"/>
          <w:rFonts w:ascii="Arial" w:hAnsi="Arial" w:cs="Arial"/>
          <w:noProof/>
          <w:color w:val="auto"/>
          <w:sz w:val="24"/>
          <w:szCs w:val="24"/>
        </w:rPr>
      </w:pPr>
      <w:hyperlink w:anchor="_Toc111025458" w:history="1">
        <w:r w:rsidR="005D5F8D" w:rsidRPr="0035519F">
          <w:rPr>
            <w:rStyle w:val="Hyperlink"/>
            <w:rFonts w:ascii="Arial" w:hAnsi="Arial" w:cs="Arial"/>
            <w:noProof/>
            <w:color w:val="auto"/>
            <w:sz w:val="24"/>
            <w:szCs w:val="24"/>
          </w:rPr>
          <w:t>Lampiran 2. Naskah Penjelasan untuk</w:t>
        </w:r>
        <w:r w:rsidR="005D5F8D" w:rsidRPr="0035519F">
          <w:rPr>
            <w:rStyle w:val="Hyperlink"/>
            <w:rFonts w:ascii="Arial" w:hAnsi="Arial" w:cs="Arial"/>
            <w:noProof/>
            <w:color w:val="auto"/>
            <w:spacing w:val="-19"/>
            <w:sz w:val="24"/>
            <w:szCs w:val="24"/>
          </w:rPr>
          <w:t xml:space="preserve"> </w:t>
        </w:r>
        <w:r w:rsidR="005D5F8D" w:rsidRPr="0035519F">
          <w:rPr>
            <w:rStyle w:val="Hyperlink"/>
            <w:rFonts w:ascii="Arial" w:hAnsi="Arial" w:cs="Arial"/>
            <w:noProof/>
            <w:color w:val="auto"/>
            <w:sz w:val="24"/>
            <w:szCs w:val="24"/>
          </w:rPr>
          <w:t>Mendapat</w:t>
        </w:r>
        <w:r w:rsidR="005D5F8D" w:rsidRPr="0035519F">
          <w:rPr>
            <w:rStyle w:val="Hyperlink"/>
            <w:rFonts w:ascii="Arial" w:hAnsi="Arial" w:cs="Arial"/>
            <w:noProof/>
            <w:color w:val="auto"/>
            <w:spacing w:val="49"/>
            <w:sz w:val="24"/>
            <w:szCs w:val="24"/>
          </w:rPr>
          <w:t xml:space="preserve"> </w:t>
        </w:r>
        <w:r w:rsidR="005D5F8D" w:rsidRPr="0035519F">
          <w:rPr>
            <w:rStyle w:val="Hyperlink"/>
            <w:rFonts w:ascii="Arial" w:hAnsi="Arial" w:cs="Arial"/>
            <w:noProof/>
            <w:color w:val="auto"/>
            <w:sz w:val="24"/>
            <w:szCs w:val="24"/>
          </w:rPr>
          <w:t xml:space="preserve">Persetujuan </w:t>
        </w:r>
        <w:r w:rsidR="005D5F8D" w:rsidRPr="0035519F">
          <w:rPr>
            <w:rFonts w:ascii="Arial" w:eastAsiaTheme="minorEastAsia" w:hAnsi="Arial" w:cs="Arial"/>
            <w:noProof/>
            <w:sz w:val="24"/>
            <w:szCs w:val="24"/>
          </w:rPr>
          <w:tab/>
        </w:r>
        <w:r w:rsidR="005D5F8D" w:rsidRPr="0035519F">
          <w:rPr>
            <w:rStyle w:val="Hyperlink"/>
            <w:rFonts w:ascii="Arial" w:hAnsi="Arial" w:cs="Arial"/>
            <w:noProof/>
            <w:color w:val="auto"/>
            <w:spacing w:val="-5"/>
            <w:sz w:val="24"/>
            <w:szCs w:val="24"/>
          </w:rPr>
          <w:t xml:space="preserve">dari </w:t>
        </w:r>
        <w:r w:rsidR="005D5F8D" w:rsidRPr="0035519F">
          <w:rPr>
            <w:rStyle w:val="Hyperlink"/>
            <w:rFonts w:ascii="Arial" w:hAnsi="Arial" w:cs="Arial"/>
            <w:noProof/>
            <w:color w:val="auto"/>
            <w:sz w:val="24"/>
            <w:szCs w:val="24"/>
          </w:rPr>
          <w:t>Subyek</w:t>
        </w:r>
        <w:r w:rsidR="005D5F8D" w:rsidRPr="0035519F">
          <w:rPr>
            <w:rStyle w:val="Hyperlink"/>
            <w:rFonts w:ascii="Arial" w:hAnsi="Arial" w:cs="Arial"/>
            <w:noProof/>
            <w:color w:val="auto"/>
            <w:spacing w:val="-2"/>
            <w:sz w:val="24"/>
            <w:szCs w:val="24"/>
          </w:rPr>
          <w:t xml:space="preserve"> </w:t>
        </w:r>
        <w:r w:rsidR="005D5F8D" w:rsidRPr="0035519F">
          <w:rPr>
            <w:rStyle w:val="Hyperlink"/>
            <w:rFonts w:ascii="Arial" w:hAnsi="Arial" w:cs="Arial"/>
            <w:noProof/>
            <w:color w:val="auto"/>
            <w:sz w:val="24"/>
            <w:szCs w:val="24"/>
          </w:rPr>
          <w:t>Penelitian</w:t>
        </w:r>
        <w:r w:rsidR="005D5F8D" w:rsidRPr="0035519F">
          <w:rPr>
            <w:rFonts w:ascii="Arial" w:hAnsi="Arial" w:cs="Arial"/>
            <w:noProof/>
            <w:webHidden/>
            <w:sz w:val="24"/>
            <w:szCs w:val="24"/>
          </w:rPr>
          <w:tab/>
        </w:r>
        <w:r w:rsidR="005D5F8D" w:rsidRPr="0035519F">
          <w:rPr>
            <w:rFonts w:ascii="Arial" w:hAnsi="Arial" w:cs="Arial"/>
            <w:noProof/>
            <w:webHidden/>
            <w:sz w:val="24"/>
            <w:szCs w:val="24"/>
          </w:rPr>
          <w:fldChar w:fldCharType="begin"/>
        </w:r>
        <w:r w:rsidR="005D5F8D" w:rsidRPr="0035519F">
          <w:rPr>
            <w:rFonts w:ascii="Arial" w:hAnsi="Arial" w:cs="Arial"/>
            <w:noProof/>
            <w:webHidden/>
            <w:sz w:val="24"/>
            <w:szCs w:val="24"/>
          </w:rPr>
          <w:instrText xml:space="preserve"> PAGEREF _Toc111025458 \h </w:instrText>
        </w:r>
        <w:r w:rsidR="005D5F8D" w:rsidRPr="0035519F">
          <w:rPr>
            <w:rFonts w:ascii="Arial" w:hAnsi="Arial" w:cs="Arial"/>
            <w:noProof/>
            <w:webHidden/>
            <w:sz w:val="24"/>
            <w:szCs w:val="24"/>
          </w:rPr>
        </w:r>
        <w:r w:rsidR="005D5F8D" w:rsidRPr="0035519F">
          <w:rPr>
            <w:rFonts w:ascii="Arial" w:hAnsi="Arial" w:cs="Arial"/>
            <w:noProof/>
            <w:webHidden/>
            <w:sz w:val="24"/>
            <w:szCs w:val="24"/>
          </w:rPr>
          <w:fldChar w:fldCharType="separate"/>
        </w:r>
        <w:r w:rsidR="005B4074">
          <w:rPr>
            <w:rFonts w:ascii="Arial" w:hAnsi="Arial" w:cs="Arial"/>
            <w:noProof/>
            <w:webHidden/>
            <w:sz w:val="24"/>
            <w:szCs w:val="24"/>
          </w:rPr>
          <w:t>84</w:t>
        </w:r>
        <w:r w:rsidR="005D5F8D" w:rsidRPr="0035519F">
          <w:rPr>
            <w:rFonts w:ascii="Arial" w:hAnsi="Arial" w:cs="Arial"/>
            <w:noProof/>
            <w:webHidden/>
            <w:sz w:val="24"/>
            <w:szCs w:val="24"/>
          </w:rPr>
          <w:fldChar w:fldCharType="end"/>
        </w:r>
      </w:hyperlink>
    </w:p>
    <w:p w14:paraId="195976E6" w14:textId="77777777" w:rsidR="005D5F8D" w:rsidRPr="0035519F" w:rsidRDefault="005D5F8D" w:rsidP="005D5F8D">
      <w:pPr>
        <w:rPr>
          <w:noProof/>
        </w:rPr>
      </w:pPr>
    </w:p>
    <w:p w14:paraId="363B19CA" w14:textId="35B69594" w:rsidR="005D5F8D" w:rsidRPr="0035519F" w:rsidRDefault="00BD6E9E" w:rsidP="005D5F8D">
      <w:pPr>
        <w:pStyle w:val="TableofFigures"/>
        <w:tabs>
          <w:tab w:val="right" w:leader="dot" w:pos="8261"/>
        </w:tabs>
        <w:spacing w:line="480" w:lineRule="auto"/>
        <w:jc w:val="both"/>
        <w:rPr>
          <w:rFonts w:ascii="Arial" w:eastAsiaTheme="minorEastAsia" w:hAnsi="Arial" w:cs="Arial"/>
          <w:noProof/>
          <w:sz w:val="24"/>
          <w:szCs w:val="24"/>
        </w:rPr>
      </w:pPr>
      <w:hyperlink w:anchor="_Toc111025459" w:history="1">
        <w:r w:rsidR="005D5F8D" w:rsidRPr="0035519F">
          <w:rPr>
            <w:rStyle w:val="Hyperlink"/>
            <w:rFonts w:ascii="Arial" w:hAnsi="Arial" w:cs="Arial"/>
            <w:noProof/>
            <w:color w:val="auto"/>
            <w:sz w:val="24"/>
            <w:szCs w:val="24"/>
          </w:rPr>
          <w:t xml:space="preserve">Lampiran 3. Formulir </w:t>
        </w:r>
        <w:r w:rsidR="005D5F8D" w:rsidRPr="0035519F">
          <w:rPr>
            <w:rStyle w:val="Hyperlink"/>
            <w:rFonts w:ascii="Arial" w:hAnsi="Arial" w:cs="Arial"/>
            <w:i/>
            <w:noProof/>
            <w:color w:val="auto"/>
            <w:sz w:val="24"/>
            <w:szCs w:val="24"/>
          </w:rPr>
          <w:t>Informed Consent</w:t>
        </w:r>
        <w:r w:rsidR="005D5F8D" w:rsidRPr="0035519F">
          <w:rPr>
            <w:rFonts w:ascii="Arial" w:hAnsi="Arial" w:cs="Arial"/>
            <w:noProof/>
            <w:webHidden/>
            <w:sz w:val="24"/>
            <w:szCs w:val="24"/>
          </w:rPr>
          <w:tab/>
        </w:r>
        <w:r w:rsidR="005D5F8D" w:rsidRPr="0035519F">
          <w:rPr>
            <w:rFonts w:ascii="Arial" w:hAnsi="Arial" w:cs="Arial"/>
            <w:noProof/>
            <w:webHidden/>
            <w:sz w:val="24"/>
            <w:szCs w:val="24"/>
          </w:rPr>
          <w:fldChar w:fldCharType="begin"/>
        </w:r>
        <w:r w:rsidR="005D5F8D" w:rsidRPr="0035519F">
          <w:rPr>
            <w:rFonts w:ascii="Arial" w:hAnsi="Arial" w:cs="Arial"/>
            <w:noProof/>
            <w:webHidden/>
            <w:sz w:val="24"/>
            <w:szCs w:val="24"/>
          </w:rPr>
          <w:instrText xml:space="preserve"> PAGEREF _Toc111025459 \h </w:instrText>
        </w:r>
        <w:r w:rsidR="005D5F8D" w:rsidRPr="0035519F">
          <w:rPr>
            <w:rFonts w:ascii="Arial" w:hAnsi="Arial" w:cs="Arial"/>
            <w:noProof/>
            <w:webHidden/>
            <w:sz w:val="24"/>
            <w:szCs w:val="24"/>
          </w:rPr>
        </w:r>
        <w:r w:rsidR="005D5F8D" w:rsidRPr="0035519F">
          <w:rPr>
            <w:rFonts w:ascii="Arial" w:hAnsi="Arial" w:cs="Arial"/>
            <w:noProof/>
            <w:webHidden/>
            <w:sz w:val="24"/>
            <w:szCs w:val="24"/>
          </w:rPr>
          <w:fldChar w:fldCharType="separate"/>
        </w:r>
        <w:r w:rsidR="005B4074">
          <w:rPr>
            <w:rFonts w:ascii="Arial" w:hAnsi="Arial" w:cs="Arial"/>
            <w:noProof/>
            <w:webHidden/>
            <w:sz w:val="24"/>
            <w:szCs w:val="24"/>
          </w:rPr>
          <w:t>86</w:t>
        </w:r>
        <w:r w:rsidR="005D5F8D" w:rsidRPr="0035519F">
          <w:rPr>
            <w:rFonts w:ascii="Arial" w:hAnsi="Arial" w:cs="Arial"/>
            <w:noProof/>
            <w:webHidden/>
            <w:sz w:val="24"/>
            <w:szCs w:val="24"/>
          </w:rPr>
          <w:fldChar w:fldCharType="end"/>
        </w:r>
      </w:hyperlink>
    </w:p>
    <w:p w14:paraId="14593978" w14:textId="4BFBE2B9" w:rsidR="005D5F8D" w:rsidRPr="0035519F" w:rsidRDefault="00BD6E9E" w:rsidP="005D5F8D">
      <w:pPr>
        <w:pStyle w:val="TableofFigures"/>
        <w:tabs>
          <w:tab w:val="right" w:leader="dot" w:pos="8261"/>
        </w:tabs>
        <w:spacing w:line="480" w:lineRule="auto"/>
        <w:jc w:val="both"/>
        <w:rPr>
          <w:rFonts w:ascii="Arial" w:eastAsiaTheme="minorEastAsia" w:hAnsi="Arial" w:cs="Arial"/>
          <w:noProof/>
          <w:sz w:val="24"/>
          <w:szCs w:val="24"/>
        </w:rPr>
      </w:pPr>
      <w:hyperlink w:anchor="_Toc111025460" w:history="1">
        <w:r w:rsidR="005D5F8D" w:rsidRPr="0035519F">
          <w:rPr>
            <w:rStyle w:val="Hyperlink"/>
            <w:rFonts w:ascii="Arial" w:hAnsi="Arial" w:cs="Arial"/>
            <w:noProof/>
            <w:color w:val="auto"/>
            <w:sz w:val="24"/>
            <w:szCs w:val="24"/>
          </w:rPr>
          <w:t>Lampiran 4. Data Penelitian</w:t>
        </w:r>
        <w:r w:rsidR="005D5F8D" w:rsidRPr="0035519F">
          <w:rPr>
            <w:rFonts w:ascii="Arial" w:hAnsi="Arial" w:cs="Arial"/>
            <w:noProof/>
            <w:webHidden/>
            <w:sz w:val="24"/>
            <w:szCs w:val="24"/>
          </w:rPr>
          <w:tab/>
        </w:r>
        <w:r w:rsidR="005D5F8D" w:rsidRPr="0035519F">
          <w:rPr>
            <w:rFonts w:ascii="Arial" w:hAnsi="Arial" w:cs="Arial"/>
            <w:noProof/>
            <w:webHidden/>
            <w:sz w:val="24"/>
            <w:szCs w:val="24"/>
          </w:rPr>
          <w:fldChar w:fldCharType="begin"/>
        </w:r>
        <w:r w:rsidR="005D5F8D" w:rsidRPr="0035519F">
          <w:rPr>
            <w:rFonts w:ascii="Arial" w:hAnsi="Arial" w:cs="Arial"/>
            <w:noProof/>
            <w:webHidden/>
            <w:sz w:val="24"/>
            <w:szCs w:val="24"/>
          </w:rPr>
          <w:instrText xml:space="preserve"> PAGEREF _Toc111025460 \h </w:instrText>
        </w:r>
        <w:r w:rsidR="005D5F8D" w:rsidRPr="0035519F">
          <w:rPr>
            <w:rFonts w:ascii="Arial" w:hAnsi="Arial" w:cs="Arial"/>
            <w:noProof/>
            <w:webHidden/>
            <w:sz w:val="24"/>
            <w:szCs w:val="24"/>
          </w:rPr>
        </w:r>
        <w:r w:rsidR="005D5F8D" w:rsidRPr="0035519F">
          <w:rPr>
            <w:rFonts w:ascii="Arial" w:hAnsi="Arial" w:cs="Arial"/>
            <w:noProof/>
            <w:webHidden/>
            <w:sz w:val="24"/>
            <w:szCs w:val="24"/>
          </w:rPr>
          <w:fldChar w:fldCharType="separate"/>
        </w:r>
        <w:r w:rsidR="005B4074">
          <w:rPr>
            <w:rFonts w:ascii="Arial" w:hAnsi="Arial" w:cs="Arial"/>
            <w:noProof/>
            <w:webHidden/>
            <w:sz w:val="24"/>
            <w:szCs w:val="24"/>
          </w:rPr>
          <w:t>87</w:t>
        </w:r>
        <w:r w:rsidR="005D5F8D" w:rsidRPr="0035519F">
          <w:rPr>
            <w:rFonts w:ascii="Arial" w:hAnsi="Arial" w:cs="Arial"/>
            <w:noProof/>
            <w:webHidden/>
            <w:sz w:val="24"/>
            <w:szCs w:val="24"/>
          </w:rPr>
          <w:fldChar w:fldCharType="end"/>
        </w:r>
      </w:hyperlink>
    </w:p>
    <w:p w14:paraId="3DFE7754" w14:textId="3C956783" w:rsidR="005D5F8D" w:rsidRPr="0035519F" w:rsidRDefault="00BD6E9E" w:rsidP="005D5F8D">
      <w:pPr>
        <w:pStyle w:val="TableofFigures"/>
        <w:tabs>
          <w:tab w:val="right" w:leader="dot" w:pos="8261"/>
        </w:tabs>
        <w:spacing w:line="480" w:lineRule="auto"/>
        <w:jc w:val="both"/>
        <w:rPr>
          <w:rFonts w:ascii="Arial" w:eastAsiaTheme="minorEastAsia" w:hAnsi="Arial" w:cs="Arial"/>
          <w:b/>
          <w:noProof/>
          <w:sz w:val="24"/>
          <w:szCs w:val="24"/>
        </w:rPr>
      </w:pPr>
      <w:hyperlink w:anchor="_Toc111025461" w:history="1">
        <w:r w:rsidR="005D5F8D" w:rsidRPr="0035519F">
          <w:rPr>
            <w:rStyle w:val="Hyperlink"/>
            <w:rFonts w:ascii="Arial" w:hAnsi="Arial" w:cs="Arial"/>
            <w:noProof/>
            <w:color w:val="auto"/>
            <w:sz w:val="24"/>
            <w:szCs w:val="24"/>
          </w:rPr>
          <w:t xml:space="preserve">Lampiran 5. </w:t>
        </w:r>
        <w:r w:rsidR="005D5F8D" w:rsidRPr="0035519F">
          <w:rPr>
            <w:rStyle w:val="Hyperlink"/>
            <w:rFonts w:ascii="Arial" w:hAnsi="Arial" w:cs="Arial"/>
            <w:i/>
            <w:noProof/>
            <w:color w:val="auto"/>
            <w:sz w:val="24"/>
            <w:szCs w:val="24"/>
          </w:rPr>
          <w:t>Curriculum Vitae</w:t>
        </w:r>
        <w:r w:rsidR="005D5F8D" w:rsidRPr="0035519F">
          <w:rPr>
            <w:rFonts w:ascii="Arial" w:hAnsi="Arial" w:cs="Arial"/>
            <w:noProof/>
            <w:webHidden/>
            <w:sz w:val="24"/>
            <w:szCs w:val="24"/>
          </w:rPr>
          <w:tab/>
        </w:r>
        <w:r w:rsidR="005D5F8D" w:rsidRPr="0035519F">
          <w:rPr>
            <w:rFonts w:ascii="Arial" w:hAnsi="Arial" w:cs="Arial"/>
            <w:noProof/>
            <w:webHidden/>
            <w:sz w:val="24"/>
            <w:szCs w:val="24"/>
          </w:rPr>
          <w:fldChar w:fldCharType="begin"/>
        </w:r>
        <w:r w:rsidR="005D5F8D" w:rsidRPr="0035519F">
          <w:rPr>
            <w:rFonts w:ascii="Arial" w:hAnsi="Arial" w:cs="Arial"/>
            <w:noProof/>
            <w:webHidden/>
            <w:sz w:val="24"/>
            <w:szCs w:val="24"/>
          </w:rPr>
          <w:instrText xml:space="preserve"> PAGEREF _Toc111025461 \h </w:instrText>
        </w:r>
        <w:r w:rsidR="005D5F8D" w:rsidRPr="0035519F">
          <w:rPr>
            <w:rFonts w:ascii="Arial" w:hAnsi="Arial" w:cs="Arial"/>
            <w:noProof/>
            <w:webHidden/>
            <w:sz w:val="24"/>
            <w:szCs w:val="24"/>
          </w:rPr>
        </w:r>
        <w:r w:rsidR="005D5F8D" w:rsidRPr="0035519F">
          <w:rPr>
            <w:rFonts w:ascii="Arial" w:hAnsi="Arial" w:cs="Arial"/>
            <w:noProof/>
            <w:webHidden/>
            <w:sz w:val="24"/>
            <w:szCs w:val="24"/>
          </w:rPr>
          <w:fldChar w:fldCharType="separate"/>
        </w:r>
        <w:r w:rsidR="005B4074">
          <w:rPr>
            <w:rFonts w:ascii="Arial" w:hAnsi="Arial" w:cs="Arial"/>
            <w:noProof/>
            <w:webHidden/>
            <w:sz w:val="24"/>
            <w:szCs w:val="24"/>
          </w:rPr>
          <w:t>90</w:t>
        </w:r>
        <w:r w:rsidR="005D5F8D" w:rsidRPr="0035519F">
          <w:rPr>
            <w:rFonts w:ascii="Arial" w:hAnsi="Arial" w:cs="Arial"/>
            <w:noProof/>
            <w:webHidden/>
            <w:sz w:val="24"/>
            <w:szCs w:val="24"/>
          </w:rPr>
          <w:fldChar w:fldCharType="end"/>
        </w:r>
      </w:hyperlink>
    </w:p>
    <w:p w14:paraId="04489001" w14:textId="0F1514EB" w:rsidR="005D5F8D" w:rsidRPr="0035519F" w:rsidRDefault="005D5F8D" w:rsidP="00BF3F90">
      <w:pPr>
        <w:jc w:val="center"/>
        <w:rPr>
          <w:rFonts w:ascii="Arial" w:hAnsi="Arial" w:cs="Arial"/>
          <w:b/>
          <w:sz w:val="28"/>
          <w:szCs w:val="24"/>
        </w:rPr>
      </w:pPr>
      <w:r w:rsidRPr="0035519F">
        <w:rPr>
          <w:rFonts w:ascii="Arial" w:hAnsi="Arial" w:cs="Arial"/>
          <w:b/>
          <w:sz w:val="28"/>
          <w:szCs w:val="24"/>
        </w:rPr>
        <w:fldChar w:fldCharType="end"/>
      </w:r>
    </w:p>
    <w:p w14:paraId="2E4C4BFA" w14:textId="0A33248B" w:rsidR="00BF3F90" w:rsidRPr="0035519F" w:rsidRDefault="00BF3F90" w:rsidP="00BF3F90">
      <w:pPr>
        <w:jc w:val="center"/>
        <w:rPr>
          <w:rFonts w:ascii="Arial" w:hAnsi="Arial" w:cs="Arial"/>
          <w:b/>
          <w:sz w:val="28"/>
          <w:szCs w:val="24"/>
        </w:rPr>
      </w:pPr>
    </w:p>
    <w:p w14:paraId="670DA39D" w14:textId="37418429" w:rsidR="00BF3F90" w:rsidRPr="0035519F" w:rsidRDefault="00BF3F90" w:rsidP="00BF3F90">
      <w:pPr>
        <w:jc w:val="center"/>
        <w:rPr>
          <w:rFonts w:ascii="Arial" w:hAnsi="Arial" w:cs="Arial"/>
          <w:b/>
          <w:sz w:val="28"/>
          <w:szCs w:val="24"/>
        </w:rPr>
      </w:pPr>
    </w:p>
    <w:p w14:paraId="6777F1FB" w14:textId="2C5A15DB" w:rsidR="00BF3F90" w:rsidRPr="0035519F" w:rsidRDefault="00BF3F90" w:rsidP="00BF3F90">
      <w:pPr>
        <w:jc w:val="center"/>
        <w:rPr>
          <w:rFonts w:ascii="Arial" w:hAnsi="Arial" w:cs="Arial"/>
          <w:b/>
          <w:sz w:val="28"/>
          <w:szCs w:val="24"/>
        </w:rPr>
      </w:pPr>
    </w:p>
    <w:p w14:paraId="17054AE7" w14:textId="59630AC7" w:rsidR="00BF3F90" w:rsidRPr="0035519F" w:rsidRDefault="00BF3F90" w:rsidP="00BF3F90">
      <w:pPr>
        <w:jc w:val="center"/>
        <w:rPr>
          <w:rFonts w:ascii="Arial" w:hAnsi="Arial" w:cs="Arial"/>
          <w:b/>
          <w:sz w:val="28"/>
          <w:szCs w:val="24"/>
        </w:rPr>
      </w:pPr>
    </w:p>
    <w:p w14:paraId="47A14DAF" w14:textId="289FFE09" w:rsidR="00BF3F90" w:rsidRPr="0035519F" w:rsidRDefault="00BF3F90" w:rsidP="00BF3F90">
      <w:pPr>
        <w:jc w:val="center"/>
        <w:rPr>
          <w:rFonts w:ascii="Arial" w:hAnsi="Arial" w:cs="Arial"/>
          <w:b/>
          <w:sz w:val="28"/>
          <w:szCs w:val="24"/>
        </w:rPr>
      </w:pPr>
    </w:p>
    <w:p w14:paraId="1CE15BF7" w14:textId="3FF0E727" w:rsidR="00BF3F90" w:rsidRPr="0035519F" w:rsidRDefault="00BF3F90" w:rsidP="00BF3F90">
      <w:pPr>
        <w:jc w:val="center"/>
        <w:rPr>
          <w:rFonts w:ascii="Arial" w:hAnsi="Arial" w:cs="Arial"/>
          <w:b/>
          <w:sz w:val="28"/>
          <w:szCs w:val="24"/>
        </w:rPr>
      </w:pPr>
    </w:p>
    <w:p w14:paraId="17E0AC12" w14:textId="2C3131C8" w:rsidR="00BF3F90" w:rsidRPr="0035519F" w:rsidRDefault="00BF3F90" w:rsidP="00BF3F90">
      <w:pPr>
        <w:jc w:val="center"/>
        <w:rPr>
          <w:rFonts w:ascii="Arial" w:hAnsi="Arial" w:cs="Arial"/>
          <w:b/>
          <w:sz w:val="28"/>
          <w:szCs w:val="24"/>
        </w:rPr>
      </w:pPr>
    </w:p>
    <w:p w14:paraId="764F9FF1" w14:textId="0BD6D97C" w:rsidR="00BF3F90" w:rsidRPr="0035519F" w:rsidRDefault="00BF3F90" w:rsidP="00BF3F90">
      <w:pPr>
        <w:jc w:val="center"/>
        <w:rPr>
          <w:rFonts w:ascii="Arial" w:hAnsi="Arial" w:cs="Arial"/>
          <w:b/>
          <w:sz w:val="28"/>
          <w:szCs w:val="24"/>
        </w:rPr>
      </w:pPr>
    </w:p>
    <w:p w14:paraId="4C62113C" w14:textId="1E46BFDA" w:rsidR="00BF3F90" w:rsidRPr="0035519F" w:rsidRDefault="00BF3F90" w:rsidP="00BF3F90">
      <w:pPr>
        <w:jc w:val="center"/>
        <w:rPr>
          <w:rFonts w:ascii="Arial" w:hAnsi="Arial" w:cs="Arial"/>
          <w:b/>
          <w:sz w:val="28"/>
          <w:szCs w:val="24"/>
        </w:rPr>
      </w:pPr>
    </w:p>
    <w:p w14:paraId="1B3AC891" w14:textId="100B47DC" w:rsidR="00BF3F90" w:rsidRPr="0035519F" w:rsidRDefault="00BF3F90" w:rsidP="00BF3F90">
      <w:pPr>
        <w:jc w:val="center"/>
        <w:rPr>
          <w:rFonts w:ascii="Arial" w:hAnsi="Arial" w:cs="Arial"/>
          <w:b/>
          <w:sz w:val="28"/>
          <w:szCs w:val="24"/>
        </w:rPr>
      </w:pPr>
    </w:p>
    <w:p w14:paraId="1BD0804A" w14:textId="4844EBF7" w:rsidR="00BF3F90" w:rsidRPr="0035519F" w:rsidRDefault="00BF3F90" w:rsidP="00BF3F90">
      <w:pPr>
        <w:jc w:val="center"/>
        <w:rPr>
          <w:rFonts w:ascii="Arial" w:hAnsi="Arial" w:cs="Arial"/>
          <w:b/>
          <w:sz w:val="28"/>
          <w:szCs w:val="24"/>
        </w:rPr>
      </w:pPr>
    </w:p>
    <w:p w14:paraId="171D42B7" w14:textId="11191BB0" w:rsidR="00BF3F90" w:rsidRPr="0035519F" w:rsidRDefault="00BF3F90" w:rsidP="00BF3F90">
      <w:pPr>
        <w:jc w:val="center"/>
        <w:rPr>
          <w:rFonts w:ascii="Arial" w:hAnsi="Arial" w:cs="Arial"/>
          <w:b/>
          <w:sz w:val="28"/>
          <w:szCs w:val="24"/>
        </w:rPr>
      </w:pPr>
    </w:p>
    <w:p w14:paraId="0B47DE39" w14:textId="442F8DBE" w:rsidR="00BF3F90" w:rsidRPr="0035519F" w:rsidRDefault="00BF3F90" w:rsidP="00BF3F90">
      <w:pPr>
        <w:jc w:val="center"/>
        <w:rPr>
          <w:rFonts w:ascii="Arial" w:hAnsi="Arial" w:cs="Arial"/>
          <w:b/>
          <w:sz w:val="28"/>
          <w:szCs w:val="24"/>
        </w:rPr>
      </w:pPr>
    </w:p>
    <w:p w14:paraId="6F5D95C0" w14:textId="4D6714B8" w:rsidR="00BF3F90" w:rsidRPr="0035519F" w:rsidRDefault="00BF3F90" w:rsidP="00BF3F90">
      <w:pPr>
        <w:jc w:val="center"/>
        <w:rPr>
          <w:rFonts w:ascii="Arial" w:hAnsi="Arial" w:cs="Arial"/>
          <w:b/>
          <w:sz w:val="28"/>
          <w:szCs w:val="24"/>
        </w:rPr>
      </w:pPr>
    </w:p>
    <w:p w14:paraId="0692ABF7" w14:textId="43164D5E" w:rsidR="00BF3F90" w:rsidRPr="0035519F" w:rsidRDefault="00BF3F90" w:rsidP="00BF3F90">
      <w:pPr>
        <w:jc w:val="center"/>
        <w:rPr>
          <w:rFonts w:ascii="Arial" w:hAnsi="Arial" w:cs="Arial"/>
          <w:b/>
          <w:sz w:val="28"/>
          <w:szCs w:val="24"/>
        </w:rPr>
      </w:pPr>
    </w:p>
    <w:p w14:paraId="209629DE" w14:textId="77777777" w:rsidR="007757AB" w:rsidRPr="0035519F" w:rsidRDefault="007757AB" w:rsidP="00891FA6">
      <w:pPr>
        <w:pStyle w:val="Heading1"/>
        <w:rPr>
          <w:rFonts w:cs="Arial"/>
          <w:b w:val="0"/>
          <w:color w:val="auto"/>
          <w:sz w:val="28"/>
          <w:szCs w:val="28"/>
        </w:rPr>
      </w:pPr>
      <w:bookmarkStart w:id="8" w:name="_Toc111022746"/>
      <w:r w:rsidRPr="0035519F">
        <w:rPr>
          <w:rFonts w:cs="Arial"/>
          <w:color w:val="auto"/>
          <w:sz w:val="28"/>
          <w:szCs w:val="28"/>
        </w:rPr>
        <w:lastRenderedPageBreak/>
        <w:t>DAFTAR SINGKATAN</w:t>
      </w:r>
      <w:bookmarkEnd w:id="8"/>
    </w:p>
    <w:p w14:paraId="3BD0E4C4" w14:textId="77777777" w:rsidR="007757AB" w:rsidRPr="0035519F" w:rsidRDefault="007757AB" w:rsidP="007757AB"/>
    <w:tbl>
      <w:tblPr>
        <w:tblW w:w="8780" w:type="dxa"/>
        <w:tblLook w:val="04A0" w:firstRow="1" w:lastRow="0" w:firstColumn="1" w:lastColumn="0" w:noHBand="0" w:noVBand="1"/>
      </w:tblPr>
      <w:tblGrid>
        <w:gridCol w:w="2940"/>
        <w:gridCol w:w="5840"/>
      </w:tblGrid>
      <w:tr w:rsidR="00117F69" w:rsidRPr="0035519F" w14:paraId="3FCA81E8" w14:textId="77777777" w:rsidTr="007757AB">
        <w:trPr>
          <w:trHeight w:val="315"/>
        </w:trPr>
        <w:tc>
          <w:tcPr>
            <w:tcW w:w="2940" w:type="dxa"/>
            <w:tcBorders>
              <w:top w:val="nil"/>
              <w:left w:val="nil"/>
              <w:bottom w:val="nil"/>
              <w:right w:val="nil"/>
            </w:tcBorders>
            <w:shd w:val="clear" w:color="auto" w:fill="auto"/>
            <w:noWrap/>
            <w:vAlign w:val="bottom"/>
            <w:hideMark/>
          </w:tcPr>
          <w:p w14:paraId="57E5191B"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ATP</w:t>
            </w:r>
          </w:p>
        </w:tc>
        <w:tc>
          <w:tcPr>
            <w:tcW w:w="5840" w:type="dxa"/>
            <w:tcBorders>
              <w:top w:val="nil"/>
              <w:left w:val="nil"/>
              <w:bottom w:val="nil"/>
              <w:right w:val="nil"/>
            </w:tcBorders>
            <w:shd w:val="clear" w:color="auto" w:fill="auto"/>
            <w:noWrap/>
            <w:vAlign w:val="bottom"/>
            <w:hideMark/>
          </w:tcPr>
          <w:p w14:paraId="0B00FBDA"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Adenosine triphosphate </w:t>
            </w:r>
          </w:p>
        </w:tc>
      </w:tr>
      <w:tr w:rsidR="00117F69" w:rsidRPr="0035519F" w14:paraId="22C73021" w14:textId="77777777" w:rsidTr="007757AB">
        <w:trPr>
          <w:trHeight w:val="315"/>
        </w:trPr>
        <w:tc>
          <w:tcPr>
            <w:tcW w:w="2940" w:type="dxa"/>
            <w:tcBorders>
              <w:top w:val="nil"/>
              <w:left w:val="nil"/>
              <w:bottom w:val="nil"/>
              <w:right w:val="nil"/>
            </w:tcBorders>
            <w:shd w:val="clear" w:color="auto" w:fill="auto"/>
            <w:noWrap/>
            <w:vAlign w:val="bottom"/>
            <w:hideMark/>
          </w:tcPr>
          <w:p w14:paraId="56E68576" w14:textId="77777777" w:rsidR="007757AB" w:rsidRPr="0035519F" w:rsidRDefault="00884E02"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Ag</w:t>
            </w:r>
            <w:r w:rsidR="007757AB" w:rsidRPr="0035519F">
              <w:rPr>
                <w:rFonts w:ascii="Arial" w:eastAsia="Times New Roman" w:hAnsi="Arial" w:cs="Arial"/>
                <w:sz w:val="24"/>
                <w:szCs w:val="24"/>
              </w:rPr>
              <w:t>P</w:t>
            </w:r>
            <w:r w:rsidRPr="0035519F">
              <w:rPr>
                <w:rFonts w:ascii="Arial" w:eastAsia="Times New Roman" w:hAnsi="Arial" w:cs="Arial"/>
                <w:sz w:val="24"/>
                <w:szCs w:val="24"/>
              </w:rPr>
              <w:t>Y</w:t>
            </w:r>
          </w:p>
        </w:tc>
        <w:tc>
          <w:tcPr>
            <w:tcW w:w="5840" w:type="dxa"/>
            <w:tcBorders>
              <w:top w:val="nil"/>
              <w:left w:val="nil"/>
              <w:bottom w:val="nil"/>
              <w:right w:val="nil"/>
            </w:tcBorders>
            <w:shd w:val="clear" w:color="auto" w:fill="auto"/>
            <w:noWrap/>
            <w:vAlign w:val="bottom"/>
            <w:hideMark/>
          </w:tcPr>
          <w:p w14:paraId="649AD416" w14:textId="77777777" w:rsidR="007757AB" w:rsidRPr="0035519F" w:rsidRDefault="00884E02"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Agouli-related protein Y</w:t>
            </w:r>
          </w:p>
        </w:tc>
      </w:tr>
      <w:tr w:rsidR="00117F69" w:rsidRPr="0035519F" w14:paraId="2858C5CB" w14:textId="77777777" w:rsidTr="007757AB">
        <w:trPr>
          <w:trHeight w:val="315"/>
        </w:trPr>
        <w:tc>
          <w:tcPr>
            <w:tcW w:w="2940" w:type="dxa"/>
            <w:tcBorders>
              <w:top w:val="nil"/>
              <w:left w:val="nil"/>
              <w:bottom w:val="nil"/>
              <w:right w:val="nil"/>
            </w:tcBorders>
            <w:shd w:val="clear" w:color="auto" w:fill="auto"/>
            <w:noWrap/>
            <w:vAlign w:val="bottom"/>
            <w:hideMark/>
          </w:tcPr>
          <w:p w14:paraId="4E8E1730" w14:textId="77777777" w:rsidR="007757AB" w:rsidRPr="0035519F" w:rsidRDefault="007757AB" w:rsidP="00884E02">
            <w:pPr>
              <w:spacing w:after="0" w:line="240" w:lineRule="auto"/>
              <w:rPr>
                <w:rFonts w:ascii="Arial" w:eastAsia="Times New Roman" w:hAnsi="Arial" w:cs="Arial"/>
                <w:sz w:val="24"/>
                <w:szCs w:val="24"/>
              </w:rPr>
            </w:pPr>
            <w:r w:rsidRPr="0035519F">
              <w:rPr>
                <w:rFonts w:ascii="Arial" w:eastAsia="Times New Roman" w:hAnsi="Arial" w:cs="Arial"/>
                <w:sz w:val="24"/>
                <w:szCs w:val="24"/>
              </w:rPr>
              <w:t>A</w:t>
            </w:r>
            <w:r w:rsidR="00884E02" w:rsidRPr="0035519F">
              <w:rPr>
                <w:rFonts w:ascii="Arial" w:eastAsia="Times New Roman" w:hAnsi="Arial" w:cs="Arial"/>
                <w:sz w:val="24"/>
                <w:szCs w:val="24"/>
              </w:rPr>
              <w:t>S160</w:t>
            </w:r>
          </w:p>
        </w:tc>
        <w:tc>
          <w:tcPr>
            <w:tcW w:w="5840" w:type="dxa"/>
            <w:tcBorders>
              <w:top w:val="nil"/>
              <w:left w:val="nil"/>
              <w:bottom w:val="nil"/>
              <w:right w:val="nil"/>
            </w:tcBorders>
            <w:shd w:val="clear" w:color="auto" w:fill="auto"/>
            <w:noWrap/>
            <w:vAlign w:val="bottom"/>
            <w:hideMark/>
          </w:tcPr>
          <w:p w14:paraId="3C1C64EE" w14:textId="77777777" w:rsidR="007757AB" w:rsidRPr="0035519F" w:rsidRDefault="00702F24" w:rsidP="00702F24">
            <w:pPr>
              <w:spacing w:after="0" w:line="240" w:lineRule="auto"/>
              <w:rPr>
                <w:rFonts w:ascii="Arial" w:eastAsia="Times New Roman" w:hAnsi="Arial" w:cs="Arial"/>
                <w:i/>
                <w:iCs/>
                <w:sz w:val="24"/>
                <w:szCs w:val="24"/>
              </w:rPr>
            </w:pPr>
            <w:r w:rsidRPr="0035519F">
              <w:rPr>
                <w:rFonts w:ascii="Arial" w:hAnsi="Arial" w:cs="Arial"/>
                <w:sz w:val="24"/>
                <w:szCs w:val="24"/>
              </w:rPr>
              <w:t>AKT kinease substrate 160 kDa</w:t>
            </w:r>
          </w:p>
        </w:tc>
      </w:tr>
      <w:tr w:rsidR="00117F69" w:rsidRPr="0035519F" w14:paraId="3DBB3B2C" w14:textId="77777777" w:rsidTr="007757AB">
        <w:trPr>
          <w:trHeight w:val="315"/>
        </w:trPr>
        <w:tc>
          <w:tcPr>
            <w:tcW w:w="2940" w:type="dxa"/>
            <w:tcBorders>
              <w:top w:val="nil"/>
              <w:left w:val="nil"/>
              <w:bottom w:val="nil"/>
              <w:right w:val="nil"/>
            </w:tcBorders>
            <w:shd w:val="clear" w:color="auto" w:fill="auto"/>
            <w:noWrap/>
            <w:vAlign w:val="bottom"/>
            <w:hideMark/>
          </w:tcPr>
          <w:p w14:paraId="70A8D396"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BAT</w:t>
            </w:r>
          </w:p>
        </w:tc>
        <w:tc>
          <w:tcPr>
            <w:tcW w:w="5840" w:type="dxa"/>
            <w:tcBorders>
              <w:top w:val="nil"/>
              <w:left w:val="nil"/>
              <w:bottom w:val="nil"/>
              <w:right w:val="nil"/>
            </w:tcBorders>
            <w:shd w:val="clear" w:color="auto" w:fill="auto"/>
            <w:noWrap/>
            <w:vAlign w:val="bottom"/>
            <w:hideMark/>
          </w:tcPr>
          <w:p w14:paraId="17CA0F57"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Brown adipose tissue</w:t>
            </w:r>
          </w:p>
        </w:tc>
      </w:tr>
      <w:tr w:rsidR="00117F69" w:rsidRPr="0035519F" w14:paraId="4DD2F205" w14:textId="77777777" w:rsidTr="007757AB">
        <w:trPr>
          <w:trHeight w:val="315"/>
        </w:trPr>
        <w:tc>
          <w:tcPr>
            <w:tcW w:w="2940" w:type="dxa"/>
            <w:tcBorders>
              <w:top w:val="nil"/>
              <w:left w:val="nil"/>
              <w:bottom w:val="nil"/>
              <w:right w:val="nil"/>
            </w:tcBorders>
            <w:shd w:val="clear" w:color="auto" w:fill="auto"/>
            <w:noWrap/>
            <w:vAlign w:val="bottom"/>
            <w:hideMark/>
          </w:tcPr>
          <w:p w14:paraId="52D9D429" w14:textId="77777777" w:rsidR="007757AB" w:rsidRPr="0035519F" w:rsidRDefault="00450B72" w:rsidP="00702F24">
            <w:pPr>
              <w:spacing w:after="0" w:line="240" w:lineRule="auto"/>
              <w:rPr>
                <w:rFonts w:ascii="Arial" w:eastAsia="Times New Roman" w:hAnsi="Arial" w:cs="Arial"/>
                <w:sz w:val="24"/>
                <w:szCs w:val="24"/>
              </w:rPr>
            </w:pPr>
            <w:r w:rsidRPr="0035519F">
              <w:rPr>
                <w:rFonts w:ascii="Arial" w:eastAsia="Times New Roman" w:hAnsi="Arial" w:cs="Arial"/>
                <w:sz w:val="24"/>
                <w:szCs w:val="24"/>
              </w:rPr>
              <w:t>IMT</w:t>
            </w:r>
            <w:r w:rsidR="00702F24" w:rsidRPr="0035519F">
              <w:rPr>
                <w:rFonts w:ascii="Arial" w:eastAsia="Times New Roman" w:hAnsi="Arial" w:cs="Arial"/>
                <w:sz w:val="24"/>
                <w:szCs w:val="24"/>
              </w:rPr>
              <w:t xml:space="preserve"> </w:t>
            </w:r>
          </w:p>
        </w:tc>
        <w:tc>
          <w:tcPr>
            <w:tcW w:w="5840" w:type="dxa"/>
            <w:tcBorders>
              <w:top w:val="nil"/>
              <w:left w:val="nil"/>
              <w:bottom w:val="nil"/>
              <w:right w:val="nil"/>
            </w:tcBorders>
            <w:shd w:val="clear" w:color="auto" w:fill="auto"/>
            <w:noWrap/>
            <w:vAlign w:val="bottom"/>
            <w:hideMark/>
          </w:tcPr>
          <w:p w14:paraId="09AD062F" w14:textId="77777777" w:rsidR="007757AB" w:rsidRPr="0035519F" w:rsidRDefault="00702F24" w:rsidP="00702F24">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Body Mass Index </w:t>
            </w:r>
          </w:p>
        </w:tc>
      </w:tr>
      <w:tr w:rsidR="00117F69" w:rsidRPr="0035519F" w14:paraId="2913E128" w14:textId="77777777" w:rsidTr="007757AB">
        <w:trPr>
          <w:trHeight w:val="315"/>
        </w:trPr>
        <w:tc>
          <w:tcPr>
            <w:tcW w:w="2940" w:type="dxa"/>
            <w:tcBorders>
              <w:top w:val="nil"/>
              <w:left w:val="nil"/>
              <w:bottom w:val="nil"/>
              <w:right w:val="nil"/>
            </w:tcBorders>
            <w:shd w:val="clear" w:color="auto" w:fill="auto"/>
            <w:noWrap/>
            <w:vAlign w:val="bottom"/>
            <w:hideMark/>
          </w:tcPr>
          <w:p w14:paraId="309B8574" w14:textId="77777777" w:rsidR="007757AB" w:rsidRPr="0035519F" w:rsidRDefault="00702F24"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BP</w:t>
            </w:r>
          </w:p>
        </w:tc>
        <w:tc>
          <w:tcPr>
            <w:tcW w:w="5840" w:type="dxa"/>
            <w:tcBorders>
              <w:top w:val="nil"/>
              <w:left w:val="nil"/>
              <w:bottom w:val="nil"/>
              <w:right w:val="nil"/>
            </w:tcBorders>
            <w:shd w:val="clear" w:color="auto" w:fill="auto"/>
            <w:noWrap/>
            <w:vAlign w:val="bottom"/>
            <w:hideMark/>
          </w:tcPr>
          <w:p w14:paraId="595B9299" w14:textId="77777777" w:rsidR="007757AB" w:rsidRPr="0035519F" w:rsidRDefault="00702F24"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Blood Pressure</w:t>
            </w:r>
          </w:p>
        </w:tc>
      </w:tr>
      <w:tr w:rsidR="00117F69" w:rsidRPr="0035519F" w14:paraId="7FCA7D5D" w14:textId="77777777" w:rsidTr="007757AB">
        <w:trPr>
          <w:trHeight w:val="315"/>
        </w:trPr>
        <w:tc>
          <w:tcPr>
            <w:tcW w:w="2940" w:type="dxa"/>
            <w:tcBorders>
              <w:top w:val="nil"/>
              <w:left w:val="nil"/>
              <w:bottom w:val="nil"/>
              <w:right w:val="nil"/>
            </w:tcBorders>
            <w:shd w:val="clear" w:color="auto" w:fill="auto"/>
            <w:noWrap/>
            <w:vAlign w:val="bottom"/>
            <w:hideMark/>
          </w:tcPr>
          <w:p w14:paraId="7AB192BF"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C peptide</w:t>
            </w:r>
          </w:p>
        </w:tc>
        <w:tc>
          <w:tcPr>
            <w:tcW w:w="5840" w:type="dxa"/>
            <w:tcBorders>
              <w:top w:val="nil"/>
              <w:left w:val="nil"/>
              <w:bottom w:val="nil"/>
              <w:right w:val="nil"/>
            </w:tcBorders>
            <w:shd w:val="clear" w:color="auto" w:fill="auto"/>
            <w:noWrap/>
            <w:vAlign w:val="bottom"/>
            <w:hideMark/>
          </w:tcPr>
          <w:p w14:paraId="095793B7"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Connecting peptide </w:t>
            </w:r>
          </w:p>
        </w:tc>
      </w:tr>
      <w:tr w:rsidR="00117F69" w:rsidRPr="0035519F" w14:paraId="205DEC2D" w14:textId="77777777" w:rsidTr="007757AB">
        <w:trPr>
          <w:trHeight w:val="315"/>
        </w:trPr>
        <w:tc>
          <w:tcPr>
            <w:tcW w:w="2940" w:type="dxa"/>
            <w:tcBorders>
              <w:top w:val="nil"/>
              <w:left w:val="nil"/>
              <w:bottom w:val="nil"/>
              <w:right w:val="nil"/>
            </w:tcBorders>
            <w:shd w:val="clear" w:color="auto" w:fill="auto"/>
            <w:noWrap/>
            <w:vAlign w:val="bottom"/>
            <w:hideMark/>
          </w:tcPr>
          <w:p w14:paraId="1638473B" w14:textId="77777777" w:rsidR="007757AB" w:rsidRPr="0035519F" w:rsidRDefault="00702F24"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CVD</w:t>
            </w:r>
          </w:p>
        </w:tc>
        <w:tc>
          <w:tcPr>
            <w:tcW w:w="5840" w:type="dxa"/>
            <w:tcBorders>
              <w:top w:val="nil"/>
              <w:left w:val="nil"/>
              <w:bottom w:val="nil"/>
              <w:right w:val="nil"/>
            </w:tcBorders>
            <w:shd w:val="clear" w:color="auto" w:fill="auto"/>
            <w:noWrap/>
            <w:vAlign w:val="bottom"/>
            <w:hideMark/>
          </w:tcPr>
          <w:p w14:paraId="08117263" w14:textId="77777777" w:rsidR="007757AB" w:rsidRPr="0035519F" w:rsidRDefault="00702F24"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Cardiovascluar Disease</w:t>
            </w:r>
            <w:r w:rsidR="007757AB" w:rsidRPr="0035519F">
              <w:rPr>
                <w:rFonts w:ascii="Arial" w:eastAsia="Times New Roman" w:hAnsi="Arial" w:cs="Arial"/>
                <w:i/>
                <w:iCs/>
                <w:sz w:val="24"/>
                <w:szCs w:val="24"/>
              </w:rPr>
              <w:t xml:space="preserve"> </w:t>
            </w:r>
          </w:p>
        </w:tc>
      </w:tr>
      <w:tr w:rsidR="00117F69" w:rsidRPr="0035519F" w14:paraId="106BE124" w14:textId="77777777" w:rsidTr="007757AB">
        <w:trPr>
          <w:trHeight w:val="315"/>
        </w:trPr>
        <w:tc>
          <w:tcPr>
            <w:tcW w:w="2940" w:type="dxa"/>
            <w:tcBorders>
              <w:top w:val="nil"/>
              <w:left w:val="nil"/>
              <w:bottom w:val="nil"/>
              <w:right w:val="nil"/>
            </w:tcBorders>
            <w:shd w:val="clear" w:color="auto" w:fill="auto"/>
            <w:noWrap/>
            <w:vAlign w:val="bottom"/>
            <w:hideMark/>
          </w:tcPr>
          <w:p w14:paraId="4E3A3444"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DEXA</w:t>
            </w:r>
          </w:p>
        </w:tc>
        <w:tc>
          <w:tcPr>
            <w:tcW w:w="5840" w:type="dxa"/>
            <w:tcBorders>
              <w:top w:val="nil"/>
              <w:left w:val="nil"/>
              <w:bottom w:val="nil"/>
              <w:right w:val="nil"/>
            </w:tcBorders>
            <w:shd w:val="clear" w:color="auto" w:fill="auto"/>
            <w:noWrap/>
            <w:vAlign w:val="bottom"/>
            <w:hideMark/>
          </w:tcPr>
          <w:p w14:paraId="29F3FE34"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Dual-</w:t>
            </w:r>
            <w:r w:rsidR="00A83F25" w:rsidRPr="0035519F">
              <w:rPr>
                <w:rFonts w:ascii="Arial" w:eastAsia="Times New Roman" w:hAnsi="Arial" w:cs="Arial"/>
                <w:i/>
                <w:iCs/>
                <w:sz w:val="24"/>
                <w:szCs w:val="24"/>
              </w:rPr>
              <w:t>Energi</w:t>
            </w:r>
            <w:r w:rsidRPr="0035519F">
              <w:rPr>
                <w:rFonts w:ascii="Arial" w:eastAsia="Times New Roman" w:hAnsi="Arial" w:cs="Arial"/>
                <w:i/>
                <w:iCs/>
                <w:sz w:val="24"/>
                <w:szCs w:val="24"/>
              </w:rPr>
              <w:t xml:space="preserve"> X-Ray Absorptiometry </w:t>
            </w:r>
          </w:p>
        </w:tc>
      </w:tr>
      <w:tr w:rsidR="00117F69" w:rsidRPr="0035519F" w14:paraId="0DA3CF4D" w14:textId="77777777" w:rsidTr="007757AB">
        <w:trPr>
          <w:trHeight w:val="315"/>
        </w:trPr>
        <w:tc>
          <w:tcPr>
            <w:tcW w:w="2940" w:type="dxa"/>
            <w:tcBorders>
              <w:top w:val="nil"/>
              <w:left w:val="nil"/>
              <w:bottom w:val="nil"/>
              <w:right w:val="nil"/>
            </w:tcBorders>
            <w:shd w:val="clear" w:color="auto" w:fill="auto"/>
            <w:noWrap/>
            <w:vAlign w:val="bottom"/>
            <w:hideMark/>
          </w:tcPr>
          <w:p w14:paraId="15A8EA29"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DM</w:t>
            </w:r>
          </w:p>
        </w:tc>
        <w:tc>
          <w:tcPr>
            <w:tcW w:w="5840" w:type="dxa"/>
            <w:tcBorders>
              <w:top w:val="nil"/>
              <w:left w:val="nil"/>
              <w:bottom w:val="nil"/>
              <w:right w:val="nil"/>
            </w:tcBorders>
            <w:shd w:val="clear" w:color="auto" w:fill="auto"/>
            <w:noWrap/>
            <w:vAlign w:val="bottom"/>
            <w:hideMark/>
          </w:tcPr>
          <w:p w14:paraId="0C2BF6B2"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Diabetes Melitus </w:t>
            </w:r>
          </w:p>
        </w:tc>
      </w:tr>
      <w:tr w:rsidR="00117F69" w:rsidRPr="0035519F" w14:paraId="61DBD0BC" w14:textId="77777777" w:rsidTr="007757AB">
        <w:trPr>
          <w:trHeight w:val="315"/>
        </w:trPr>
        <w:tc>
          <w:tcPr>
            <w:tcW w:w="2940" w:type="dxa"/>
            <w:tcBorders>
              <w:top w:val="nil"/>
              <w:left w:val="nil"/>
              <w:bottom w:val="nil"/>
              <w:right w:val="nil"/>
            </w:tcBorders>
            <w:shd w:val="clear" w:color="auto" w:fill="auto"/>
            <w:noWrap/>
            <w:vAlign w:val="bottom"/>
            <w:hideMark/>
          </w:tcPr>
          <w:p w14:paraId="60547F22"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GLUT-4</w:t>
            </w:r>
          </w:p>
        </w:tc>
        <w:tc>
          <w:tcPr>
            <w:tcW w:w="5840" w:type="dxa"/>
            <w:tcBorders>
              <w:top w:val="nil"/>
              <w:left w:val="nil"/>
              <w:bottom w:val="nil"/>
              <w:right w:val="nil"/>
            </w:tcBorders>
            <w:shd w:val="clear" w:color="auto" w:fill="auto"/>
            <w:noWrap/>
            <w:vAlign w:val="bottom"/>
            <w:hideMark/>
          </w:tcPr>
          <w:p w14:paraId="249E241A"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Glucose Transorter-4 </w:t>
            </w:r>
          </w:p>
        </w:tc>
      </w:tr>
      <w:tr w:rsidR="00117F69" w:rsidRPr="0035519F" w14:paraId="1D91BD22" w14:textId="77777777" w:rsidTr="007757AB">
        <w:trPr>
          <w:trHeight w:val="315"/>
        </w:trPr>
        <w:tc>
          <w:tcPr>
            <w:tcW w:w="2940" w:type="dxa"/>
            <w:tcBorders>
              <w:top w:val="nil"/>
              <w:left w:val="nil"/>
              <w:bottom w:val="nil"/>
              <w:right w:val="nil"/>
            </w:tcBorders>
            <w:shd w:val="clear" w:color="auto" w:fill="auto"/>
            <w:noWrap/>
            <w:vAlign w:val="bottom"/>
          </w:tcPr>
          <w:p w14:paraId="48E3AD97"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GH</w:t>
            </w:r>
          </w:p>
        </w:tc>
        <w:tc>
          <w:tcPr>
            <w:tcW w:w="5840" w:type="dxa"/>
            <w:tcBorders>
              <w:top w:val="nil"/>
              <w:left w:val="nil"/>
              <w:bottom w:val="nil"/>
              <w:right w:val="nil"/>
            </w:tcBorders>
            <w:shd w:val="clear" w:color="auto" w:fill="auto"/>
            <w:noWrap/>
            <w:vAlign w:val="bottom"/>
          </w:tcPr>
          <w:p w14:paraId="618745E8" w14:textId="77777777" w:rsidR="006F4AE7" w:rsidRPr="0035519F" w:rsidRDefault="006F4AE7"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Growth Hormone</w:t>
            </w:r>
          </w:p>
        </w:tc>
      </w:tr>
      <w:tr w:rsidR="00117F69" w:rsidRPr="0035519F" w14:paraId="6E21751F" w14:textId="77777777" w:rsidTr="007757AB">
        <w:trPr>
          <w:trHeight w:val="315"/>
        </w:trPr>
        <w:tc>
          <w:tcPr>
            <w:tcW w:w="2940" w:type="dxa"/>
            <w:tcBorders>
              <w:top w:val="nil"/>
              <w:left w:val="nil"/>
              <w:bottom w:val="nil"/>
              <w:right w:val="nil"/>
            </w:tcBorders>
            <w:shd w:val="clear" w:color="auto" w:fill="auto"/>
            <w:noWrap/>
            <w:vAlign w:val="bottom"/>
          </w:tcPr>
          <w:p w14:paraId="7B1191BF"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GLP-1</w:t>
            </w:r>
          </w:p>
        </w:tc>
        <w:tc>
          <w:tcPr>
            <w:tcW w:w="5840" w:type="dxa"/>
            <w:tcBorders>
              <w:top w:val="nil"/>
              <w:left w:val="nil"/>
              <w:bottom w:val="nil"/>
              <w:right w:val="nil"/>
            </w:tcBorders>
            <w:shd w:val="clear" w:color="auto" w:fill="auto"/>
            <w:noWrap/>
            <w:vAlign w:val="bottom"/>
          </w:tcPr>
          <w:p w14:paraId="6C1148C4" w14:textId="77777777" w:rsidR="006F4AE7" w:rsidRPr="0035519F" w:rsidRDefault="006F4AE7"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Glucagon like peptide-1</w:t>
            </w:r>
          </w:p>
        </w:tc>
      </w:tr>
      <w:tr w:rsidR="00117F69" w:rsidRPr="0035519F" w14:paraId="72E2F8EA" w14:textId="77777777" w:rsidTr="007757AB">
        <w:trPr>
          <w:trHeight w:val="315"/>
        </w:trPr>
        <w:tc>
          <w:tcPr>
            <w:tcW w:w="2940" w:type="dxa"/>
            <w:tcBorders>
              <w:top w:val="nil"/>
              <w:left w:val="nil"/>
              <w:bottom w:val="nil"/>
              <w:right w:val="nil"/>
            </w:tcBorders>
            <w:shd w:val="clear" w:color="auto" w:fill="auto"/>
            <w:noWrap/>
            <w:vAlign w:val="bottom"/>
            <w:hideMark/>
          </w:tcPr>
          <w:p w14:paraId="14971216"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HDL</w:t>
            </w:r>
          </w:p>
        </w:tc>
        <w:tc>
          <w:tcPr>
            <w:tcW w:w="5840" w:type="dxa"/>
            <w:tcBorders>
              <w:top w:val="nil"/>
              <w:left w:val="nil"/>
              <w:bottom w:val="nil"/>
              <w:right w:val="nil"/>
            </w:tcBorders>
            <w:shd w:val="clear" w:color="auto" w:fill="auto"/>
            <w:noWrap/>
            <w:vAlign w:val="bottom"/>
            <w:hideMark/>
          </w:tcPr>
          <w:p w14:paraId="029D9828"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High density lipoprotein </w:t>
            </w:r>
          </w:p>
        </w:tc>
      </w:tr>
      <w:tr w:rsidR="00117F69" w:rsidRPr="0035519F" w14:paraId="66D82E49" w14:textId="77777777" w:rsidTr="007757AB">
        <w:trPr>
          <w:trHeight w:val="315"/>
        </w:trPr>
        <w:tc>
          <w:tcPr>
            <w:tcW w:w="2940" w:type="dxa"/>
            <w:tcBorders>
              <w:top w:val="nil"/>
              <w:left w:val="nil"/>
              <w:bottom w:val="nil"/>
              <w:right w:val="nil"/>
            </w:tcBorders>
            <w:shd w:val="clear" w:color="auto" w:fill="auto"/>
            <w:noWrap/>
            <w:vAlign w:val="bottom"/>
            <w:hideMark/>
          </w:tcPr>
          <w:p w14:paraId="087426AB"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HOMA-IR</w:t>
            </w:r>
          </w:p>
        </w:tc>
        <w:tc>
          <w:tcPr>
            <w:tcW w:w="5840" w:type="dxa"/>
            <w:tcBorders>
              <w:top w:val="nil"/>
              <w:left w:val="nil"/>
              <w:bottom w:val="nil"/>
              <w:right w:val="nil"/>
            </w:tcBorders>
            <w:shd w:val="clear" w:color="auto" w:fill="auto"/>
            <w:noWrap/>
            <w:vAlign w:val="bottom"/>
            <w:hideMark/>
          </w:tcPr>
          <w:p w14:paraId="6AFC29B0"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Homeostasis Model Assessment - Insulin Resistance</w:t>
            </w:r>
          </w:p>
        </w:tc>
      </w:tr>
      <w:tr w:rsidR="00117F69" w:rsidRPr="0035519F" w14:paraId="69B7FB3D" w14:textId="77777777" w:rsidTr="007757AB">
        <w:trPr>
          <w:trHeight w:val="315"/>
        </w:trPr>
        <w:tc>
          <w:tcPr>
            <w:tcW w:w="2940" w:type="dxa"/>
            <w:tcBorders>
              <w:top w:val="nil"/>
              <w:left w:val="nil"/>
              <w:bottom w:val="nil"/>
              <w:right w:val="nil"/>
            </w:tcBorders>
            <w:shd w:val="clear" w:color="auto" w:fill="auto"/>
            <w:noWrap/>
            <w:vAlign w:val="bottom"/>
          </w:tcPr>
          <w:p w14:paraId="0E748F59"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HEC</w:t>
            </w:r>
          </w:p>
        </w:tc>
        <w:tc>
          <w:tcPr>
            <w:tcW w:w="5840" w:type="dxa"/>
            <w:tcBorders>
              <w:top w:val="nil"/>
              <w:left w:val="nil"/>
              <w:bottom w:val="nil"/>
              <w:right w:val="nil"/>
            </w:tcBorders>
            <w:shd w:val="clear" w:color="auto" w:fill="auto"/>
            <w:noWrap/>
            <w:vAlign w:val="bottom"/>
          </w:tcPr>
          <w:p w14:paraId="28AC013B" w14:textId="77777777" w:rsidR="006F4AE7" w:rsidRPr="0035519F" w:rsidRDefault="006F4AE7" w:rsidP="007757AB">
            <w:pPr>
              <w:spacing w:after="0" w:line="240" w:lineRule="auto"/>
              <w:rPr>
                <w:rFonts w:ascii="Arial" w:eastAsia="Times New Roman" w:hAnsi="Arial" w:cs="Arial"/>
                <w:i/>
                <w:iCs/>
                <w:sz w:val="24"/>
                <w:szCs w:val="24"/>
              </w:rPr>
            </w:pPr>
            <w:r w:rsidRPr="0035519F">
              <w:rPr>
                <w:rFonts w:ascii="Arial" w:hAnsi="Arial" w:cs="Arial"/>
                <w:i/>
                <w:sz w:val="24"/>
                <w:szCs w:val="24"/>
              </w:rPr>
              <w:t>Hyperinsulinemic Euglycemic Clamp</w:t>
            </w:r>
          </w:p>
        </w:tc>
      </w:tr>
      <w:tr w:rsidR="00117F69" w:rsidRPr="0035519F" w14:paraId="77E69F76" w14:textId="77777777" w:rsidTr="007757AB">
        <w:trPr>
          <w:trHeight w:val="315"/>
        </w:trPr>
        <w:tc>
          <w:tcPr>
            <w:tcW w:w="2940" w:type="dxa"/>
            <w:tcBorders>
              <w:top w:val="nil"/>
              <w:left w:val="nil"/>
              <w:bottom w:val="nil"/>
              <w:right w:val="nil"/>
            </w:tcBorders>
            <w:shd w:val="clear" w:color="auto" w:fill="auto"/>
            <w:noWrap/>
            <w:vAlign w:val="bottom"/>
          </w:tcPr>
          <w:p w14:paraId="522E45F3"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HPA</w:t>
            </w:r>
          </w:p>
        </w:tc>
        <w:tc>
          <w:tcPr>
            <w:tcW w:w="5840" w:type="dxa"/>
            <w:tcBorders>
              <w:top w:val="nil"/>
              <w:left w:val="nil"/>
              <w:bottom w:val="nil"/>
              <w:right w:val="nil"/>
            </w:tcBorders>
            <w:shd w:val="clear" w:color="auto" w:fill="auto"/>
            <w:noWrap/>
            <w:vAlign w:val="bottom"/>
          </w:tcPr>
          <w:p w14:paraId="543E5F9B" w14:textId="77777777" w:rsidR="006F4AE7" w:rsidRPr="0035519F" w:rsidRDefault="006F4AE7" w:rsidP="007757AB">
            <w:pPr>
              <w:spacing w:after="0" w:line="240" w:lineRule="auto"/>
              <w:rPr>
                <w:rFonts w:ascii="Arial" w:hAnsi="Arial" w:cs="Arial"/>
                <w:i/>
                <w:sz w:val="24"/>
                <w:szCs w:val="24"/>
              </w:rPr>
            </w:pPr>
            <w:r w:rsidRPr="0035519F">
              <w:rPr>
                <w:rFonts w:ascii="Arial" w:hAnsi="Arial" w:cs="Arial"/>
                <w:i/>
                <w:sz w:val="26"/>
              </w:rPr>
              <w:t>Hipotalamic</w:t>
            </w:r>
            <w:r w:rsidR="00CD4A6D" w:rsidRPr="0035519F">
              <w:rPr>
                <w:rFonts w:ascii="Arial" w:hAnsi="Arial" w:cs="Arial"/>
                <w:i/>
                <w:sz w:val="26"/>
              </w:rPr>
              <w:t>-Pituitari-A</w:t>
            </w:r>
            <w:r w:rsidRPr="0035519F">
              <w:rPr>
                <w:rFonts w:ascii="Arial" w:hAnsi="Arial" w:cs="Arial"/>
                <w:i/>
                <w:sz w:val="26"/>
              </w:rPr>
              <w:t>drenal</w:t>
            </w:r>
          </w:p>
        </w:tc>
      </w:tr>
      <w:tr w:rsidR="00117F69" w:rsidRPr="0035519F" w14:paraId="1E2F85B9" w14:textId="77777777" w:rsidTr="007757AB">
        <w:trPr>
          <w:trHeight w:val="315"/>
        </w:trPr>
        <w:tc>
          <w:tcPr>
            <w:tcW w:w="2940" w:type="dxa"/>
            <w:tcBorders>
              <w:top w:val="nil"/>
              <w:left w:val="nil"/>
              <w:bottom w:val="nil"/>
              <w:right w:val="nil"/>
            </w:tcBorders>
            <w:shd w:val="clear" w:color="auto" w:fill="auto"/>
            <w:noWrap/>
            <w:vAlign w:val="bottom"/>
            <w:hideMark/>
          </w:tcPr>
          <w:p w14:paraId="6580701F" w14:textId="77777777" w:rsidR="007757AB" w:rsidRPr="0035519F" w:rsidRDefault="007757AB"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IDF</w:t>
            </w:r>
          </w:p>
        </w:tc>
        <w:tc>
          <w:tcPr>
            <w:tcW w:w="5840" w:type="dxa"/>
            <w:tcBorders>
              <w:top w:val="nil"/>
              <w:left w:val="nil"/>
              <w:bottom w:val="nil"/>
              <w:right w:val="nil"/>
            </w:tcBorders>
            <w:shd w:val="clear" w:color="auto" w:fill="auto"/>
            <w:noWrap/>
            <w:vAlign w:val="bottom"/>
            <w:hideMark/>
          </w:tcPr>
          <w:p w14:paraId="0B5A31A7" w14:textId="77777777" w:rsidR="007757AB" w:rsidRPr="0035519F" w:rsidRDefault="007757AB"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International Diabetes Federation </w:t>
            </w:r>
          </w:p>
        </w:tc>
      </w:tr>
      <w:tr w:rsidR="00117F69" w:rsidRPr="0035519F" w14:paraId="6F84D378" w14:textId="77777777" w:rsidTr="007757AB">
        <w:trPr>
          <w:trHeight w:val="315"/>
        </w:trPr>
        <w:tc>
          <w:tcPr>
            <w:tcW w:w="2940" w:type="dxa"/>
            <w:tcBorders>
              <w:top w:val="nil"/>
              <w:left w:val="nil"/>
              <w:bottom w:val="nil"/>
              <w:right w:val="nil"/>
            </w:tcBorders>
            <w:shd w:val="clear" w:color="auto" w:fill="auto"/>
            <w:noWrap/>
            <w:vAlign w:val="bottom"/>
          </w:tcPr>
          <w:p w14:paraId="2029CA93"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hAnsi="Arial" w:cs="Arial"/>
                <w:sz w:val="24"/>
                <w:szCs w:val="24"/>
              </w:rPr>
              <w:t>IFNƔ</w:t>
            </w:r>
          </w:p>
        </w:tc>
        <w:tc>
          <w:tcPr>
            <w:tcW w:w="5840" w:type="dxa"/>
            <w:tcBorders>
              <w:top w:val="nil"/>
              <w:left w:val="nil"/>
              <w:bottom w:val="nil"/>
              <w:right w:val="nil"/>
            </w:tcBorders>
            <w:shd w:val="clear" w:color="auto" w:fill="auto"/>
            <w:noWrap/>
            <w:vAlign w:val="bottom"/>
          </w:tcPr>
          <w:p w14:paraId="7E4D1E00" w14:textId="77777777" w:rsidR="006F4AE7" w:rsidRPr="0035519F" w:rsidRDefault="006F4AE7"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Interferon Gamma</w:t>
            </w:r>
          </w:p>
        </w:tc>
      </w:tr>
      <w:tr w:rsidR="00117F69" w:rsidRPr="0035519F" w14:paraId="3A3D51B0" w14:textId="77777777" w:rsidTr="007757AB">
        <w:trPr>
          <w:trHeight w:val="315"/>
        </w:trPr>
        <w:tc>
          <w:tcPr>
            <w:tcW w:w="2940" w:type="dxa"/>
            <w:tcBorders>
              <w:top w:val="nil"/>
              <w:left w:val="nil"/>
              <w:bottom w:val="nil"/>
              <w:right w:val="nil"/>
            </w:tcBorders>
            <w:shd w:val="clear" w:color="auto" w:fill="auto"/>
            <w:noWrap/>
            <w:vAlign w:val="bottom"/>
          </w:tcPr>
          <w:p w14:paraId="55B18AF8" w14:textId="77777777" w:rsidR="006F4AE7" w:rsidRPr="0035519F" w:rsidRDefault="006F4AE7" w:rsidP="007757AB">
            <w:pPr>
              <w:spacing w:after="0" w:line="240" w:lineRule="auto"/>
              <w:rPr>
                <w:rFonts w:ascii="Arial" w:eastAsia="Times New Roman" w:hAnsi="Arial" w:cs="Arial"/>
                <w:sz w:val="24"/>
                <w:szCs w:val="24"/>
              </w:rPr>
            </w:pPr>
            <w:r w:rsidRPr="0035519F">
              <w:rPr>
                <w:rFonts w:ascii="Arial" w:eastAsia="Times New Roman" w:hAnsi="Arial" w:cs="Arial"/>
                <w:sz w:val="24"/>
                <w:szCs w:val="24"/>
              </w:rPr>
              <w:t>IGF-1</w:t>
            </w:r>
          </w:p>
        </w:tc>
        <w:tc>
          <w:tcPr>
            <w:tcW w:w="5840" w:type="dxa"/>
            <w:tcBorders>
              <w:top w:val="nil"/>
              <w:left w:val="nil"/>
              <w:bottom w:val="nil"/>
              <w:right w:val="nil"/>
            </w:tcBorders>
            <w:shd w:val="clear" w:color="auto" w:fill="auto"/>
            <w:noWrap/>
            <w:vAlign w:val="bottom"/>
          </w:tcPr>
          <w:p w14:paraId="172D26FC" w14:textId="77777777" w:rsidR="006F4AE7" w:rsidRPr="0035519F" w:rsidRDefault="006F4AE7" w:rsidP="007757AB">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Insulin-like Growth Factor-1</w:t>
            </w:r>
          </w:p>
        </w:tc>
      </w:tr>
      <w:tr w:rsidR="00117F69" w:rsidRPr="0035519F" w14:paraId="309F36FC" w14:textId="77777777" w:rsidTr="007757AB">
        <w:trPr>
          <w:trHeight w:val="315"/>
        </w:trPr>
        <w:tc>
          <w:tcPr>
            <w:tcW w:w="2940" w:type="dxa"/>
            <w:tcBorders>
              <w:top w:val="nil"/>
              <w:left w:val="nil"/>
              <w:bottom w:val="nil"/>
              <w:right w:val="nil"/>
            </w:tcBorders>
            <w:shd w:val="clear" w:color="auto" w:fill="auto"/>
            <w:noWrap/>
            <w:vAlign w:val="bottom"/>
          </w:tcPr>
          <w:p w14:paraId="5D7392FE"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IGFBP</w:t>
            </w:r>
          </w:p>
        </w:tc>
        <w:tc>
          <w:tcPr>
            <w:tcW w:w="5840" w:type="dxa"/>
            <w:tcBorders>
              <w:top w:val="nil"/>
              <w:left w:val="nil"/>
              <w:bottom w:val="nil"/>
              <w:right w:val="nil"/>
            </w:tcBorders>
            <w:shd w:val="clear" w:color="auto" w:fill="auto"/>
            <w:noWrap/>
            <w:vAlign w:val="bottom"/>
          </w:tcPr>
          <w:p w14:paraId="35DB141C"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Insulin-like Growth Factor Binding Protein</w:t>
            </w:r>
          </w:p>
        </w:tc>
      </w:tr>
      <w:tr w:rsidR="00117F69" w:rsidRPr="0035519F" w14:paraId="08B47FF0" w14:textId="77777777" w:rsidTr="007757AB">
        <w:trPr>
          <w:trHeight w:val="315"/>
        </w:trPr>
        <w:tc>
          <w:tcPr>
            <w:tcW w:w="2940" w:type="dxa"/>
            <w:tcBorders>
              <w:top w:val="nil"/>
              <w:left w:val="nil"/>
              <w:bottom w:val="nil"/>
              <w:right w:val="nil"/>
            </w:tcBorders>
            <w:shd w:val="clear" w:color="auto" w:fill="auto"/>
            <w:noWrap/>
            <w:vAlign w:val="bottom"/>
          </w:tcPr>
          <w:p w14:paraId="670D3FF4" w14:textId="77777777" w:rsidR="00CD4A6D" w:rsidRPr="0035519F" w:rsidRDefault="00CD4A6D"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IKK</w:t>
            </w:r>
          </w:p>
        </w:tc>
        <w:tc>
          <w:tcPr>
            <w:tcW w:w="5840" w:type="dxa"/>
            <w:tcBorders>
              <w:top w:val="nil"/>
              <w:left w:val="nil"/>
              <w:bottom w:val="nil"/>
              <w:right w:val="nil"/>
            </w:tcBorders>
            <w:shd w:val="clear" w:color="auto" w:fill="auto"/>
            <w:noWrap/>
            <w:vAlign w:val="bottom"/>
          </w:tcPr>
          <w:p w14:paraId="025B6EC0" w14:textId="77777777" w:rsidR="00CD4A6D" w:rsidRPr="0035519F" w:rsidRDefault="00CD4A6D" w:rsidP="006F4AE7">
            <w:pPr>
              <w:spacing w:after="0" w:line="240" w:lineRule="auto"/>
              <w:rPr>
                <w:rFonts w:ascii="Arial" w:eastAsia="Times New Roman" w:hAnsi="Arial" w:cs="Arial"/>
                <w:i/>
                <w:iCs/>
                <w:sz w:val="24"/>
                <w:szCs w:val="24"/>
              </w:rPr>
            </w:pPr>
            <w:r w:rsidRPr="0035519F">
              <w:rPr>
                <w:rFonts w:ascii="Arial" w:hAnsi="Arial" w:cs="Arial"/>
                <w:i/>
                <w:sz w:val="24"/>
                <w:szCs w:val="24"/>
              </w:rPr>
              <w:t>IkB kinase</w:t>
            </w:r>
          </w:p>
        </w:tc>
      </w:tr>
      <w:tr w:rsidR="00117F69" w:rsidRPr="0035519F" w14:paraId="4052B146" w14:textId="77777777" w:rsidTr="007757AB">
        <w:trPr>
          <w:trHeight w:val="315"/>
        </w:trPr>
        <w:tc>
          <w:tcPr>
            <w:tcW w:w="2940" w:type="dxa"/>
            <w:tcBorders>
              <w:top w:val="nil"/>
              <w:left w:val="nil"/>
              <w:bottom w:val="nil"/>
              <w:right w:val="nil"/>
            </w:tcBorders>
            <w:shd w:val="clear" w:color="auto" w:fill="auto"/>
            <w:noWrap/>
            <w:vAlign w:val="bottom"/>
          </w:tcPr>
          <w:p w14:paraId="0F9CD8E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IL-1</w:t>
            </w:r>
          </w:p>
        </w:tc>
        <w:tc>
          <w:tcPr>
            <w:tcW w:w="5840" w:type="dxa"/>
            <w:tcBorders>
              <w:top w:val="nil"/>
              <w:left w:val="nil"/>
              <w:bottom w:val="nil"/>
              <w:right w:val="nil"/>
            </w:tcBorders>
            <w:shd w:val="clear" w:color="auto" w:fill="auto"/>
            <w:noWrap/>
            <w:vAlign w:val="bottom"/>
          </w:tcPr>
          <w:p w14:paraId="0F3A0807"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Interleukin-1 </w:t>
            </w:r>
          </w:p>
        </w:tc>
      </w:tr>
      <w:tr w:rsidR="00117F69" w:rsidRPr="0035519F" w14:paraId="3A7CACCE" w14:textId="77777777" w:rsidTr="007757AB">
        <w:trPr>
          <w:trHeight w:val="315"/>
        </w:trPr>
        <w:tc>
          <w:tcPr>
            <w:tcW w:w="2940" w:type="dxa"/>
            <w:tcBorders>
              <w:top w:val="nil"/>
              <w:left w:val="nil"/>
              <w:bottom w:val="nil"/>
              <w:right w:val="nil"/>
            </w:tcBorders>
            <w:shd w:val="clear" w:color="auto" w:fill="auto"/>
            <w:noWrap/>
            <w:vAlign w:val="bottom"/>
            <w:hideMark/>
          </w:tcPr>
          <w:p w14:paraId="3F679984"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IL-6</w:t>
            </w:r>
          </w:p>
        </w:tc>
        <w:tc>
          <w:tcPr>
            <w:tcW w:w="5840" w:type="dxa"/>
            <w:tcBorders>
              <w:top w:val="nil"/>
              <w:left w:val="nil"/>
              <w:bottom w:val="nil"/>
              <w:right w:val="nil"/>
            </w:tcBorders>
            <w:shd w:val="clear" w:color="auto" w:fill="auto"/>
            <w:noWrap/>
            <w:vAlign w:val="bottom"/>
            <w:hideMark/>
          </w:tcPr>
          <w:p w14:paraId="04793F43"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Interleukin-6 </w:t>
            </w:r>
          </w:p>
        </w:tc>
      </w:tr>
      <w:tr w:rsidR="00117F69" w:rsidRPr="0035519F" w14:paraId="4034C820" w14:textId="77777777" w:rsidTr="007757AB">
        <w:trPr>
          <w:trHeight w:val="315"/>
        </w:trPr>
        <w:tc>
          <w:tcPr>
            <w:tcW w:w="2940" w:type="dxa"/>
            <w:tcBorders>
              <w:top w:val="nil"/>
              <w:left w:val="nil"/>
              <w:bottom w:val="nil"/>
              <w:right w:val="nil"/>
            </w:tcBorders>
            <w:shd w:val="clear" w:color="auto" w:fill="auto"/>
            <w:noWrap/>
            <w:vAlign w:val="bottom"/>
          </w:tcPr>
          <w:p w14:paraId="5BFE2EE7" w14:textId="77777777" w:rsidR="00CD4A6D" w:rsidRPr="0035519F" w:rsidRDefault="00CD4A6D"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IR</w:t>
            </w:r>
          </w:p>
        </w:tc>
        <w:tc>
          <w:tcPr>
            <w:tcW w:w="5840" w:type="dxa"/>
            <w:tcBorders>
              <w:top w:val="nil"/>
              <w:left w:val="nil"/>
              <w:bottom w:val="nil"/>
              <w:right w:val="nil"/>
            </w:tcBorders>
            <w:shd w:val="clear" w:color="auto" w:fill="auto"/>
            <w:noWrap/>
            <w:vAlign w:val="bottom"/>
          </w:tcPr>
          <w:p w14:paraId="415A4C7A" w14:textId="77777777" w:rsidR="00CD4A6D" w:rsidRPr="0035519F" w:rsidRDefault="00CD4A6D"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Insulin Resistance</w:t>
            </w:r>
          </w:p>
        </w:tc>
      </w:tr>
      <w:tr w:rsidR="00117F69" w:rsidRPr="0035519F" w14:paraId="2A35A55F" w14:textId="77777777" w:rsidTr="007757AB">
        <w:trPr>
          <w:trHeight w:val="315"/>
        </w:trPr>
        <w:tc>
          <w:tcPr>
            <w:tcW w:w="2940" w:type="dxa"/>
            <w:tcBorders>
              <w:top w:val="nil"/>
              <w:left w:val="nil"/>
              <w:bottom w:val="nil"/>
              <w:right w:val="nil"/>
            </w:tcBorders>
            <w:shd w:val="clear" w:color="auto" w:fill="auto"/>
            <w:noWrap/>
            <w:vAlign w:val="bottom"/>
          </w:tcPr>
          <w:p w14:paraId="43EE4B5E" w14:textId="77777777" w:rsidR="00F979CC" w:rsidRPr="0035519F" w:rsidRDefault="00F979C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IRS</w:t>
            </w:r>
          </w:p>
        </w:tc>
        <w:tc>
          <w:tcPr>
            <w:tcW w:w="5840" w:type="dxa"/>
            <w:tcBorders>
              <w:top w:val="nil"/>
              <w:left w:val="nil"/>
              <w:bottom w:val="nil"/>
              <w:right w:val="nil"/>
            </w:tcBorders>
            <w:shd w:val="clear" w:color="auto" w:fill="auto"/>
            <w:noWrap/>
            <w:vAlign w:val="bottom"/>
          </w:tcPr>
          <w:p w14:paraId="27CE2386" w14:textId="77777777" w:rsidR="00F979CC" w:rsidRPr="0035519F" w:rsidRDefault="00F979CC"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Insulin Receptor Substrate</w:t>
            </w:r>
          </w:p>
        </w:tc>
      </w:tr>
      <w:tr w:rsidR="00117F69" w:rsidRPr="0035519F" w14:paraId="348FBECB" w14:textId="77777777" w:rsidTr="007757AB">
        <w:trPr>
          <w:trHeight w:val="315"/>
        </w:trPr>
        <w:tc>
          <w:tcPr>
            <w:tcW w:w="2940" w:type="dxa"/>
            <w:tcBorders>
              <w:top w:val="nil"/>
              <w:left w:val="nil"/>
              <w:bottom w:val="nil"/>
              <w:right w:val="nil"/>
            </w:tcBorders>
            <w:shd w:val="clear" w:color="auto" w:fill="auto"/>
            <w:noWrap/>
            <w:vAlign w:val="bottom"/>
            <w:hideMark/>
          </w:tcPr>
          <w:p w14:paraId="6715F13F"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IMT</w:t>
            </w:r>
          </w:p>
        </w:tc>
        <w:tc>
          <w:tcPr>
            <w:tcW w:w="5840" w:type="dxa"/>
            <w:tcBorders>
              <w:top w:val="nil"/>
              <w:left w:val="nil"/>
              <w:bottom w:val="nil"/>
              <w:right w:val="nil"/>
            </w:tcBorders>
            <w:shd w:val="clear" w:color="auto" w:fill="auto"/>
            <w:noWrap/>
            <w:vAlign w:val="bottom"/>
            <w:hideMark/>
          </w:tcPr>
          <w:p w14:paraId="4FD4DF85"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Indeks Massa Tubuh</w:t>
            </w:r>
          </w:p>
        </w:tc>
      </w:tr>
      <w:tr w:rsidR="00117F69" w:rsidRPr="0035519F" w14:paraId="657BC1EC" w14:textId="77777777" w:rsidTr="007757AB">
        <w:trPr>
          <w:trHeight w:val="315"/>
        </w:trPr>
        <w:tc>
          <w:tcPr>
            <w:tcW w:w="2940" w:type="dxa"/>
            <w:tcBorders>
              <w:top w:val="nil"/>
              <w:left w:val="nil"/>
              <w:bottom w:val="nil"/>
              <w:right w:val="nil"/>
            </w:tcBorders>
            <w:shd w:val="clear" w:color="auto" w:fill="auto"/>
            <w:noWrap/>
            <w:vAlign w:val="bottom"/>
            <w:hideMark/>
          </w:tcPr>
          <w:p w14:paraId="0997448C"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JNK</w:t>
            </w:r>
          </w:p>
        </w:tc>
        <w:tc>
          <w:tcPr>
            <w:tcW w:w="5840" w:type="dxa"/>
            <w:tcBorders>
              <w:top w:val="nil"/>
              <w:left w:val="nil"/>
              <w:bottom w:val="nil"/>
              <w:right w:val="nil"/>
            </w:tcBorders>
            <w:shd w:val="clear" w:color="auto" w:fill="auto"/>
            <w:noWrap/>
            <w:vAlign w:val="bottom"/>
            <w:hideMark/>
          </w:tcPr>
          <w:p w14:paraId="0B2D5753"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c-Jun-N-terminal kinase </w:t>
            </w:r>
          </w:p>
        </w:tc>
      </w:tr>
      <w:tr w:rsidR="00117F69" w:rsidRPr="0035519F" w14:paraId="3A5685AB" w14:textId="77777777" w:rsidTr="007757AB">
        <w:trPr>
          <w:trHeight w:val="315"/>
        </w:trPr>
        <w:tc>
          <w:tcPr>
            <w:tcW w:w="2940" w:type="dxa"/>
            <w:tcBorders>
              <w:top w:val="nil"/>
              <w:left w:val="nil"/>
              <w:bottom w:val="nil"/>
              <w:right w:val="nil"/>
            </w:tcBorders>
            <w:shd w:val="clear" w:color="auto" w:fill="auto"/>
            <w:noWrap/>
            <w:vAlign w:val="bottom"/>
            <w:hideMark/>
          </w:tcPr>
          <w:p w14:paraId="57CB727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kDa</w:t>
            </w:r>
          </w:p>
        </w:tc>
        <w:tc>
          <w:tcPr>
            <w:tcW w:w="5840" w:type="dxa"/>
            <w:tcBorders>
              <w:top w:val="nil"/>
              <w:left w:val="nil"/>
              <w:bottom w:val="nil"/>
              <w:right w:val="nil"/>
            </w:tcBorders>
            <w:shd w:val="clear" w:color="auto" w:fill="auto"/>
            <w:noWrap/>
            <w:vAlign w:val="bottom"/>
            <w:hideMark/>
          </w:tcPr>
          <w:p w14:paraId="32F34979"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Kilo Dalton </w:t>
            </w:r>
          </w:p>
        </w:tc>
      </w:tr>
      <w:tr w:rsidR="00117F69" w:rsidRPr="0035519F" w14:paraId="1D017CC4" w14:textId="77777777" w:rsidTr="007757AB">
        <w:trPr>
          <w:trHeight w:val="315"/>
        </w:trPr>
        <w:tc>
          <w:tcPr>
            <w:tcW w:w="2940" w:type="dxa"/>
            <w:tcBorders>
              <w:top w:val="nil"/>
              <w:left w:val="nil"/>
              <w:bottom w:val="nil"/>
              <w:right w:val="nil"/>
            </w:tcBorders>
            <w:shd w:val="clear" w:color="auto" w:fill="auto"/>
            <w:noWrap/>
            <w:vAlign w:val="bottom"/>
            <w:hideMark/>
          </w:tcPr>
          <w:p w14:paraId="2452BB61"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LDL</w:t>
            </w:r>
          </w:p>
        </w:tc>
        <w:tc>
          <w:tcPr>
            <w:tcW w:w="5840" w:type="dxa"/>
            <w:tcBorders>
              <w:top w:val="nil"/>
              <w:left w:val="nil"/>
              <w:bottom w:val="nil"/>
              <w:right w:val="nil"/>
            </w:tcBorders>
            <w:shd w:val="clear" w:color="auto" w:fill="auto"/>
            <w:noWrap/>
            <w:vAlign w:val="bottom"/>
            <w:hideMark/>
          </w:tcPr>
          <w:p w14:paraId="14EB2BF1"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Low density lipoprotein </w:t>
            </w:r>
          </w:p>
        </w:tc>
      </w:tr>
      <w:tr w:rsidR="00117F69" w:rsidRPr="0035519F" w14:paraId="612C2635" w14:textId="77777777" w:rsidTr="007757AB">
        <w:trPr>
          <w:trHeight w:val="315"/>
        </w:trPr>
        <w:tc>
          <w:tcPr>
            <w:tcW w:w="2940" w:type="dxa"/>
            <w:tcBorders>
              <w:top w:val="nil"/>
              <w:left w:val="nil"/>
              <w:bottom w:val="nil"/>
              <w:right w:val="nil"/>
            </w:tcBorders>
            <w:shd w:val="clear" w:color="auto" w:fill="auto"/>
            <w:noWrap/>
            <w:vAlign w:val="bottom"/>
            <w:hideMark/>
          </w:tcPr>
          <w:p w14:paraId="5D1C383A"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MAPK</w:t>
            </w:r>
          </w:p>
        </w:tc>
        <w:tc>
          <w:tcPr>
            <w:tcW w:w="5840" w:type="dxa"/>
            <w:tcBorders>
              <w:top w:val="nil"/>
              <w:left w:val="nil"/>
              <w:bottom w:val="nil"/>
              <w:right w:val="nil"/>
            </w:tcBorders>
            <w:shd w:val="clear" w:color="auto" w:fill="auto"/>
            <w:noWrap/>
            <w:vAlign w:val="bottom"/>
            <w:hideMark/>
          </w:tcPr>
          <w:p w14:paraId="1EA5FEC9"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Mitogen-activated protein kinase </w:t>
            </w:r>
          </w:p>
        </w:tc>
      </w:tr>
      <w:tr w:rsidR="00117F69" w:rsidRPr="0035519F" w14:paraId="2F674330" w14:textId="77777777" w:rsidTr="007757AB">
        <w:trPr>
          <w:trHeight w:val="315"/>
        </w:trPr>
        <w:tc>
          <w:tcPr>
            <w:tcW w:w="2940" w:type="dxa"/>
            <w:tcBorders>
              <w:top w:val="nil"/>
              <w:left w:val="nil"/>
              <w:bottom w:val="nil"/>
              <w:right w:val="nil"/>
            </w:tcBorders>
            <w:shd w:val="clear" w:color="auto" w:fill="auto"/>
            <w:noWrap/>
            <w:vAlign w:val="bottom"/>
          </w:tcPr>
          <w:p w14:paraId="75C29A24" w14:textId="77777777" w:rsidR="00CD4A6D" w:rsidRPr="0035519F" w:rsidRDefault="00CD4A6D"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MC4R</w:t>
            </w:r>
          </w:p>
        </w:tc>
        <w:tc>
          <w:tcPr>
            <w:tcW w:w="5840" w:type="dxa"/>
            <w:tcBorders>
              <w:top w:val="nil"/>
              <w:left w:val="nil"/>
              <w:bottom w:val="nil"/>
              <w:right w:val="nil"/>
            </w:tcBorders>
            <w:shd w:val="clear" w:color="auto" w:fill="auto"/>
            <w:noWrap/>
            <w:vAlign w:val="bottom"/>
          </w:tcPr>
          <w:p w14:paraId="45A03D94" w14:textId="77777777" w:rsidR="00CD4A6D" w:rsidRPr="0035519F" w:rsidRDefault="00CD4A6D"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Melanocortin-4 Receptor</w:t>
            </w:r>
          </w:p>
        </w:tc>
      </w:tr>
      <w:tr w:rsidR="00117F69" w:rsidRPr="0035519F" w14:paraId="66D8F8E9" w14:textId="77777777" w:rsidTr="007757AB">
        <w:trPr>
          <w:trHeight w:val="315"/>
        </w:trPr>
        <w:tc>
          <w:tcPr>
            <w:tcW w:w="2940" w:type="dxa"/>
            <w:tcBorders>
              <w:top w:val="nil"/>
              <w:left w:val="nil"/>
              <w:bottom w:val="nil"/>
              <w:right w:val="nil"/>
            </w:tcBorders>
            <w:shd w:val="clear" w:color="auto" w:fill="auto"/>
            <w:noWrap/>
            <w:vAlign w:val="bottom"/>
          </w:tcPr>
          <w:p w14:paraId="27895BE9" w14:textId="77777777" w:rsidR="00F979CC" w:rsidRPr="0035519F" w:rsidRDefault="00F979C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MCP1</w:t>
            </w:r>
          </w:p>
        </w:tc>
        <w:tc>
          <w:tcPr>
            <w:tcW w:w="5840" w:type="dxa"/>
            <w:tcBorders>
              <w:top w:val="nil"/>
              <w:left w:val="nil"/>
              <w:bottom w:val="nil"/>
              <w:right w:val="nil"/>
            </w:tcBorders>
            <w:shd w:val="clear" w:color="auto" w:fill="auto"/>
            <w:noWrap/>
            <w:vAlign w:val="bottom"/>
          </w:tcPr>
          <w:p w14:paraId="5B97BA75" w14:textId="77777777" w:rsidR="00F979CC" w:rsidRPr="0035519F" w:rsidRDefault="00F979CC" w:rsidP="006F4AE7">
            <w:pPr>
              <w:spacing w:after="0" w:line="240" w:lineRule="auto"/>
              <w:rPr>
                <w:rFonts w:ascii="Arial" w:eastAsia="Times New Roman" w:hAnsi="Arial" w:cs="Arial"/>
                <w:i/>
                <w:iCs/>
                <w:sz w:val="24"/>
                <w:szCs w:val="24"/>
              </w:rPr>
            </w:pPr>
            <w:r w:rsidRPr="0035519F">
              <w:rPr>
                <w:rFonts w:ascii="Arial" w:hAnsi="Arial" w:cs="Arial"/>
                <w:i/>
                <w:sz w:val="24"/>
                <w:szCs w:val="24"/>
              </w:rPr>
              <w:t>Monocytes Chemoattractant Protein-1</w:t>
            </w:r>
          </w:p>
        </w:tc>
      </w:tr>
      <w:tr w:rsidR="00117F69" w:rsidRPr="0035519F" w14:paraId="2505DDB1" w14:textId="77777777" w:rsidTr="007757AB">
        <w:trPr>
          <w:trHeight w:val="315"/>
        </w:trPr>
        <w:tc>
          <w:tcPr>
            <w:tcW w:w="2940" w:type="dxa"/>
            <w:tcBorders>
              <w:top w:val="nil"/>
              <w:left w:val="nil"/>
              <w:bottom w:val="nil"/>
              <w:right w:val="nil"/>
            </w:tcBorders>
            <w:shd w:val="clear" w:color="auto" w:fill="auto"/>
            <w:noWrap/>
            <w:vAlign w:val="bottom"/>
          </w:tcPr>
          <w:p w14:paraId="2CD1FDC1" w14:textId="77777777" w:rsidR="00CD4A6D" w:rsidRPr="0035519F" w:rsidRDefault="00CD4A6D"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MetS</w:t>
            </w:r>
          </w:p>
        </w:tc>
        <w:tc>
          <w:tcPr>
            <w:tcW w:w="5840" w:type="dxa"/>
            <w:tcBorders>
              <w:top w:val="nil"/>
              <w:left w:val="nil"/>
              <w:bottom w:val="nil"/>
              <w:right w:val="nil"/>
            </w:tcBorders>
            <w:shd w:val="clear" w:color="auto" w:fill="auto"/>
            <w:noWrap/>
            <w:vAlign w:val="bottom"/>
          </w:tcPr>
          <w:p w14:paraId="0F00994D" w14:textId="77777777" w:rsidR="00CD4A6D" w:rsidRPr="0035519F" w:rsidRDefault="00CD4A6D"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Metabolic Syndrome</w:t>
            </w:r>
          </w:p>
        </w:tc>
      </w:tr>
      <w:tr w:rsidR="00117F69" w:rsidRPr="0035519F" w14:paraId="63342E56" w14:textId="77777777" w:rsidTr="007757AB">
        <w:trPr>
          <w:trHeight w:val="315"/>
        </w:trPr>
        <w:tc>
          <w:tcPr>
            <w:tcW w:w="2940" w:type="dxa"/>
            <w:tcBorders>
              <w:top w:val="nil"/>
              <w:left w:val="nil"/>
              <w:bottom w:val="nil"/>
              <w:right w:val="nil"/>
            </w:tcBorders>
            <w:shd w:val="clear" w:color="auto" w:fill="auto"/>
            <w:noWrap/>
            <w:vAlign w:val="bottom"/>
            <w:hideMark/>
          </w:tcPr>
          <w:p w14:paraId="6D16840C"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lastRenderedPageBreak/>
              <w:t>mRNA</w:t>
            </w:r>
          </w:p>
        </w:tc>
        <w:tc>
          <w:tcPr>
            <w:tcW w:w="5840" w:type="dxa"/>
            <w:tcBorders>
              <w:top w:val="nil"/>
              <w:left w:val="nil"/>
              <w:bottom w:val="nil"/>
              <w:right w:val="nil"/>
            </w:tcBorders>
            <w:shd w:val="clear" w:color="auto" w:fill="auto"/>
            <w:noWrap/>
            <w:vAlign w:val="bottom"/>
            <w:hideMark/>
          </w:tcPr>
          <w:p w14:paraId="13D4BBC5"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Messenger Ribonucleic Acid</w:t>
            </w:r>
          </w:p>
        </w:tc>
      </w:tr>
      <w:tr w:rsidR="00117F69" w:rsidRPr="0035519F" w14:paraId="1F95ECDA" w14:textId="77777777" w:rsidTr="00CD4A6D">
        <w:trPr>
          <w:trHeight w:val="315"/>
        </w:trPr>
        <w:tc>
          <w:tcPr>
            <w:tcW w:w="2940" w:type="dxa"/>
            <w:tcBorders>
              <w:top w:val="nil"/>
              <w:left w:val="nil"/>
              <w:bottom w:val="nil"/>
              <w:right w:val="nil"/>
            </w:tcBorders>
            <w:shd w:val="clear" w:color="auto" w:fill="auto"/>
            <w:noWrap/>
            <w:vAlign w:val="bottom"/>
          </w:tcPr>
          <w:p w14:paraId="63E274CD" w14:textId="77777777" w:rsidR="006F4AE7" w:rsidRPr="0035519F" w:rsidRDefault="00CD4A6D"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NHANES</w:t>
            </w:r>
          </w:p>
        </w:tc>
        <w:tc>
          <w:tcPr>
            <w:tcW w:w="5840" w:type="dxa"/>
            <w:tcBorders>
              <w:top w:val="nil"/>
              <w:left w:val="nil"/>
              <w:bottom w:val="nil"/>
              <w:right w:val="nil"/>
            </w:tcBorders>
            <w:shd w:val="clear" w:color="auto" w:fill="auto"/>
            <w:noWrap/>
            <w:vAlign w:val="bottom"/>
          </w:tcPr>
          <w:p w14:paraId="01A7DB55" w14:textId="77777777" w:rsidR="006F4AE7" w:rsidRPr="0035519F" w:rsidRDefault="00CD4A6D" w:rsidP="006F4AE7">
            <w:pPr>
              <w:spacing w:after="0" w:line="240" w:lineRule="auto"/>
              <w:rPr>
                <w:rFonts w:ascii="Arial" w:eastAsia="Times New Roman" w:hAnsi="Arial" w:cs="Arial"/>
                <w:i/>
                <w:iCs/>
                <w:sz w:val="24"/>
                <w:szCs w:val="24"/>
              </w:rPr>
            </w:pPr>
            <w:r w:rsidRPr="0035519F">
              <w:rPr>
                <w:rFonts w:ascii="Arial" w:hAnsi="Arial" w:cs="Arial"/>
                <w:i/>
                <w:sz w:val="24"/>
                <w:szCs w:val="24"/>
                <w:shd w:val="clear" w:color="auto" w:fill="FFFFFF"/>
              </w:rPr>
              <w:t>National Health and Nutrition Examination Survey</w:t>
            </w:r>
          </w:p>
        </w:tc>
      </w:tr>
      <w:tr w:rsidR="00117F69" w:rsidRPr="0035519F" w14:paraId="32B32A68" w14:textId="77777777" w:rsidTr="007757AB">
        <w:trPr>
          <w:trHeight w:val="315"/>
        </w:trPr>
        <w:tc>
          <w:tcPr>
            <w:tcW w:w="2940" w:type="dxa"/>
            <w:tcBorders>
              <w:top w:val="nil"/>
              <w:left w:val="nil"/>
              <w:bottom w:val="nil"/>
              <w:right w:val="nil"/>
            </w:tcBorders>
            <w:shd w:val="clear" w:color="auto" w:fill="auto"/>
            <w:noWrap/>
            <w:vAlign w:val="bottom"/>
            <w:hideMark/>
          </w:tcPr>
          <w:p w14:paraId="55AC17AD"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NPY</w:t>
            </w:r>
          </w:p>
        </w:tc>
        <w:tc>
          <w:tcPr>
            <w:tcW w:w="5840" w:type="dxa"/>
            <w:tcBorders>
              <w:top w:val="nil"/>
              <w:left w:val="nil"/>
              <w:bottom w:val="nil"/>
              <w:right w:val="nil"/>
            </w:tcBorders>
            <w:shd w:val="clear" w:color="auto" w:fill="auto"/>
            <w:noWrap/>
            <w:vAlign w:val="bottom"/>
            <w:hideMark/>
          </w:tcPr>
          <w:p w14:paraId="46151AD5"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Neuropeptida Y</w:t>
            </w:r>
          </w:p>
        </w:tc>
      </w:tr>
      <w:tr w:rsidR="00117F69" w:rsidRPr="0035519F" w14:paraId="45FF7D05" w14:textId="77777777" w:rsidTr="007757AB">
        <w:trPr>
          <w:trHeight w:val="315"/>
        </w:trPr>
        <w:tc>
          <w:tcPr>
            <w:tcW w:w="2940" w:type="dxa"/>
            <w:tcBorders>
              <w:top w:val="nil"/>
              <w:left w:val="nil"/>
              <w:bottom w:val="nil"/>
              <w:right w:val="nil"/>
            </w:tcBorders>
            <w:shd w:val="clear" w:color="auto" w:fill="auto"/>
            <w:noWrap/>
            <w:vAlign w:val="bottom"/>
            <w:hideMark/>
          </w:tcPr>
          <w:p w14:paraId="1E6EA722"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OSA</w:t>
            </w:r>
          </w:p>
        </w:tc>
        <w:tc>
          <w:tcPr>
            <w:tcW w:w="5840" w:type="dxa"/>
            <w:tcBorders>
              <w:top w:val="nil"/>
              <w:left w:val="nil"/>
              <w:bottom w:val="nil"/>
              <w:right w:val="nil"/>
            </w:tcBorders>
            <w:shd w:val="clear" w:color="auto" w:fill="auto"/>
            <w:noWrap/>
            <w:vAlign w:val="bottom"/>
            <w:hideMark/>
          </w:tcPr>
          <w:p w14:paraId="160E848B"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Obstructive sleep apneu </w:t>
            </w:r>
          </w:p>
        </w:tc>
      </w:tr>
      <w:tr w:rsidR="00117F69" w:rsidRPr="0035519F" w14:paraId="556C9260" w14:textId="77777777" w:rsidTr="007757AB">
        <w:trPr>
          <w:trHeight w:val="315"/>
        </w:trPr>
        <w:tc>
          <w:tcPr>
            <w:tcW w:w="2940" w:type="dxa"/>
            <w:tcBorders>
              <w:top w:val="nil"/>
              <w:left w:val="nil"/>
              <w:bottom w:val="nil"/>
              <w:right w:val="nil"/>
            </w:tcBorders>
            <w:shd w:val="clear" w:color="auto" w:fill="auto"/>
            <w:noWrap/>
            <w:vAlign w:val="bottom"/>
            <w:hideMark/>
          </w:tcPr>
          <w:p w14:paraId="756C0F51"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PI3K</w:t>
            </w:r>
          </w:p>
        </w:tc>
        <w:tc>
          <w:tcPr>
            <w:tcW w:w="5840" w:type="dxa"/>
            <w:tcBorders>
              <w:top w:val="nil"/>
              <w:left w:val="nil"/>
              <w:bottom w:val="nil"/>
              <w:right w:val="nil"/>
            </w:tcBorders>
            <w:shd w:val="clear" w:color="auto" w:fill="auto"/>
            <w:noWrap/>
            <w:vAlign w:val="bottom"/>
            <w:hideMark/>
          </w:tcPr>
          <w:p w14:paraId="4D9482D9"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Phosphatidylinositol 3-kinase</w:t>
            </w:r>
          </w:p>
        </w:tc>
      </w:tr>
      <w:tr w:rsidR="00117F69" w:rsidRPr="0035519F" w14:paraId="294C45EE" w14:textId="77777777" w:rsidTr="007757AB">
        <w:trPr>
          <w:trHeight w:val="315"/>
        </w:trPr>
        <w:tc>
          <w:tcPr>
            <w:tcW w:w="2940" w:type="dxa"/>
            <w:tcBorders>
              <w:top w:val="nil"/>
              <w:left w:val="nil"/>
              <w:bottom w:val="nil"/>
              <w:right w:val="nil"/>
            </w:tcBorders>
            <w:shd w:val="clear" w:color="auto" w:fill="auto"/>
            <w:noWrap/>
            <w:vAlign w:val="bottom"/>
          </w:tcPr>
          <w:p w14:paraId="41385B05" w14:textId="77777777" w:rsidR="00F979CC" w:rsidRPr="0035519F" w:rsidRDefault="00F979CC" w:rsidP="006F4AE7">
            <w:pPr>
              <w:spacing w:after="0" w:line="240" w:lineRule="auto"/>
              <w:rPr>
                <w:rFonts w:ascii="Arial" w:eastAsia="Times New Roman" w:hAnsi="Arial" w:cs="Arial"/>
                <w:sz w:val="24"/>
                <w:szCs w:val="24"/>
              </w:rPr>
            </w:pPr>
            <w:r w:rsidRPr="0035519F">
              <w:rPr>
                <w:rFonts w:ascii="Arial" w:hAnsi="Arial" w:cs="Arial"/>
                <w:sz w:val="24"/>
                <w:szCs w:val="24"/>
              </w:rPr>
              <w:t>PIP3</w:t>
            </w:r>
          </w:p>
        </w:tc>
        <w:tc>
          <w:tcPr>
            <w:tcW w:w="5840" w:type="dxa"/>
            <w:tcBorders>
              <w:top w:val="nil"/>
              <w:left w:val="nil"/>
              <w:bottom w:val="nil"/>
              <w:right w:val="nil"/>
            </w:tcBorders>
            <w:shd w:val="clear" w:color="auto" w:fill="auto"/>
            <w:noWrap/>
            <w:vAlign w:val="bottom"/>
          </w:tcPr>
          <w:p w14:paraId="2A08A91B" w14:textId="77777777" w:rsidR="00F979CC" w:rsidRPr="0035519F" w:rsidRDefault="00F979CC" w:rsidP="00F979CC">
            <w:pPr>
              <w:spacing w:after="0" w:line="240" w:lineRule="auto"/>
              <w:rPr>
                <w:rFonts w:ascii="Arial" w:eastAsia="Times New Roman" w:hAnsi="Arial" w:cs="Arial"/>
                <w:i/>
                <w:iCs/>
                <w:sz w:val="24"/>
                <w:szCs w:val="24"/>
              </w:rPr>
            </w:pPr>
            <w:r w:rsidRPr="0035519F">
              <w:rPr>
                <w:rFonts w:ascii="Arial" w:hAnsi="Arial" w:cs="Arial"/>
                <w:sz w:val="24"/>
                <w:szCs w:val="24"/>
              </w:rPr>
              <w:t xml:space="preserve">Phosphatidylinositol 3,4,5-Trisphosphate </w:t>
            </w:r>
          </w:p>
        </w:tc>
      </w:tr>
      <w:tr w:rsidR="00117F69" w:rsidRPr="0035519F" w14:paraId="3E06A438" w14:textId="77777777" w:rsidTr="007757AB">
        <w:trPr>
          <w:trHeight w:val="315"/>
        </w:trPr>
        <w:tc>
          <w:tcPr>
            <w:tcW w:w="2940" w:type="dxa"/>
            <w:tcBorders>
              <w:top w:val="nil"/>
              <w:left w:val="nil"/>
              <w:bottom w:val="nil"/>
              <w:right w:val="nil"/>
            </w:tcBorders>
            <w:shd w:val="clear" w:color="auto" w:fill="auto"/>
            <w:noWrap/>
            <w:vAlign w:val="bottom"/>
            <w:hideMark/>
          </w:tcPr>
          <w:p w14:paraId="6E237C1F" w14:textId="77777777" w:rsidR="006F4AE7" w:rsidRPr="0035519F" w:rsidRDefault="00F979C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PKB/AKT</w:t>
            </w:r>
          </w:p>
        </w:tc>
        <w:tc>
          <w:tcPr>
            <w:tcW w:w="5840" w:type="dxa"/>
            <w:tcBorders>
              <w:top w:val="nil"/>
              <w:left w:val="nil"/>
              <w:bottom w:val="nil"/>
              <w:right w:val="nil"/>
            </w:tcBorders>
            <w:shd w:val="clear" w:color="auto" w:fill="auto"/>
            <w:noWrap/>
            <w:vAlign w:val="bottom"/>
            <w:hideMark/>
          </w:tcPr>
          <w:p w14:paraId="625DA819" w14:textId="77777777" w:rsidR="006F4AE7" w:rsidRPr="0035519F" w:rsidRDefault="00F979CC"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Protein kinase B</w:t>
            </w:r>
            <w:r w:rsidR="006F4AE7" w:rsidRPr="0035519F">
              <w:rPr>
                <w:rFonts w:ascii="Arial" w:eastAsia="Times New Roman" w:hAnsi="Arial" w:cs="Arial"/>
                <w:i/>
                <w:iCs/>
                <w:sz w:val="24"/>
                <w:szCs w:val="24"/>
              </w:rPr>
              <w:t xml:space="preserve"> </w:t>
            </w:r>
          </w:p>
        </w:tc>
      </w:tr>
      <w:tr w:rsidR="00117F69" w:rsidRPr="0035519F" w14:paraId="7DA88921" w14:textId="77777777" w:rsidTr="007757AB">
        <w:trPr>
          <w:trHeight w:val="315"/>
        </w:trPr>
        <w:tc>
          <w:tcPr>
            <w:tcW w:w="2940" w:type="dxa"/>
            <w:tcBorders>
              <w:top w:val="nil"/>
              <w:left w:val="nil"/>
              <w:bottom w:val="nil"/>
              <w:right w:val="nil"/>
            </w:tcBorders>
            <w:shd w:val="clear" w:color="auto" w:fill="auto"/>
            <w:noWrap/>
            <w:vAlign w:val="bottom"/>
            <w:hideMark/>
          </w:tcPr>
          <w:p w14:paraId="1FD6C9B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POMC</w:t>
            </w:r>
          </w:p>
        </w:tc>
        <w:tc>
          <w:tcPr>
            <w:tcW w:w="5840" w:type="dxa"/>
            <w:tcBorders>
              <w:top w:val="nil"/>
              <w:left w:val="nil"/>
              <w:bottom w:val="nil"/>
              <w:right w:val="nil"/>
            </w:tcBorders>
            <w:shd w:val="clear" w:color="auto" w:fill="auto"/>
            <w:noWrap/>
            <w:vAlign w:val="bottom"/>
            <w:hideMark/>
          </w:tcPr>
          <w:p w14:paraId="0E05555D"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proopiomelanocortin</w:t>
            </w:r>
          </w:p>
        </w:tc>
      </w:tr>
      <w:tr w:rsidR="00117F69" w:rsidRPr="0035519F" w14:paraId="6F6865F5" w14:textId="77777777" w:rsidTr="007757AB">
        <w:trPr>
          <w:trHeight w:val="315"/>
        </w:trPr>
        <w:tc>
          <w:tcPr>
            <w:tcW w:w="2940" w:type="dxa"/>
            <w:tcBorders>
              <w:top w:val="nil"/>
              <w:left w:val="nil"/>
              <w:bottom w:val="nil"/>
              <w:right w:val="nil"/>
            </w:tcBorders>
            <w:shd w:val="clear" w:color="auto" w:fill="auto"/>
            <w:noWrap/>
            <w:vAlign w:val="bottom"/>
            <w:hideMark/>
          </w:tcPr>
          <w:p w14:paraId="45A1A79B"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 xml:space="preserve">RLPP </w:t>
            </w:r>
          </w:p>
        </w:tc>
        <w:tc>
          <w:tcPr>
            <w:tcW w:w="5840" w:type="dxa"/>
            <w:tcBorders>
              <w:top w:val="nil"/>
              <w:left w:val="nil"/>
              <w:bottom w:val="nil"/>
              <w:right w:val="nil"/>
            </w:tcBorders>
            <w:shd w:val="clear" w:color="auto" w:fill="auto"/>
            <w:noWrap/>
            <w:vAlign w:val="bottom"/>
            <w:hideMark/>
          </w:tcPr>
          <w:p w14:paraId="65A7BF72" w14:textId="77777777" w:rsidR="006F4AE7" w:rsidRPr="0035519F" w:rsidRDefault="006F4AE7" w:rsidP="006F4AE7">
            <w:pPr>
              <w:spacing w:after="0" w:line="240" w:lineRule="auto"/>
              <w:rPr>
                <w:rFonts w:ascii="Arial" w:eastAsia="Times New Roman" w:hAnsi="Arial" w:cs="Arial"/>
                <w:iCs/>
                <w:sz w:val="24"/>
                <w:szCs w:val="24"/>
              </w:rPr>
            </w:pPr>
            <w:r w:rsidRPr="0035519F">
              <w:rPr>
                <w:rFonts w:ascii="Arial" w:eastAsia="Times New Roman" w:hAnsi="Arial" w:cs="Arial"/>
                <w:iCs/>
                <w:sz w:val="24"/>
                <w:szCs w:val="24"/>
              </w:rPr>
              <w:t xml:space="preserve">Rasio lingkar pinggang panggul </w:t>
            </w:r>
          </w:p>
        </w:tc>
      </w:tr>
      <w:tr w:rsidR="00117F69" w:rsidRPr="0035519F" w14:paraId="3E75E411" w14:textId="77777777" w:rsidTr="007757AB">
        <w:trPr>
          <w:trHeight w:val="315"/>
        </w:trPr>
        <w:tc>
          <w:tcPr>
            <w:tcW w:w="2940" w:type="dxa"/>
            <w:tcBorders>
              <w:top w:val="nil"/>
              <w:left w:val="nil"/>
              <w:bottom w:val="nil"/>
              <w:right w:val="nil"/>
            </w:tcBorders>
            <w:shd w:val="clear" w:color="auto" w:fill="auto"/>
            <w:noWrap/>
            <w:vAlign w:val="bottom"/>
          </w:tcPr>
          <w:p w14:paraId="131C5747" w14:textId="77777777" w:rsidR="00F979CC" w:rsidRPr="0035519F" w:rsidRDefault="00F979C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RJPMN</w:t>
            </w:r>
          </w:p>
        </w:tc>
        <w:tc>
          <w:tcPr>
            <w:tcW w:w="5840" w:type="dxa"/>
            <w:tcBorders>
              <w:top w:val="nil"/>
              <w:left w:val="nil"/>
              <w:bottom w:val="nil"/>
              <w:right w:val="nil"/>
            </w:tcBorders>
            <w:shd w:val="clear" w:color="auto" w:fill="auto"/>
            <w:noWrap/>
            <w:vAlign w:val="bottom"/>
          </w:tcPr>
          <w:p w14:paraId="414CE83B" w14:textId="77777777" w:rsidR="00F979CC" w:rsidRPr="0035519F" w:rsidRDefault="00F979CC" w:rsidP="006F4AE7">
            <w:pPr>
              <w:spacing w:after="0" w:line="240" w:lineRule="auto"/>
              <w:rPr>
                <w:rFonts w:ascii="Arial" w:eastAsia="Times New Roman" w:hAnsi="Arial" w:cs="Arial"/>
                <w:iCs/>
                <w:sz w:val="24"/>
                <w:szCs w:val="24"/>
              </w:rPr>
            </w:pPr>
            <w:r w:rsidRPr="0035519F">
              <w:rPr>
                <w:rFonts w:ascii="Arial" w:eastAsia="Times New Roman" w:hAnsi="Arial" w:cs="Arial"/>
                <w:iCs/>
                <w:sz w:val="24"/>
                <w:szCs w:val="24"/>
              </w:rPr>
              <w:t>Rencana Pembangunan Jangka Menengah Nasional</w:t>
            </w:r>
          </w:p>
        </w:tc>
      </w:tr>
      <w:tr w:rsidR="00117F69" w:rsidRPr="0035519F" w14:paraId="508F2095" w14:textId="77777777" w:rsidTr="007757AB">
        <w:trPr>
          <w:trHeight w:val="315"/>
        </w:trPr>
        <w:tc>
          <w:tcPr>
            <w:tcW w:w="2940" w:type="dxa"/>
            <w:tcBorders>
              <w:top w:val="nil"/>
              <w:left w:val="nil"/>
              <w:bottom w:val="nil"/>
              <w:right w:val="nil"/>
            </w:tcBorders>
            <w:shd w:val="clear" w:color="auto" w:fill="auto"/>
            <w:noWrap/>
            <w:vAlign w:val="bottom"/>
          </w:tcPr>
          <w:p w14:paraId="4BBB48B3" w14:textId="77777777" w:rsidR="00F979CC" w:rsidRPr="0035519F" w:rsidRDefault="00F979C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RISKESDAS</w:t>
            </w:r>
          </w:p>
        </w:tc>
        <w:tc>
          <w:tcPr>
            <w:tcW w:w="5840" w:type="dxa"/>
            <w:tcBorders>
              <w:top w:val="nil"/>
              <w:left w:val="nil"/>
              <w:bottom w:val="nil"/>
              <w:right w:val="nil"/>
            </w:tcBorders>
            <w:shd w:val="clear" w:color="auto" w:fill="auto"/>
            <w:noWrap/>
            <w:vAlign w:val="bottom"/>
          </w:tcPr>
          <w:p w14:paraId="6AE0E3C6" w14:textId="77777777" w:rsidR="00F979CC" w:rsidRPr="0035519F" w:rsidRDefault="00F979CC" w:rsidP="006F4AE7">
            <w:pPr>
              <w:spacing w:after="0" w:line="240" w:lineRule="auto"/>
              <w:rPr>
                <w:rFonts w:ascii="Arial" w:eastAsia="Times New Roman" w:hAnsi="Arial" w:cs="Arial"/>
                <w:iCs/>
                <w:sz w:val="24"/>
                <w:szCs w:val="24"/>
              </w:rPr>
            </w:pPr>
            <w:r w:rsidRPr="0035519F">
              <w:rPr>
                <w:rFonts w:ascii="Arial" w:eastAsia="Times New Roman" w:hAnsi="Arial" w:cs="Arial"/>
                <w:iCs/>
                <w:sz w:val="24"/>
                <w:szCs w:val="24"/>
              </w:rPr>
              <w:t>Riset Kesehatan Dasar</w:t>
            </w:r>
          </w:p>
        </w:tc>
      </w:tr>
      <w:tr w:rsidR="00117F69" w:rsidRPr="0035519F" w14:paraId="47953E43" w14:textId="77777777" w:rsidTr="007757AB">
        <w:trPr>
          <w:trHeight w:val="315"/>
        </w:trPr>
        <w:tc>
          <w:tcPr>
            <w:tcW w:w="2940" w:type="dxa"/>
            <w:tcBorders>
              <w:top w:val="nil"/>
              <w:left w:val="nil"/>
              <w:bottom w:val="nil"/>
              <w:right w:val="nil"/>
            </w:tcBorders>
            <w:shd w:val="clear" w:color="auto" w:fill="auto"/>
            <w:noWrap/>
            <w:vAlign w:val="bottom"/>
            <w:hideMark/>
          </w:tcPr>
          <w:p w14:paraId="1DE1E57F"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SAT</w:t>
            </w:r>
          </w:p>
        </w:tc>
        <w:tc>
          <w:tcPr>
            <w:tcW w:w="5840" w:type="dxa"/>
            <w:tcBorders>
              <w:top w:val="nil"/>
              <w:left w:val="nil"/>
              <w:bottom w:val="nil"/>
              <w:right w:val="nil"/>
            </w:tcBorders>
            <w:shd w:val="clear" w:color="auto" w:fill="auto"/>
            <w:noWrap/>
            <w:vAlign w:val="bottom"/>
            <w:hideMark/>
          </w:tcPr>
          <w:p w14:paraId="7E2E0C27"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Subcutaneous adipose tissue </w:t>
            </w:r>
          </w:p>
        </w:tc>
      </w:tr>
      <w:tr w:rsidR="00117F69" w:rsidRPr="0035519F" w14:paraId="0CEE3E1D" w14:textId="77777777" w:rsidTr="007757AB">
        <w:trPr>
          <w:trHeight w:val="315"/>
        </w:trPr>
        <w:tc>
          <w:tcPr>
            <w:tcW w:w="2940" w:type="dxa"/>
            <w:tcBorders>
              <w:top w:val="nil"/>
              <w:left w:val="nil"/>
              <w:bottom w:val="nil"/>
              <w:right w:val="nil"/>
            </w:tcBorders>
            <w:shd w:val="clear" w:color="auto" w:fill="auto"/>
            <w:noWrap/>
            <w:vAlign w:val="bottom"/>
          </w:tcPr>
          <w:p w14:paraId="43826130" w14:textId="77777777" w:rsidR="0041363C" w:rsidRPr="0035519F" w:rsidRDefault="0041363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SIRKESNAS</w:t>
            </w:r>
          </w:p>
        </w:tc>
        <w:tc>
          <w:tcPr>
            <w:tcW w:w="5840" w:type="dxa"/>
            <w:tcBorders>
              <w:top w:val="nil"/>
              <w:left w:val="nil"/>
              <w:bottom w:val="nil"/>
              <w:right w:val="nil"/>
            </w:tcBorders>
            <w:shd w:val="clear" w:color="auto" w:fill="auto"/>
            <w:noWrap/>
            <w:vAlign w:val="bottom"/>
          </w:tcPr>
          <w:p w14:paraId="7BD747E6" w14:textId="77777777" w:rsidR="0041363C" w:rsidRPr="0035519F" w:rsidRDefault="0041363C" w:rsidP="006F4AE7">
            <w:pPr>
              <w:spacing w:after="0" w:line="240" w:lineRule="auto"/>
              <w:rPr>
                <w:rFonts w:ascii="Arial" w:eastAsia="Times New Roman" w:hAnsi="Arial" w:cs="Arial"/>
                <w:i/>
                <w:iCs/>
                <w:sz w:val="24"/>
                <w:szCs w:val="24"/>
              </w:rPr>
            </w:pPr>
            <w:r w:rsidRPr="0035519F">
              <w:rPr>
                <w:rFonts w:ascii="Arial" w:hAnsi="Arial" w:cs="Arial"/>
                <w:sz w:val="24"/>
                <w:szCs w:val="24"/>
              </w:rPr>
              <w:t>Survei Indikator Kesehatan Nasional</w:t>
            </w:r>
          </w:p>
        </w:tc>
      </w:tr>
      <w:tr w:rsidR="00117F69" w:rsidRPr="0035519F" w14:paraId="7AAD16B5" w14:textId="77777777" w:rsidTr="007757AB">
        <w:trPr>
          <w:trHeight w:val="315"/>
        </w:trPr>
        <w:tc>
          <w:tcPr>
            <w:tcW w:w="2940" w:type="dxa"/>
            <w:tcBorders>
              <w:top w:val="nil"/>
              <w:left w:val="nil"/>
              <w:bottom w:val="nil"/>
              <w:right w:val="nil"/>
            </w:tcBorders>
            <w:shd w:val="clear" w:color="auto" w:fill="auto"/>
            <w:noWrap/>
            <w:vAlign w:val="bottom"/>
            <w:hideMark/>
          </w:tcPr>
          <w:p w14:paraId="2AD1A63E" w14:textId="77777777" w:rsidR="006F4AE7" w:rsidRPr="0035519F" w:rsidRDefault="0041363C"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TNF-α</w:t>
            </w:r>
          </w:p>
        </w:tc>
        <w:tc>
          <w:tcPr>
            <w:tcW w:w="5840" w:type="dxa"/>
            <w:tcBorders>
              <w:top w:val="nil"/>
              <w:left w:val="nil"/>
              <w:bottom w:val="nil"/>
              <w:right w:val="nil"/>
            </w:tcBorders>
            <w:shd w:val="clear" w:color="auto" w:fill="auto"/>
            <w:noWrap/>
            <w:vAlign w:val="bottom"/>
            <w:hideMark/>
          </w:tcPr>
          <w:p w14:paraId="47E36BD8"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Tumor necrosis factor-α </w:t>
            </w:r>
          </w:p>
        </w:tc>
      </w:tr>
      <w:tr w:rsidR="00117F69" w:rsidRPr="0035519F" w14:paraId="4584A643" w14:textId="77777777" w:rsidTr="007757AB">
        <w:trPr>
          <w:trHeight w:val="315"/>
        </w:trPr>
        <w:tc>
          <w:tcPr>
            <w:tcW w:w="2940" w:type="dxa"/>
            <w:tcBorders>
              <w:top w:val="nil"/>
              <w:left w:val="nil"/>
              <w:bottom w:val="nil"/>
              <w:right w:val="nil"/>
            </w:tcBorders>
            <w:shd w:val="clear" w:color="auto" w:fill="auto"/>
            <w:noWrap/>
            <w:vAlign w:val="bottom"/>
          </w:tcPr>
          <w:p w14:paraId="5D4D0467" w14:textId="77777777" w:rsidR="000714B4" w:rsidRPr="0035519F" w:rsidRDefault="000714B4"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UCP1</w:t>
            </w:r>
          </w:p>
        </w:tc>
        <w:tc>
          <w:tcPr>
            <w:tcW w:w="5840" w:type="dxa"/>
            <w:tcBorders>
              <w:top w:val="nil"/>
              <w:left w:val="nil"/>
              <w:bottom w:val="nil"/>
              <w:right w:val="nil"/>
            </w:tcBorders>
            <w:shd w:val="clear" w:color="auto" w:fill="auto"/>
            <w:noWrap/>
            <w:vAlign w:val="bottom"/>
          </w:tcPr>
          <w:p w14:paraId="6EAEDDEC" w14:textId="77777777" w:rsidR="000714B4" w:rsidRPr="0035519F" w:rsidRDefault="000714B4" w:rsidP="006F4AE7">
            <w:pPr>
              <w:spacing w:after="0" w:line="240" w:lineRule="auto"/>
              <w:rPr>
                <w:rFonts w:ascii="Arial" w:eastAsia="Times New Roman" w:hAnsi="Arial" w:cs="Arial"/>
                <w:i/>
                <w:iCs/>
                <w:sz w:val="24"/>
                <w:szCs w:val="24"/>
              </w:rPr>
            </w:pPr>
            <w:r w:rsidRPr="0035519F">
              <w:rPr>
                <w:rFonts w:ascii="Arial" w:hAnsi="Arial" w:cs="Arial"/>
                <w:i/>
                <w:sz w:val="24"/>
                <w:szCs w:val="24"/>
              </w:rPr>
              <w:t>Uncoupling Protein 1</w:t>
            </w:r>
          </w:p>
        </w:tc>
      </w:tr>
      <w:tr w:rsidR="00117F69" w:rsidRPr="0035519F" w14:paraId="6ADE003E" w14:textId="77777777" w:rsidTr="007757AB">
        <w:trPr>
          <w:trHeight w:val="315"/>
        </w:trPr>
        <w:tc>
          <w:tcPr>
            <w:tcW w:w="2940" w:type="dxa"/>
            <w:tcBorders>
              <w:top w:val="nil"/>
              <w:left w:val="nil"/>
              <w:bottom w:val="nil"/>
              <w:right w:val="nil"/>
            </w:tcBorders>
            <w:shd w:val="clear" w:color="auto" w:fill="auto"/>
            <w:noWrap/>
            <w:vAlign w:val="bottom"/>
            <w:hideMark/>
          </w:tcPr>
          <w:p w14:paraId="0CEB382D"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VAT</w:t>
            </w:r>
          </w:p>
        </w:tc>
        <w:tc>
          <w:tcPr>
            <w:tcW w:w="5840" w:type="dxa"/>
            <w:tcBorders>
              <w:top w:val="nil"/>
              <w:left w:val="nil"/>
              <w:bottom w:val="nil"/>
              <w:right w:val="nil"/>
            </w:tcBorders>
            <w:shd w:val="clear" w:color="auto" w:fill="auto"/>
            <w:noWrap/>
            <w:vAlign w:val="bottom"/>
            <w:hideMark/>
          </w:tcPr>
          <w:p w14:paraId="36D6D60A"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Visceral adipose tissue</w:t>
            </w:r>
          </w:p>
        </w:tc>
      </w:tr>
      <w:tr w:rsidR="00117F69" w:rsidRPr="0035519F" w14:paraId="752C1A1A" w14:textId="77777777" w:rsidTr="007757AB">
        <w:trPr>
          <w:trHeight w:val="315"/>
        </w:trPr>
        <w:tc>
          <w:tcPr>
            <w:tcW w:w="2940" w:type="dxa"/>
            <w:tcBorders>
              <w:top w:val="nil"/>
              <w:left w:val="nil"/>
              <w:bottom w:val="nil"/>
              <w:right w:val="nil"/>
            </w:tcBorders>
            <w:shd w:val="clear" w:color="auto" w:fill="auto"/>
            <w:noWrap/>
            <w:vAlign w:val="bottom"/>
            <w:hideMark/>
          </w:tcPr>
          <w:p w14:paraId="61BC36B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VLDL</w:t>
            </w:r>
          </w:p>
        </w:tc>
        <w:tc>
          <w:tcPr>
            <w:tcW w:w="5840" w:type="dxa"/>
            <w:tcBorders>
              <w:top w:val="nil"/>
              <w:left w:val="nil"/>
              <w:bottom w:val="nil"/>
              <w:right w:val="nil"/>
            </w:tcBorders>
            <w:shd w:val="clear" w:color="auto" w:fill="auto"/>
            <w:noWrap/>
            <w:vAlign w:val="bottom"/>
            <w:hideMark/>
          </w:tcPr>
          <w:p w14:paraId="0C8C15C7"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Very low density lipoprotein </w:t>
            </w:r>
          </w:p>
        </w:tc>
      </w:tr>
      <w:tr w:rsidR="00117F69" w:rsidRPr="0035519F" w14:paraId="2154D30E" w14:textId="77777777" w:rsidTr="007757AB">
        <w:trPr>
          <w:trHeight w:val="315"/>
        </w:trPr>
        <w:tc>
          <w:tcPr>
            <w:tcW w:w="2940" w:type="dxa"/>
            <w:tcBorders>
              <w:top w:val="nil"/>
              <w:left w:val="nil"/>
              <w:bottom w:val="nil"/>
              <w:right w:val="nil"/>
            </w:tcBorders>
            <w:shd w:val="clear" w:color="auto" w:fill="auto"/>
            <w:noWrap/>
            <w:vAlign w:val="bottom"/>
            <w:hideMark/>
          </w:tcPr>
          <w:p w14:paraId="37F25B1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WAT</w:t>
            </w:r>
          </w:p>
        </w:tc>
        <w:tc>
          <w:tcPr>
            <w:tcW w:w="5840" w:type="dxa"/>
            <w:tcBorders>
              <w:top w:val="nil"/>
              <w:left w:val="nil"/>
              <w:bottom w:val="nil"/>
              <w:right w:val="nil"/>
            </w:tcBorders>
            <w:shd w:val="clear" w:color="auto" w:fill="auto"/>
            <w:noWrap/>
            <w:vAlign w:val="bottom"/>
            <w:hideMark/>
          </w:tcPr>
          <w:p w14:paraId="679D871A"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White adipose tissue</w:t>
            </w:r>
          </w:p>
        </w:tc>
      </w:tr>
      <w:tr w:rsidR="00117F69" w:rsidRPr="0035519F" w14:paraId="62E9DEBF" w14:textId="77777777" w:rsidTr="007757AB">
        <w:trPr>
          <w:trHeight w:val="315"/>
        </w:trPr>
        <w:tc>
          <w:tcPr>
            <w:tcW w:w="2940" w:type="dxa"/>
            <w:tcBorders>
              <w:top w:val="nil"/>
              <w:left w:val="nil"/>
              <w:bottom w:val="nil"/>
              <w:right w:val="nil"/>
            </w:tcBorders>
            <w:shd w:val="clear" w:color="auto" w:fill="auto"/>
            <w:noWrap/>
            <w:vAlign w:val="bottom"/>
            <w:hideMark/>
          </w:tcPr>
          <w:p w14:paraId="4E31750F"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WHO</w:t>
            </w:r>
          </w:p>
        </w:tc>
        <w:tc>
          <w:tcPr>
            <w:tcW w:w="5840" w:type="dxa"/>
            <w:tcBorders>
              <w:top w:val="nil"/>
              <w:left w:val="nil"/>
              <w:bottom w:val="nil"/>
              <w:right w:val="nil"/>
            </w:tcBorders>
            <w:shd w:val="clear" w:color="auto" w:fill="auto"/>
            <w:noWrap/>
            <w:vAlign w:val="bottom"/>
            <w:hideMark/>
          </w:tcPr>
          <w:p w14:paraId="5A64AA66"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World Health Organization</w:t>
            </w:r>
          </w:p>
        </w:tc>
      </w:tr>
      <w:tr w:rsidR="006F4AE7" w:rsidRPr="0035519F" w14:paraId="55DEEB72" w14:textId="77777777" w:rsidTr="007757AB">
        <w:trPr>
          <w:trHeight w:val="315"/>
        </w:trPr>
        <w:tc>
          <w:tcPr>
            <w:tcW w:w="2940" w:type="dxa"/>
            <w:tcBorders>
              <w:top w:val="nil"/>
              <w:left w:val="nil"/>
              <w:bottom w:val="nil"/>
              <w:right w:val="nil"/>
            </w:tcBorders>
            <w:shd w:val="clear" w:color="auto" w:fill="auto"/>
            <w:noWrap/>
            <w:vAlign w:val="bottom"/>
            <w:hideMark/>
          </w:tcPr>
          <w:p w14:paraId="41134178" w14:textId="77777777" w:rsidR="006F4AE7" w:rsidRPr="0035519F" w:rsidRDefault="006F4AE7" w:rsidP="006F4AE7">
            <w:pPr>
              <w:spacing w:after="0" w:line="240" w:lineRule="auto"/>
              <w:rPr>
                <w:rFonts w:ascii="Arial" w:eastAsia="Times New Roman" w:hAnsi="Arial" w:cs="Arial"/>
                <w:sz w:val="24"/>
                <w:szCs w:val="24"/>
              </w:rPr>
            </w:pPr>
            <w:r w:rsidRPr="0035519F">
              <w:rPr>
                <w:rFonts w:ascii="Arial" w:eastAsia="Times New Roman" w:hAnsi="Arial" w:cs="Arial"/>
                <w:sz w:val="24"/>
                <w:szCs w:val="24"/>
              </w:rPr>
              <w:t>WHR</w:t>
            </w:r>
          </w:p>
        </w:tc>
        <w:tc>
          <w:tcPr>
            <w:tcW w:w="5840" w:type="dxa"/>
            <w:tcBorders>
              <w:top w:val="nil"/>
              <w:left w:val="nil"/>
              <w:bottom w:val="nil"/>
              <w:right w:val="nil"/>
            </w:tcBorders>
            <w:shd w:val="clear" w:color="auto" w:fill="auto"/>
            <w:noWrap/>
            <w:vAlign w:val="bottom"/>
            <w:hideMark/>
          </w:tcPr>
          <w:p w14:paraId="1AC36AA5" w14:textId="77777777" w:rsidR="006F4AE7" w:rsidRPr="0035519F" w:rsidRDefault="006F4AE7" w:rsidP="006F4AE7">
            <w:pPr>
              <w:spacing w:after="0" w:line="240" w:lineRule="auto"/>
              <w:rPr>
                <w:rFonts w:ascii="Arial" w:eastAsia="Times New Roman" w:hAnsi="Arial" w:cs="Arial"/>
                <w:i/>
                <w:iCs/>
                <w:sz w:val="24"/>
                <w:szCs w:val="24"/>
              </w:rPr>
            </w:pPr>
            <w:r w:rsidRPr="0035519F">
              <w:rPr>
                <w:rFonts w:ascii="Arial" w:eastAsia="Times New Roman" w:hAnsi="Arial" w:cs="Arial"/>
                <w:i/>
                <w:iCs/>
                <w:sz w:val="24"/>
                <w:szCs w:val="24"/>
              </w:rPr>
              <w:t xml:space="preserve">Waist to Hip Ratio </w:t>
            </w:r>
          </w:p>
        </w:tc>
      </w:tr>
    </w:tbl>
    <w:p w14:paraId="63FB5465" w14:textId="77777777" w:rsidR="007757AB" w:rsidRPr="0035519F" w:rsidRDefault="007757AB" w:rsidP="007757AB"/>
    <w:p w14:paraId="3BE19AAE" w14:textId="77777777" w:rsidR="007757AB" w:rsidRPr="0035519F" w:rsidRDefault="007757AB" w:rsidP="007757AB"/>
    <w:p w14:paraId="58F7E5F1" w14:textId="77777777" w:rsidR="007757AB" w:rsidRPr="0035519F" w:rsidRDefault="007757AB" w:rsidP="007757AB">
      <w:pPr>
        <w:sectPr w:rsidR="007757AB" w:rsidRPr="0035519F" w:rsidSect="007A22B7">
          <w:pgSz w:w="12240" w:h="15840"/>
          <w:pgMar w:top="2268" w:right="1701" w:bottom="1701" w:left="2268" w:header="709" w:footer="709" w:gutter="0"/>
          <w:pgNumType w:fmt="lowerRoman" w:start="2"/>
          <w:cols w:space="708"/>
          <w:docGrid w:linePitch="360"/>
        </w:sectPr>
      </w:pPr>
    </w:p>
    <w:p w14:paraId="393D3B7F" w14:textId="77777777" w:rsidR="007757AB" w:rsidRPr="0035519F" w:rsidRDefault="007757AB" w:rsidP="00891FA6">
      <w:pPr>
        <w:pStyle w:val="Heading1"/>
        <w:rPr>
          <w:rFonts w:cs="Arial"/>
          <w:color w:val="auto"/>
          <w:sz w:val="28"/>
          <w:szCs w:val="28"/>
        </w:rPr>
      </w:pPr>
      <w:bookmarkStart w:id="9" w:name="_Toc111022747"/>
      <w:r w:rsidRPr="0035519F">
        <w:rPr>
          <w:rFonts w:cs="Arial"/>
          <w:color w:val="auto"/>
          <w:sz w:val="28"/>
          <w:szCs w:val="28"/>
        </w:rPr>
        <w:lastRenderedPageBreak/>
        <w:t>BAB I</w:t>
      </w:r>
      <w:bookmarkEnd w:id="9"/>
    </w:p>
    <w:p w14:paraId="7D205505" w14:textId="77777777" w:rsidR="007757AB" w:rsidRPr="0035519F" w:rsidRDefault="007757AB" w:rsidP="00891FA6">
      <w:pPr>
        <w:pStyle w:val="Heading1"/>
        <w:rPr>
          <w:rFonts w:cs="Arial"/>
          <w:color w:val="auto"/>
          <w:sz w:val="28"/>
          <w:szCs w:val="28"/>
        </w:rPr>
      </w:pPr>
      <w:bookmarkStart w:id="10" w:name="_Toc111022748"/>
      <w:r w:rsidRPr="0035519F">
        <w:rPr>
          <w:rFonts w:cs="Arial"/>
          <w:color w:val="auto"/>
          <w:sz w:val="28"/>
          <w:szCs w:val="28"/>
        </w:rPr>
        <w:t>PENDAHULUAN</w:t>
      </w:r>
      <w:bookmarkEnd w:id="10"/>
    </w:p>
    <w:p w14:paraId="5C6A9182" w14:textId="77777777" w:rsidR="001C440B" w:rsidRPr="0035519F" w:rsidRDefault="001C440B" w:rsidP="001C440B"/>
    <w:p w14:paraId="7F5D0941" w14:textId="77777777" w:rsidR="007757AB" w:rsidRPr="0035519F" w:rsidRDefault="007757AB" w:rsidP="00891FA6">
      <w:pPr>
        <w:pStyle w:val="ListParagraph"/>
        <w:numPr>
          <w:ilvl w:val="0"/>
          <w:numId w:val="24"/>
        </w:numPr>
        <w:spacing w:after="0" w:line="480" w:lineRule="auto"/>
        <w:ind w:left="426" w:hanging="426"/>
        <w:jc w:val="center"/>
        <w:outlineLvl w:val="1"/>
        <w:rPr>
          <w:rFonts w:ascii="Arial" w:hAnsi="Arial" w:cs="Arial"/>
          <w:b/>
          <w:sz w:val="24"/>
          <w:szCs w:val="24"/>
        </w:rPr>
      </w:pPr>
      <w:bookmarkStart w:id="11" w:name="_Toc111022749"/>
      <w:r w:rsidRPr="0035519F">
        <w:rPr>
          <w:rFonts w:ascii="Arial" w:hAnsi="Arial" w:cs="Arial"/>
          <w:b/>
          <w:sz w:val="24"/>
          <w:szCs w:val="24"/>
        </w:rPr>
        <w:t>Latar Belakang</w:t>
      </w:r>
      <w:bookmarkEnd w:id="11"/>
    </w:p>
    <w:p w14:paraId="2F390B6F" w14:textId="77777777" w:rsidR="00A94CFF" w:rsidRPr="0035519F" w:rsidRDefault="00ED3FD4" w:rsidP="002158CD">
      <w:pPr>
        <w:spacing w:after="0" w:line="480" w:lineRule="auto"/>
        <w:ind w:firstLine="426"/>
        <w:jc w:val="both"/>
        <w:rPr>
          <w:rFonts w:ascii="Arial" w:hAnsi="Arial" w:cs="Arial"/>
          <w:sz w:val="24"/>
          <w:szCs w:val="24"/>
        </w:rPr>
      </w:pPr>
      <w:r w:rsidRPr="0035519F">
        <w:rPr>
          <w:rFonts w:ascii="Arial" w:hAnsi="Arial" w:cs="Arial"/>
          <w:sz w:val="24"/>
          <w:szCs w:val="24"/>
        </w:rPr>
        <w:t xml:space="preserve">Obesitas </w:t>
      </w:r>
      <w:r w:rsidR="00666380" w:rsidRPr="0035519F">
        <w:rPr>
          <w:rFonts w:ascii="Arial" w:hAnsi="Arial" w:cs="Arial"/>
          <w:sz w:val="24"/>
          <w:szCs w:val="24"/>
        </w:rPr>
        <w:t>adalah</w:t>
      </w:r>
      <w:r w:rsidRPr="0035519F">
        <w:rPr>
          <w:rFonts w:ascii="Arial" w:hAnsi="Arial" w:cs="Arial"/>
          <w:sz w:val="24"/>
          <w:szCs w:val="24"/>
        </w:rPr>
        <w:t xml:space="preserve"> akumulasi lemak abnormal atau berlebihan yang menimbulka</w:t>
      </w:r>
      <w:r w:rsidR="0003017A" w:rsidRPr="0035519F">
        <w:rPr>
          <w:rFonts w:ascii="Arial" w:hAnsi="Arial" w:cs="Arial"/>
          <w:sz w:val="24"/>
          <w:szCs w:val="24"/>
        </w:rPr>
        <w:t>n risiko bagi kesehatan</w:t>
      </w:r>
      <w:r w:rsidRPr="0035519F">
        <w:rPr>
          <w:rFonts w:ascii="Arial" w:hAnsi="Arial" w:cs="Arial"/>
          <w:sz w:val="24"/>
          <w:szCs w:val="24"/>
        </w:rPr>
        <w:t xml:space="preserve">. </w:t>
      </w:r>
      <w:r w:rsidR="00666380" w:rsidRPr="0035519F">
        <w:rPr>
          <w:rFonts w:ascii="Arial" w:hAnsi="Arial" w:cs="Arial"/>
          <w:sz w:val="24"/>
          <w:szCs w:val="24"/>
        </w:rPr>
        <w:t>Masalah ini</w:t>
      </w:r>
      <w:r w:rsidRPr="0035519F">
        <w:rPr>
          <w:rFonts w:ascii="Arial" w:hAnsi="Arial" w:cs="Arial"/>
          <w:sz w:val="24"/>
          <w:szCs w:val="24"/>
        </w:rPr>
        <w:t xml:space="preserve"> menjadi epidemi dengan lebih dari 4 juta orang meninggal setiap tahun akibat </w:t>
      </w:r>
      <w:r w:rsidR="0003017A" w:rsidRPr="0035519F">
        <w:rPr>
          <w:rFonts w:ascii="Arial" w:hAnsi="Arial" w:cs="Arial"/>
          <w:i/>
          <w:sz w:val="24"/>
          <w:szCs w:val="24"/>
        </w:rPr>
        <w:t>overweight</w:t>
      </w:r>
      <w:r w:rsidRPr="0035519F">
        <w:rPr>
          <w:rFonts w:ascii="Arial" w:hAnsi="Arial" w:cs="Arial"/>
          <w:sz w:val="24"/>
          <w:szCs w:val="24"/>
        </w:rPr>
        <w:t xml:space="preserve"> atau obesitas pada tahun 2017. Prevalensi anak-anak dan remaja dengan </w:t>
      </w:r>
      <w:r w:rsidR="0003017A" w:rsidRPr="0035519F">
        <w:rPr>
          <w:rFonts w:ascii="Arial" w:hAnsi="Arial" w:cs="Arial"/>
          <w:i/>
          <w:sz w:val="24"/>
          <w:szCs w:val="24"/>
        </w:rPr>
        <w:t>overweight</w:t>
      </w:r>
      <w:r w:rsidRPr="0035519F">
        <w:rPr>
          <w:rFonts w:ascii="Arial" w:hAnsi="Arial" w:cs="Arial"/>
          <w:sz w:val="24"/>
          <w:szCs w:val="24"/>
        </w:rPr>
        <w:t xml:space="preserve"> atau obesitas berusia 5-19 tahun meningkat lebih dari empat kali lipat da</w:t>
      </w:r>
      <w:r w:rsidR="0003017A" w:rsidRPr="0035519F">
        <w:rPr>
          <w:rFonts w:ascii="Arial" w:hAnsi="Arial" w:cs="Arial"/>
          <w:sz w:val="24"/>
          <w:szCs w:val="24"/>
        </w:rPr>
        <w:t>ri 4% menjadi 18% secara global</w:t>
      </w:r>
      <w:r w:rsidR="003B14CE" w:rsidRPr="0035519F">
        <w:rPr>
          <w:rFonts w:ascii="Arial" w:hAnsi="Arial" w:cs="Arial"/>
          <w:sz w:val="24"/>
          <w:szCs w:val="24"/>
        </w:rPr>
        <w:t xml:space="preserve"> </w:t>
      </w:r>
      <w:r w:rsidR="00643449" w:rsidRPr="0035519F">
        <w:rPr>
          <w:rFonts w:ascii="Arial" w:hAnsi="Arial" w:cs="Arial"/>
          <w:sz w:val="24"/>
          <w:szCs w:val="24"/>
        </w:rPr>
        <w:fldChar w:fldCharType="begin" w:fldLock="1"/>
      </w:r>
      <w:r w:rsidR="00643449" w:rsidRPr="0035519F">
        <w:rPr>
          <w:rFonts w:ascii="Arial" w:hAnsi="Arial" w:cs="Arial"/>
          <w:sz w:val="24"/>
          <w:szCs w:val="24"/>
        </w:rPr>
        <w:instrText>ADDIN CSL_CITATION {"citationItems":[{"id":"ITEM-1","itemData":{"DOI":"10.1016/j.cca.2011.11.015","ISSN":"00098981","PMID":"22133783","abstract":"Background: Insulin-like growth factor-1 (IGF-1) is associated with obesity and aging, and was recently linked to metabolic syndrome (MetS) and insulin resistance. However, little is known about the relationship between IGF-1 and adiponectin (adiponectin), another marker of MetS. Methods: We measured the plasma IGF-1 and adiponectin levels of 3099 subjects (1869 males, 55.9. ± 10.8. y). We applied the Korean-modified International Diabetes Foundation (k-IDF) criteria for determination of, and risk assessment for, MetS. Results: K-IDF criteria-based MetS occurred in 37.0% (n = 1146) of patients. IGF-1 (91.5 vs. 97.3. ng/ml, p. &lt; 0.001) and adiponectin (3.95 vs. 4.23. μg/ml, p. &lt; 0.001) were significantly lower in MetS patients than without MetS. Lower IGF-1 was associated with increasing numbers of MetS abnormalities, independent of adiponectin (p for trend. &lt; 0.001, F = 12.615, p. &lt; 0.001 in ANCOVA). MetS prevalence in individuals with both high IGF-1 and adiponectin levels (6.7%, n = 206) was significantly lower than in other groups. Both high IGF-1 and adiponectin group was associated with reduced MetS risk after adjusting for other confounding factors (OR 0.694, 95% CI 0.493-0.977, p = 0.036). Conclusions: IGF-1 was associated with MetS independent of adiponectin in our study. The independent relationship between IGF-1 and MetS provides insight into the pathophysiologic mechanisms of MetS. © 2011 Elsevier B.V.","author":[{"dropping-particle":"","family":"Oh","given":"Jaewon","non-dropping-particle":"","parse-names":false,"suffix":""},{"dropping-particle":"","family":"Kim","given":"Jong Youn","non-dropping-particle":"","parse-names":false,"suffix":""},{"dropping-particle":"","family":"Park","given":"Sungha","non-dropping-particle":"","parse-names":false,"suffix":""},{"dropping-particle":"","family":"Youn","given":"Jong Chan","non-dropping-particle":"","parse-names":false,"suffix":""},{"dropping-particle":"","family":"Son","given":"Nak Hoon","non-dropping-particle":"","parse-names":false,"suffix":""},{"dropping-particle":"","family":"Shin","given":"Dong Jik","non-dropping-particle":"","parse-names":false,"suffix":""},{"dropping-particle":"","family":"Lee","given":"Sang Hak","non-dropping-particle":"","parse-names":false,"suffix":""},{"dropping-particle":"","family":"Kang","given":"Seok Min","non-dropping-particle":"","parse-names":false,"suffix":""},{"dropping-particle":"","family":"Jee","given":"Sun Ha","non-dropping-particle":"","parse-names":false,"suffix":""},{"dropping-particle":"","family":"Jang","given":"Yangsoo","non-dropping-particle":"","parse-names":false,"suffix":""}],"container-title":"Clinica Chimica Acta","id":"ITEM-1","issue":"3-4","issued":{"date-parts":[["2012","2","18"]]},"page":"506-510","publisher":"Elsevier","title":"The relationship between insulin-like growth factor-1 and metabolic syndrome, independent of adiponectin","type":"article-journal","volume":"413"},"uris":["http://www.mendeley.com/documents/?uuid=cdd2ab6b-41c5-34a1-b166-1b860946c8a6"]}],"mendeley":{"formattedCitation":"(Oh &lt;i&gt;et al.&lt;/i&gt;, 2012)","plainTextFormattedCitation":"(Oh et al., 2012)","previouslyFormattedCitation":"(Oh &lt;i&gt;et al.&lt;/i&gt;, 2012)"},"properties":{"noteIndex":0},"schema":"https://github.com/citation-style-language/schema/raw/master/csl-citation.json"}</w:instrText>
      </w:r>
      <w:r w:rsidR="00643449" w:rsidRPr="0035519F">
        <w:rPr>
          <w:rFonts w:ascii="Arial" w:hAnsi="Arial" w:cs="Arial"/>
          <w:sz w:val="24"/>
          <w:szCs w:val="24"/>
        </w:rPr>
        <w:fldChar w:fldCharType="separate"/>
      </w:r>
      <w:r w:rsidR="00643449" w:rsidRPr="0035519F">
        <w:rPr>
          <w:rFonts w:ascii="Arial" w:hAnsi="Arial" w:cs="Arial"/>
          <w:noProof/>
          <w:sz w:val="24"/>
          <w:szCs w:val="24"/>
        </w:rPr>
        <w:t xml:space="preserve">(Oh </w:t>
      </w:r>
      <w:r w:rsidR="00643449" w:rsidRPr="0035519F">
        <w:rPr>
          <w:rFonts w:ascii="Arial" w:hAnsi="Arial" w:cs="Arial"/>
          <w:i/>
          <w:noProof/>
          <w:sz w:val="24"/>
          <w:szCs w:val="24"/>
        </w:rPr>
        <w:t>et al.</w:t>
      </w:r>
      <w:r w:rsidR="00643449" w:rsidRPr="0035519F">
        <w:rPr>
          <w:rFonts w:ascii="Arial" w:hAnsi="Arial" w:cs="Arial"/>
          <w:noProof/>
          <w:sz w:val="24"/>
          <w:szCs w:val="24"/>
        </w:rPr>
        <w:t>, 2012)</w:t>
      </w:r>
      <w:r w:rsidR="00643449" w:rsidRPr="0035519F">
        <w:rPr>
          <w:rFonts w:ascii="Arial" w:hAnsi="Arial" w:cs="Arial"/>
          <w:sz w:val="24"/>
          <w:szCs w:val="24"/>
        </w:rPr>
        <w:fldChar w:fldCharType="end"/>
      </w:r>
      <w:r w:rsidR="009B2FA0" w:rsidRPr="0035519F">
        <w:rPr>
          <w:rFonts w:ascii="Arial" w:hAnsi="Arial" w:cs="Arial"/>
          <w:sz w:val="24"/>
          <w:szCs w:val="24"/>
        </w:rPr>
        <w:t xml:space="preserve">, </w:t>
      </w:r>
      <w:r w:rsidR="00EC6AC6" w:rsidRPr="0035519F">
        <w:rPr>
          <w:rFonts w:ascii="Arial" w:hAnsi="Arial" w:cs="Arial"/>
          <w:sz w:val="24"/>
          <w:szCs w:val="24"/>
        </w:rPr>
        <w:fldChar w:fldCharType="begin" w:fldLock="1"/>
      </w:r>
      <w:r w:rsidR="003B14CE" w:rsidRPr="0035519F">
        <w:rPr>
          <w:rFonts w:ascii="Arial" w:hAnsi="Arial" w:cs="Arial"/>
          <w:sz w:val="24"/>
          <w:szCs w:val="24"/>
        </w:rPr>
        <w:instrText>ADDIN CSL_CITATION {"citationItems":[{"id":"ITEM-1","itemData":{"URL":"https://www.who.int/health-topics/obesity#tab=tab_1","accessed":{"date-parts":[["2021","8","24"]]},"author":[{"dropping-particle":"","family":"World Health Organisation (WHO)","given":"","non-dropping-particle":"","parse-names":false,"suffix":""}],"id":"ITEM-1","issued":{"date-parts":[["2022"]]},"title":"Obesity","type":"webpage"},"uris":["http://www.mendeley.com/documents/?uuid=73ded921-d0a2-335f-9c94-fda576fddf42"]}],"mendeley":{"formattedCitation":"(World Health Organisation (WHO), 2022)","plainTextFormattedCitation":"(World Health Organisation (WHO), 2022)","previouslyFormattedCitation":"(World Health Organisation (WHO), 2022)"},"properties":{"noteIndex":0},"schema":"https://github.com/citation-style-language/schema/raw/master/csl-citation.json"}</w:instrText>
      </w:r>
      <w:r w:rsidR="00EC6AC6" w:rsidRPr="0035519F">
        <w:rPr>
          <w:rFonts w:ascii="Arial" w:hAnsi="Arial" w:cs="Arial"/>
          <w:sz w:val="24"/>
          <w:szCs w:val="24"/>
        </w:rPr>
        <w:fldChar w:fldCharType="separate"/>
      </w:r>
      <w:r w:rsidR="003B14CE" w:rsidRPr="0035519F">
        <w:rPr>
          <w:rFonts w:ascii="Arial" w:hAnsi="Arial" w:cs="Arial"/>
          <w:noProof/>
          <w:sz w:val="24"/>
          <w:szCs w:val="24"/>
        </w:rPr>
        <w:t>(World Health Organisation (WHO), 2022)</w:t>
      </w:r>
      <w:r w:rsidR="00EC6AC6" w:rsidRPr="0035519F">
        <w:rPr>
          <w:rFonts w:ascii="Arial" w:hAnsi="Arial" w:cs="Arial"/>
          <w:sz w:val="24"/>
          <w:szCs w:val="24"/>
        </w:rPr>
        <w:fldChar w:fldCharType="end"/>
      </w:r>
      <w:r w:rsidR="0003017A" w:rsidRPr="0035519F">
        <w:rPr>
          <w:rFonts w:ascii="Arial" w:hAnsi="Arial" w:cs="Arial"/>
          <w:sz w:val="24"/>
          <w:szCs w:val="24"/>
        </w:rPr>
        <w:t>.</w:t>
      </w:r>
      <w:r w:rsidR="002158CD" w:rsidRPr="0035519F">
        <w:rPr>
          <w:rFonts w:ascii="Arial" w:hAnsi="Arial" w:cs="Arial"/>
          <w:sz w:val="24"/>
          <w:szCs w:val="24"/>
        </w:rPr>
        <w:t xml:space="preserve"> Angka obesitas b</w:t>
      </w:r>
      <w:r w:rsidR="00A94CFF" w:rsidRPr="0035519F">
        <w:rPr>
          <w:rFonts w:ascii="Arial" w:hAnsi="Arial" w:cs="Arial"/>
          <w:sz w:val="24"/>
          <w:szCs w:val="24"/>
        </w:rPr>
        <w:t>erdasarkan</w:t>
      </w:r>
      <w:r w:rsidR="0003017A" w:rsidRPr="0035519F">
        <w:rPr>
          <w:rFonts w:ascii="Arial" w:hAnsi="Arial" w:cs="Arial"/>
          <w:sz w:val="24"/>
          <w:szCs w:val="24"/>
        </w:rPr>
        <w:t xml:space="preserve"> Survei Indikator Kesehatan Nasional</w:t>
      </w:r>
      <w:r w:rsidR="00A94CFF" w:rsidRPr="0035519F">
        <w:rPr>
          <w:rFonts w:ascii="Arial" w:hAnsi="Arial" w:cs="Arial"/>
          <w:sz w:val="24"/>
          <w:szCs w:val="24"/>
        </w:rPr>
        <w:t xml:space="preserve"> </w:t>
      </w:r>
      <w:r w:rsidR="0003017A" w:rsidRPr="0035519F">
        <w:rPr>
          <w:rFonts w:ascii="Arial" w:hAnsi="Arial" w:cs="Arial"/>
          <w:sz w:val="24"/>
          <w:szCs w:val="24"/>
        </w:rPr>
        <w:t>(</w:t>
      </w:r>
      <w:r w:rsidR="00A94CFF" w:rsidRPr="0035519F">
        <w:rPr>
          <w:rFonts w:ascii="Arial" w:hAnsi="Arial" w:cs="Arial"/>
          <w:sz w:val="24"/>
          <w:szCs w:val="24"/>
        </w:rPr>
        <w:t>SIRKESNAS</w:t>
      </w:r>
      <w:r w:rsidR="0003017A" w:rsidRPr="0035519F">
        <w:rPr>
          <w:rFonts w:ascii="Arial" w:hAnsi="Arial" w:cs="Arial"/>
          <w:sz w:val="24"/>
          <w:szCs w:val="24"/>
        </w:rPr>
        <w:t>)</w:t>
      </w:r>
      <w:r w:rsidR="0084031F" w:rsidRPr="0035519F">
        <w:rPr>
          <w:rFonts w:ascii="Arial" w:hAnsi="Arial" w:cs="Arial"/>
          <w:sz w:val="24"/>
          <w:szCs w:val="24"/>
        </w:rPr>
        <w:t xml:space="preserve"> pada tahun 2016 </w:t>
      </w:r>
      <w:r w:rsidR="00C507E6" w:rsidRPr="0035519F">
        <w:rPr>
          <w:rFonts w:ascii="Arial" w:hAnsi="Arial" w:cs="Arial"/>
          <w:sz w:val="24"/>
          <w:szCs w:val="24"/>
        </w:rPr>
        <w:t xml:space="preserve">berdasarkan Indeks Massa Tubuh (IMT), </w:t>
      </w:r>
      <w:r w:rsidR="00340083" w:rsidRPr="0035519F">
        <w:rPr>
          <w:rFonts w:ascii="Arial" w:hAnsi="Arial" w:cs="Arial"/>
          <w:sz w:val="24"/>
          <w:szCs w:val="24"/>
        </w:rPr>
        <w:t xml:space="preserve">(IMT ≥ 27) </w:t>
      </w:r>
      <w:r w:rsidR="00A94CFF" w:rsidRPr="0035519F">
        <w:rPr>
          <w:rFonts w:ascii="Arial" w:hAnsi="Arial" w:cs="Arial"/>
          <w:sz w:val="24"/>
          <w:szCs w:val="24"/>
        </w:rPr>
        <w:t>meningkat menjadi 20,7% sementara obesitas</w:t>
      </w:r>
      <w:r w:rsidR="00340083" w:rsidRPr="0035519F">
        <w:rPr>
          <w:rFonts w:ascii="Arial" w:hAnsi="Arial" w:cs="Arial"/>
          <w:sz w:val="24"/>
          <w:szCs w:val="24"/>
        </w:rPr>
        <w:t xml:space="preserve"> (IMT ≥ 25) </w:t>
      </w:r>
      <w:r w:rsidR="00A94CFF" w:rsidRPr="0035519F">
        <w:rPr>
          <w:rFonts w:ascii="Arial" w:hAnsi="Arial" w:cs="Arial"/>
          <w:sz w:val="24"/>
          <w:szCs w:val="24"/>
        </w:rPr>
        <w:t xml:space="preserve"> menjadi 33,5%</w:t>
      </w:r>
      <w:r w:rsidR="003B14CE"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{"citationItems":[{"id":"ITEM-1","itemData":{"URL":"http://p2ptm.kemkes.go.id/dokumen-ptm/pedoman-umum-gentas-gerakan-berantas-obesitas","accessed":{"date-parts":[["2021","12","27"]]},"author":[{"dropping-particle":"","family":"Kementerian Kesehatan RI","given":"","non-dropping-particle":"","parse-names":false,"suffix":""}],"id":"ITEM-1","issued":{"date-parts":[["2017"]]},"title":"Pedoman Umum Gentas (Gerakan berantas obesitas) - Direktorat P2PTM","type":"webpage"},"uris":["http://www.mendeley.com/documents/?uuid=70b7c74c-a46d-34f2-bae0-b976fbac9436"]}],"mendeley":{"formattedCitation":"(Kementerian Kesehatan RI, 2017)","plainTextFormattedCitation":"(Kementerian Kesehatan RI, 2017)","previouslyFormattedCitation":"(Kementerian Kesehatan RI, 2017)"},"properties":{"noteIndex":0},"schema":"https://github.com/citation-style-language/schema/raw/master/csl-citation.json"}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(Kementerian Kesehatan RI, 2017)</w:t>
      </w:r>
      <w:r w:rsidR="0003017A" w:rsidRPr="0035519F">
        <w:rPr>
          <w:rFonts w:ascii="Arial" w:hAnsi="Arial" w:cs="Arial"/>
          <w:sz w:val="24"/>
          <w:szCs w:val="24"/>
        </w:rPr>
        <w:fldChar w:fldCharType="end"/>
      </w:r>
      <w:r w:rsidR="00A94CFF" w:rsidRPr="0035519F">
        <w:rPr>
          <w:rFonts w:ascii="Arial" w:hAnsi="Arial" w:cs="Arial"/>
          <w:sz w:val="24"/>
          <w:szCs w:val="24"/>
        </w:rPr>
        <w:t>.</w:t>
      </w:r>
    </w:p>
    <w:p w14:paraId="3A786EE0" w14:textId="77777777" w:rsidR="002158CD" w:rsidRPr="0035519F" w:rsidRDefault="002158CD" w:rsidP="00184CD6">
      <w:pPr>
        <w:spacing w:after="0" w:line="480" w:lineRule="auto"/>
        <w:ind w:firstLine="426"/>
        <w:jc w:val="both"/>
        <w:rPr>
          <w:rFonts w:ascii="Arial" w:hAnsi="Arial" w:cs="Arial"/>
          <w:sz w:val="24"/>
          <w:szCs w:val="24"/>
        </w:rPr>
      </w:pPr>
      <w:r w:rsidRPr="0035519F">
        <w:rPr>
          <w:rFonts w:ascii="Arial" w:hAnsi="Arial" w:cs="Arial"/>
          <w:sz w:val="24"/>
          <w:szCs w:val="24"/>
        </w:rPr>
        <w:t xml:space="preserve">Berdasarkan </w:t>
      </w:r>
      <w:r w:rsidR="00666380" w:rsidRPr="0035519F">
        <w:rPr>
          <w:rFonts w:ascii="Arial" w:hAnsi="Arial" w:cs="Arial"/>
          <w:sz w:val="24"/>
          <w:szCs w:val="24"/>
        </w:rPr>
        <w:t>distribusi lemak tubuh</w:t>
      </w:r>
      <w:r w:rsidRPr="0035519F">
        <w:rPr>
          <w:rFonts w:ascii="Arial" w:hAnsi="Arial" w:cs="Arial"/>
          <w:sz w:val="24"/>
          <w:szCs w:val="24"/>
        </w:rPr>
        <w:t>, obesitas dibagi menjadi dua tipe yaitu obesitas sentral dan perifer. Pada obesitas sentral terjadi penimbunan lemak dalam tubuh di daerah abdomen. Sedangkan obesitas perifer adalah penimbunan</w:t>
      </w:r>
      <w:r w:rsidR="00BD5E8B" w:rsidRPr="0035519F">
        <w:rPr>
          <w:rFonts w:ascii="Arial" w:hAnsi="Arial" w:cs="Arial"/>
          <w:sz w:val="24"/>
          <w:szCs w:val="24"/>
        </w:rPr>
        <w:t xml:space="preserve"> </w:t>
      </w:r>
      <w:r w:rsidRPr="0035519F">
        <w:rPr>
          <w:rFonts w:ascii="Arial" w:hAnsi="Arial" w:cs="Arial"/>
          <w:sz w:val="24"/>
          <w:szCs w:val="24"/>
        </w:rPr>
        <w:t>lemak di daerah gluteofemoral.</w:t>
      </w:r>
      <w:r w:rsidR="00BD5E8B" w:rsidRPr="0035519F">
        <w:rPr>
          <w:rFonts w:ascii="Arial" w:hAnsi="Arial" w:cs="Arial"/>
          <w:sz w:val="24"/>
          <w:szCs w:val="24"/>
        </w:rPr>
        <w:t xml:space="preserve"> </w:t>
      </w:r>
      <w:r w:rsidRPr="0035519F">
        <w:rPr>
          <w:rFonts w:ascii="Arial" w:hAnsi="Arial" w:cs="Arial"/>
          <w:sz w:val="24"/>
          <w:szCs w:val="24"/>
        </w:rPr>
        <w:t>Obesitas sentral dapat diketahui</w:t>
      </w:r>
      <w:r w:rsidR="00BD5E8B" w:rsidRPr="0035519F">
        <w:rPr>
          <w:rFonts w:ascii="Arial" w:hAnsi="Arial" w:cs="Arial"/>
          <w:sz w:val="24"/>
          <w:szCs w:val="24"/>
        </w:rPr>
        <w:t xml:space="preserve"> </w:t>
      </w:r>
      <w:r w:rsidRPr="0035519F">
        <w:rPr>
          <w:rFonts w:ascii="Arial" w:hAnsi="Arial" w:cs="Arial"/>
          <w:sz w:val="24"/>
          <w:szCs w:val="24"/>
        </w:rPr>
        <w:t xml:space="preserve">melalui indikator </w:t>
      </w:r>
      <w:r w:rsidR="00BD5E8B" w:rsidRPr="0035519F">
        <w:rPr>
          <w:rFonts w:ascii="Arial" w:hAnsi="Arial" w:cs="Arial"/>
          <w:sz w:val="24"/>
          <w:szCs w:val="24"/>
        </w:rPr>
        <w:t xml:space="preserve">lingkar pinggang dan </w:t>
      </w:r>
      <w:r w:rsidRPr="0035519F">
        <w:rPr>
          <w:rFonts w:ascii="Arial" w:hAnsi="Arial" w:cs="Arial"/>
          <w:sz w:val="24"/>
          <w:szCs w:val="24"/>
        </w:rPr>
        <w:t>rasio lingkar pinggang dan panggul (RLPP). Menurut WHO</w:t>
      </w:r>
      <w:r w:rsidR="00BD5E8B" w:rsidRPr="0035519F">
        <w:rPr>
          <w:rFonts w:ascii="Arial" w:hAnsi="Arial" w:cs="Arial"/>
          <w:sz w:val="24"/>
          <w:szCs w:val="24"/>
        </w:rPr>
        <w:t xml:space="preserve"> </w:t>
      </w:r>
      <w:r w:rsidRPr="0035519F">
        <w:rPr>
          <w:rFonts w:ascii="Arial" w:hAnsi="Arial" w:cs="Arial"/>
          <w:sz w:val="24"/>
          <w:szCs w:val="24"/>
        </w:rPr>
        <w:t xml:space="preserve">batasan </w:t>
      </w:r>
      <w:r w:rsidR="00BD5E8B" w:rsidRPr="0035519F">
        <w:rPr>
          <w:rFonts w:ascii="Arial" w:hAnsi="Arial" w:cs="Arial"/>
          <w:sz w:val="24"/>
          <w:szCs w:val="24"/>
        </w:rPr>
        <w:t xml:space="preserve">lingkar pinggang </w:t>
      </w:r>
      <w:r w:rsidRPr="0035519F">
        <w:rPr>
          <w:rFonts w:ascii="Arial" w:hAnsi="Arial" w:cs="Arial"/>
          <w:sz w:val="24"/>
          <w:szCs w:val="24"/>
        </w:rPr>
        <w:t>untuk obesitas sentral</w:t>
      </w:r>
      <w:r w:rsidR="00BD5E8B" w:rsidRPr="0035519F">
        <w:rPr>
          <w:rFonts w:ascii="Arial" w:hAnsi="Arial" w:cs="Arial"/>
          <w:sz w:val="24"/>
          <w:szCs w:val="24"/>
        </w:rPr>
        <w:t xml:space="preserve"> </w:t>
      </w:r>
      <w:r w:rsidRPr="0035519F">
        <w:rPr>
          <w:rFonts w:ascii="Arial" w:hAnsi="Arial" w:cs="Arial"/>
          <w:sz w:val="24"/>
          <w:szCs w:val="24"/>
        </w:rPr>
        <w:t>negara Asia termasuk Indonesia pada</w:t>
      </w:r>
      <w:r w:rsidR="00BD5E8B" w:rsidRPr="0035519F">
        <w:rPr>
          <w:rFonts w:ascii="Arial" w:hAnsi="Arial" w:cs="Arial"/>
          <w:sz w:val="24"/>
          <w:szCs w:val="24"/>
        </w:rPr>
        <w:t xml:space="preserve"> </w:t>
      </w:r>
      <w:r w:rsidRPr="0035519F">
        <w:rPr>
          <w:rFonts w:ascii="Arial" w:hAnsi="Arial" w:cs="Arial"/>
          <w:sz w:val="24"/>
          <w:szCs w:val="24"/>
        </w:rPr>
        <w:t xml:space="preserve">laki-laki adalah </w:t>
      </w:r>
      <w:r w:rsidR="00BD5E8B" w:rsidRPr="0035519F">
        <w:rPr>
          <w:rFonts w:ascii="Arial" w:hAnsi="Arial" w:cs="Arial"/>
          <w:sz w:val="24"/>
          <w:szCs w:val="24"/>
        </w:rPr>
        <w:t xml:space="preserve">≥ </w:t>
      </w:r>
      <w:r w:rsidRPr="0035519F">
        <w:rPr>
          <w:rFonts w:ascii="Arial" w:hAnsi="Arial" w:cs="Arial"/>
          <w:sz w:val="24"/>
          <w:szCs w:val="24"/>
        </w:rPr>
        <w:t>90</w:t>
      </w:r>
      <w:r w:rsidR="00BD5E8B" w:rsidRPr="0035519F">
        <w:rPr>
          <w:rFonts w:ascii="Arial" w:hAnsi="Arial" w:cs="Arial"/>
          <w:sz w:val="24"/>
          <w:szCs w:val="24"/>
        </w:rPr>
        <w:t xml:space="preserve"> cm</w:t>
      </w:r>
      <w:r w:rsidRPr="0035519F">
        <w:rPr>
          <w:rFonts w:ascii="Arial" w:hAnsi="Arial" w:cs="Arial"/>
          <w:sz w:val="24"/>
          <w:szCs w:val="24"/>
        </w:rPr>
        <w:t xml:space="preserve"> dan pada</w:t>
      </w:r>
      <w:r w:rsidR="00BD5E8B" w:rsidRPr="0035519F">
        <w:rPr>
          <w:rFonts w:ascii="Arial" w:hAnsi="Arial" w:cs="Arial"/>
          <w:sz w:val="24"/>
          <w:szCs w:val="24"/>
        </w:rPr>
        <w:t xml:space="preserve"> </w:t>
      </w:r>
      <w:r w:rsidRPr="0035519F">
        <w:rPr>
          <w:rFonts w:ascii="Arial" w:hAnsi="Arial" w:cs="Arial"/>
          <w:sz w:val="24"/>
          <w:szCs w:val="24"/>
        </w:rPr>
        <w:t xml:space="preserve">perempuan </w:t>
      </w:r>
      <w:r w:rsidR="00BD5E8B" w:rsidRPr="0035519F">
        <w:rPr>
          <w:rFonts w:ascii="Arial" w:hAnsi="Arial" w:cs="Arial"/>
          <w:sz w:val="24"/>
          <w:szCs w:val="24"/>
        </w:rPr>
        <w:t>≥ 80 cm</w:t>
      </w:r>
      <w:r w:rsidR="00EC1E76" w:rsidRPr="0035519F">
        <w:rPr>
          <w:rFonts w:ascii="Arial" w:hAnsi="Arial" w:cs="Arial"/>
          <w:sz w:val="24"/>
          <w:szCs w:val="24"/>
        </w:rPr>
        <w:t xml:space="preserve"> </w:t>
      </w:r>
      <w:r w:rsidR="00EC1E76" w:rsidRPr="0035519F">
        <w:rPr>
          <w:rFonts w:ascii="Arial" w:hAnsi="Arial" w:cs="Arial"/>
          <w:sz w:val="24"/>
          <w:szCs w:val="24"/>
        </w:rPr>
        <w:fldChar w:fldCharType="begin" w:fldLock="1"/>
      </w:r>
      <w:r w:rsidR="000971A7" w:rsidRPr="0035519F">
        <w:rPr>
          <w:rFonts w:ascii="Arial" w:hAnsi="Arial" w:cs="Arial"/>
          <w:sz w:val="24"/>
          <w:szCs w:val="24"/>
        </w:rPr>
        <w:instrText>ADDIN CSL_CITATION {"citationItems":[{"id":"ITEM-1","itemData":{"ISBN":"9789241501491","abstract":"A World Health Organization (WHO) Expert Consultation on Waist Circumference (WC) and Waist-Hip Ratio (WHR) was convened in Geneva from 8 to 11 December 2008 to consider approaches to developing international guidelines for indices and action levels in order to characterize health risks associated with these measures of body fat distribution-alternative or complementary to the existing WHO guidelines for assessments of generalized obesity on the basis of body mass index. Six background papers prepared for the Consultation are compiled in this issue. These six papers examine a range of health outcomes and issues, including whether there is a basis for choosing WC over WHR and whether different action levels by gender, age, ethnicity, country or region are warranted. Although guidelines involving WC and WHR are potentially useful and clearly required, the challenges in identifying cutoffs for international guidelines should not be underestimated or oversimplified. The final report and outcomes of the Expert Consultation will be published by WHO.","author":[{"dropping-particle":"","family":"WHO","given":"","non-dropping-particle":"","parse-names":false,"suffix":""}],"id":"ITEM-1","issue":"1","issued":{"date-parts":[["2011"]]},"page":"8-11","title":"Waist Circumference and Waist–Hip Ratio: Report of a WHO Expert Consultation: Ginebra, 8-11, 2011","type":"article-journal"},"uris":["http://www.mendeley.com/documents/?uuid=6e2a1ea5-9178-4d78-b5ad-0234429503a7"]}],"mendeley":{"formattedCitation":"(WHO, 2011)","plainTextFormattedCitation":"(WHO, 2011)","previouslyFormattedCitation":"(WHO, 2011)"},"properties":{"noteIndex":0},"schema":"https://github.com/citation-style-language/schema/raw/master/csl-citation.json"}</w:instrText>
      </w:r>
      <w:r w:rsidR="00EC1E76" w:rsidRPr="0035519F">
        <w:rPr>
          <w:rFonts w:ascii="Arial" w:hAnsi="Arial" w:cs="Arial"/>
          <w:sz w:val="24"/>
          <w:szCs w:val="24"/>
        </w:rPr>
        <w:fldChar w:fldCharType="separate"/>
      </w:r>
      <w:r w:rsidR="00EC1E76" w:rsidRPr="0035519F">
        <w:rPr>
          <w:rFonts w:ascii="Arial" w:hAnsi="Arial" w:cs="Arial"/>
          <w:noProof/>
          <w:sz w:val="24"/>
          <w:szCs w:val="24"/>
        </w:rPr>
        <w:t>(WHO, 2011)</w:t>
      </w:r>
      <w:r w:rsidR="00EC1E76" w:rsidRPr="0035519F">
        <w:rPr>
          <w:rFonts w:ascii="Arial" w:hAnsi="Arial" w:cs="Arial"/>
          <w:sz w:val="24"/>
          <w:szCs w:val="24"/>
        </w:rPr>
        <w:fldChar w:fldCharType="end"/>
      </w:r>
      <w:r w:rsidRPr="0035519F">
        <w:rPr>
          <w:rFonts w:ascii="Arial" w:hAnsi="Arial" w:cs="Arial"/>
          <w:sz w:val="24"/>
          <w:szCs w:val="24"/>
        </w:rPr>
        <w:t>.</w:t>
      </w:r>
      <w:r w:rsidR="00184CD6" w:rsidRPr="0035519F">
        <w:rPr>
          <w:rFonts w:ascii="Arial" w:hAnsi="Arial" w:cs="Arial"/>
          <w:sz w:val="24"/>
          <w:szCs w:val="24"/>
        </w:rPr>
        <w:t xml:space="preserve"> </w:t>
      </w:r>
    </w:p>
    <w:p w14:paraId="39426124" w14:textId="77777777" w:rsidR="00184CD6" w:rsidRPr="0035519F" w:rsidRDefault="00C55D85" w:rsidP="00C55D85">
      <w:pPr>
        <w:spacing w:after="0" w:line="480" w:lineRule="auto"/>
        <w:ind w:firstLine="426"/>
        <w:jc w:val="both"/>
        <w:rPr>
          <w:rFonts w:ascii="Arial" w:hAnsi="Arial" w:cs="Arial"/>
          <w:sz w:val="24"/>
          <w:szCs w:val="24"/>
        </w:rPr>
      </w:pPr>
      <w:r w:rsidRPr="0035519F">
        <w:rPr>
          <w:rFonts w:ascii="Arial" w:hAnsi="Arial" w:cs="Arial"/>
          <w:sz w:val="24"/>
          <w:szCs w:val="24"/>
        </w:rPr>
        <w:t xml:space="preserve">Pengukuran lingkar pinggang lebih menunjukkan hubungan yang kuat dengan lemak viseral intraabdomen dibandingkan dengan RLPP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{"citationItems":[{"id":"ITEM-1","itemData":{"DOI":"10.1038/s41574-019-0310-7","ISSN":"17595037","PMID":"32020062","abstract":"Despite decades of unequivocal evidence that waist circumference provides both independent and additive information to BMI for predicting morbidity and risk of death, this measurement is not routinely obtained in clinical practice. This Consensus Statement proposes that measurements of waist circumference afford practitioners with an important opportunity to improve the management and health of patients. We argue that BMI alone is not sufficient to properly assess or manage the cardiometabolic risk associated with increased adiposity in adults and provide a thorough review of the evidence that will empower health practitioners and professional societies to routinely include waist circumference in the evaluation and management of patients with overweight or obesity. We recommend that decreases in waist circumference are a critically important treatment target for reducing adverse health risks for both men and women. Moreover, we describe evidence that clinically relevant reductions in waist circumference can be achieved by routine, moderate-intensity exercise and/or dietary interventions. We identify gaps in the knowledge, including the refinement of waist circumference threshold values for a given BMI category, to optimize obesity risk stratification across age, sex and ethnicity. We recommend that health professionals are trained to properly perform this simple measurement and consider it as an important ‘vital sign’ in clinical practice.","author":[{"dropping-particle":"","family":"Ross","given":"Robert","non-dropping-particle":"","parse-names":false,"suffix":""},{"dropping-particle":"","family":"Neeland","given":"Ian J.","non-dropping-particle":"","parse-names":false,"suffix":""},{"dropping-particle":"","family":"Yamashita","given":"Shizuya","non-dropping-particle":"","parse-names":false,"suffix":""},{"dropping-particle":"","family":"Shai","given":"Iris","non-dropping-particle":"","parse-names":false,"suffix":""},{"dropping-particle":"","family":"Seidell","given":"Jaap","non-dropping-particle":"","parse-names":false,"suffix":""},{"dropping-particle":"","family":"Magni","given":"Paolo","non-dropping-particle":"","parse-names":false,"suffix":""},{"dropping-particle":"","family":"Santos","given":"Raul D.","non-dropping-particle":"","parse-names":false,"suffix":""},{"dropping-particle":"","family":"Arsenault","given":"Benoit","non-dropping-particle":"","parse-names":false,"suffix":""},{"dropping-particle":"","family":"Cuevas","given":"Ada","non-dropping-particle":"","parse-names":false,"suffix":""},{"dropping-particle":"","family":"Hu","given":"Frank B.","non-dropping-particle":"","parse-names":false,"suffix":""},{"dropping-particle":"","family":"Griffin","given":"Bruce A.","non-dropping-particle":"","parse-names":false,"suffix":""},{"dropping-particle":"","family":"Zambon","given":"Alberto","non-dropping-particle":"","parse-names":false,"suffix":""},{"dropping-particle":"","family":"Barter","given":"Philip","non-dropping-particle":"","parse-names":false,"suffix":""},{"dropping-particle":"","family":"Fruchart","given":"Jean Charles","non-dropping-particle":"","parse-names":false,"suffix":""},{"dropping-particle":"","family":"Eckel","given":"Robert H.","non-dropping-particle":"","parse-names":false,"suffix":""},{"dropping-particle":"","family":"Matsuzawa","given":"Yuji","non-dropping-particle":"","parse-names":false,"suffix":""},{"dropping-particle":"","family":"Després","given":"Jean Pierre","non-dropping-particle":"","parse-names":false,"suffix":""}],"container-title":"Nature Reviews Endocrinology","id":"ITEM-1","issue":"3","issued":{"date-parts":[["2020","2","4"]]},"page":"177-189","publisher":"Nature Publishing Group","title":"Waist circumference as a vital sign in clinical practice: a Consensus Statement from the IAS and ICCR Working Group on Visceral Obesity","type":"article-journal","volume":"16"},"uris":["http://www.mendeley.com/documents/?uuid=b5dac89d-11ab-3545-8f73-93c21f7d0257"]}],"mendeley":{"formattedCitation":"(Ross &lt;i&gt;et al.&lt;/i&gt;, 2020)","plainTextFormattedCitation":"(Ross et al., 2020)","previouslyFormattedCitation":"(Ross &lt;i&gt;et al.&lt;/i&gt;, 2020)"},"properties":{"noteIndex":0},"schema":"https://github.com/citation-style-language/schema/raw/master/csl-citation.json"}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(Ross </w:t>
      </w:r>
      <w:r w:rsidRPr="0035519F">
        <w:rPr>
          <w:rFonts w:ascii="Arial" w:hAnsi="Arial" w:cs="Arial"/>
          <w:i/>
          <w:noProof/>
          <w:sz w:val="24"/>
          <w:szCs w:val="24"/>
        </w:rPr>
        <w:t xml:space="preserve">et </w:t>
      </w:r>
      <w:r w:rsidRPr="0035519F">
        <w:rPr>
          <w:rFonts w:ascii="Arial" w:hAnsi="Arial" w:cs="Arial"/>
          <w:i/>
          <w:noProof/>
          <w:sz w:val="24"/>
          <w:szCs w:val="24"/>
        </w:rPr>
        <w:lastRenderedPageBreak/>
        <w:t>al.</w:t>
      </w:r>
      <w:r w:rsidRPr="0035519F">
        <w:rPr>
          <w:rFonts w:ascii="Arial" w:hAnsi="Arial" w:cs="Arial"/>
          <w:noProof/>
          <w:sz w:val="24"/>
          <w:szCs w:val="24"/>
        </w:rPr>
        <w:t>, 2020)</w:t>
      </w:r>
      <w:r w:rsidRPr="0035519F">
        <w:rPr>
          <w:rFonts w:ascii="Arial" w:hAnsi="Arial" w:cs="Arial"/>
          <w:sz w:val="24"/>
          <w:szCs w:val="24"/>
        </w:rPr>
        <w:fldChar w:fldCharType="end"/>
      </w:r>
      <w:r w:rsidRPr="0035519F">
        <w:rPr>
          <w:rFonts w:ascii="Arial" w:hAnsi="Arial" w:cs="Arial"/>
          <w:sz w:val="24"/>
          <w:szCs w:val="24"/>
        </w:rPr>
        <w:t xml:space="preserve">. </w:t>
      </w:r>
      <w:r w:rsidR="00184CD6" w:rsidRPr="0035519F">
        <w:rPr>
          <w:rFonts w:ascii="Arial" w:hAnsi="Arial" w:cs="Arial"/>
          <w:sz w:val="24"/>
          <w:szCs w:val="24"/>
          <w:shd w:val="clear" w:color="auto" w:fill="FFFFFF"/>
        </w:rPr>
        <w:t>Obesitas sentral memicu inflamasi yang menyebabkan resistensi insulin dan peningkatan fungsi sel beta pankreas sebagai kompensasi hingga akhirnya mengalami kerusakan</w:t>
      </w:r>
      <w:r w:rsidRPr="0035519F">
        <w:rPr>
          <w:rFonts w:ascii="Arial" w:hAnsi="Arial" w:cs="Arial"/>
          <w:sz w:val="24"/>
          <w:szCs w:val="24"/>
          <w:shd w:val="clear" w:color="auto" w:fill="FFFFFF"/>
        </w:rPr>
        <w:t xml:space="preserve"> </w:t>
      </w:r>
      <w:r w:rsidR="00184CD6" w:rsidRPr="0035519F">
        <w:rPr>
          <w:rFonts w:ascii="Arial" w:hAnsi="Arial" w:cs="Arial"/>
          <w:sz w:val="24"/>
          <w:szCs w:val="24"/>
          <w:shd w:val="clear" w:color="auto" w:fill="FFFFFF"/>
        </w:rPr>
        <w:fldChar w:fldCharType="begin" w:fldLock="1"/>
      </w:r>
      <w:r w:rsidR="00184CD6" w:rsidRPr="0035519F">
        <w:rPr>
          <w:rFonts w:ascii="Arial" w:hAnsi="Arial" w:cs="Arial"/>
          <w:sz w:val="24"/>
          <w:szCs w:val="24"/>
          <w:shd w:val="clear" w:color="auto" w:fill="FFFFFF"/>
        </w:rPr>
        <w:instrText>ADDIN CSL_CITATION {"citationItems":[{"id":"ITEM-1","itemData":{"DOI":"10.15416/ijcp.2019.8.4.281","ISSN":"2252-6218","abstract":"Obesitas sentral merupakan masalah kesehatan yang prevalensinya terus bertambah. Obesitas sentral telah diketahui menjadi faktor risiko yang berasosiasi kuat dengan diabetes melitus (DM). Obesitas sentral memicu inflamasi yang menyebabkan resistensi insulin dan peningkatan fungsi sel beta pankreas sebagai kompensasi hingga akhirnya mengalami kerusakan. Oleh karena itu, perlu diketahui pola penanda glikemik dan inflamasi dalam perkembangan penyakit DM. Penelitian ini bertujuan untuk mengetahui pola penanda glikemik dan inflamasi dalam perkembangan penyakit DM pada pria dengan obesitas sentral. Penelitian dilakukan dengan pendekatan potong lintang terhadap 70 orang pria berusia 30–50 tahun di Jakarta, Bandung, Semarang, dan Bogor dengan lingkar perut lebih dari 90 cm yang memenuhi kriteria inklusi dan eksklusi dan diperiksakan HbA1c, insulin puasa, glukosa puasa, serta hsCRP. HOMA-IR dan HOMA-B diperoleh dari permodelan matematika untuk insulin puasa dan glukosa puasa. Rekrutmen dilakukan pada bulan November–Desember 2017. Diperoleh hasil bahwa terdapat korelasi positif antara lingkar perut dengan HbA1c (r=0,484; p&lt;0,05), insulin puasa (r=0,629; p&lt;0,05), HOMA-IR (r=0,602; p&lt;0,05), HOMA-B (r=0,540; p&lt;0,05), dan hsCRP (r=0,522; p&lt;0,05), juga terdapat pola peningkatan HbA1c, glukosa puasa, insulin puasa, dan HOMA-IR pada setiap tahap perkembangan DM. HOMA-B meningkat hingga pre-DM kemudian turun pada DM. Insulin puasa, HOMA-IR, HOMA-B, dan hsCRP lebih tinggi pada obesitas sentral non-DM dibandingkan kontrol. Terdapat korelasi positif antara hsCRP dengan HbA1c (r=0,484; p&lt;0,05), insulin puasa (r=0,629; p&lt;0,05), HOMA-IR (r=0,602; p&lt;0,05), dan HOMA-B (r=0,540; p&lt;0,05). Terdapat peningkatan insulin puasa dan HOMA-IR pada obesitas sentral dengan pre-DM dibandingkan dengan obesitas sentral non-DM. Penelitian ini memberikan informasi pola penanda glikemik dan inflamasi pria dengan obesitas sentral pada perkembangan penyakit DM. Pengetahuan mengenai pola perkembangan DM dapat memberikan informasi bahwa DM pada obesitas sentral dapat dicegah sedini mungkin sehingga prevalensinya dapat dikendalikan. Kata kunci: Diabetes melitus, inflamasi, obesitas sentral, resistensi insulin Glycemic and Inflammation Markers Pattern of Type 2 Diabetes Mellitus Disease Progression in Centrally Obese Men Abstract Central obesity is a health problem whose prevalence continues to increase. Central obesity has been known to be a risk factor that is strongly associated with diabetes mellit…","author":[{"dropping-particle":"","family":"Rahman","given":"Miftakh N.","non-dropping-particle":"","parse-names":false,"suffix":""},{"dropping-particle":"","family":"Sukmawati","given":"Indriyanti R.","non-dropping-particle":"","parse-names":false,"suffix":""},{"dropping-particle":"","family":"Puspitasari","given":"Irma M.","non-dropping-particle":"","parse-names":false,"suffix":""}],"container-title":"Indonesian Journal of Clinical Pharmacy","id":"ITEM-1","issue":"4","issued":{"date-parts":[["2019","12","28"]]},"page":"281","publisher":"Indonesian Journal of Clinical Pharmacy","title":"Pola Penanda Glikemik dan Inflamasi dalam Perkembangan Penyakit Diabetes Melitus Tipe 2 pada Pria Obesitas Sentral","type":"article-journal","volume":"8"},"uris":["http://www.mendeley.com/documents/?uuid=9ccd468d-f005-3144-a699-e19b7979d447"]}],"mendeley":{"formattedCitation":"(Rahman, Sukmawati and Puspitasari, 2019)","plainTextFormattedCitation":"(Rahman, Sukmawati and Puspitasari, 2019)","previouslyFormattedCitation":"(Rahman, Sukmawati and Puspitasari, 2019)"},"properties":{"noteIndex":0},"schema":"https://github.com/citation-style-language/schema/raw/master/csl-citation.json"}</w:instrText>
      </w:r>
      <w:r w:rsidR="00184CD6" w:rsidRPr="0035519F">
        <w:rPr>
          <w:rFonts w:ascii="Arial" w:hAnsi="Arial" w:cs="Arial"/>
          <w:sz w:val="24"/>
          <w:szCs w:val="24"/>
          <w:shd w:val="clear" w:color="auto" w:fill="FFFFFF"/>
        </w:rPr>
        <w:fldChar w:fldCharType="separate"/>
      </w:r>
      <w:r w:rsidR="00184CD6" w:rsidRPr="0035519F">
        <w:rPr>
          <w:rFonts w:ascii="Arial" w:hAnsi="Arial" w:cs="Arial"/>
          <w:noProof/>
          <w:sz w:val="24"/>
          <w:szCs w:val="24"/>
          <w:shd w:val="clear" w:color="auto" w:fill="FFFFFF"/>
        </w:rPr>
        <w:t>(Rahman, Sukmawati and Puspitasari, 2019)</w:t>
      </w:r>
      <w:r w:rsidR="00184CD6" w:rsidRPr="0035519F">
        <w:rPr>
          <w:rFonts w:ascii="Arial" w:hAnsi="Arial" w:cs="Arial"/>
          <w:sz w:val="24"/>
          <w:szCs w:val="24"/>
          <w:shd w:val="clear" w:color="auto" w:fill="FFFFFF"/>
        </w:rPr>
        <w:fldChar w:fldCharType="end"/>
      </w:r>
      <w:r w:rsidRPr="0035519F">
        <w:rPr>
          <w:rFonts w:ascii="Arial" w:hAnsi="Arial" w:cs="Arial"/>
          <w:sz w:val="24"/>
          <w:szCs w:val="24"/>
          <w:shd w:val="clear" w:color="auto" w:fill="FFFFFF"/>
        </w:rPr>
        <w:t>.</w:t>
      </w:r>
      <w:r w:rsidR="00184CD6" w:rsidRPr="0035519F">
        <w:rPr>
          <w:rFonts w:ascii="Arial" w:hAnsi="Arial" w:cs="Arial"/>
          <w:sz w:val="24"/>
          <w:szCs w:val="24"/>
          <w:shd w:val="clear" w:color="auto" w:fill="FFFFFF"/>
        </w:rPr>
        <w:t xml:space="preserve"> </w:t>
      </w:r>
    </w:p>
    <w:p w14:paraId="42956CC8" w14:textId="3D5E3325" w:rsidR="0003017A" w:rsidRPr="0035519F" w:rsidRDefault="00CF3BE3" w:rsidP="00D66455">
      <w:pPr>
        <w:spacing w:after="0" w:line="480" w:lineRule="auto"/>
        <w:ind w:firstLine="426"/>
        <w:jc w:val="both"/>
        <w:rPr>
          <w:rFonts w:ascii="Arial" w:hAnsi="Arial" w:cs="Arial"/>
          <w:sz w:val="24"/>
          <w:szCs w:val="24"/>
        </w:rPr>
      </w:pPr>
      <w:r w:rsidRPr="0035519F">
        <w:rPr>
          <w:rFonts w:ascii="Arial" w:hAnsi="Arial" w:cs="Arial"/>
          <w:sz w:val="24"/>
          <w:szCs w:val="24"/>
        </w:rPr>
        <w:t xml:space="preserve">Resistensi insulin </w:t>
      </w:r>
      <w:r w:rsidR="00607CF6" w:rsidRPr="0035519F">
        <w:rPr>
          <w:rFonts w:ascii="Arial" w:hAnsi="Arial" w:cs="Arial"/>
          <w:sz w:val="24"/>
          <w:szCs w:val="24"/>
        </w:rPr>
        <w:t>disebabkan oleh gangguan pensinyalan insulin pada organ target sehingga menurunkan fungsi</w:t>
      </w:r>
      <w:r w:rsidRPr="0035519F">
        <w:rPr>
          <w:rFonts w:ascii="Arial" w:hAnsi="Arial" w:cs="Arial"/>
          <w:sz w:val="24"/>
          <w:szCs w:val="24"/>
        </w:rPr>
        <w:t xml:space="preserve"> </w:t>
      </w:r>
      <w:r w:rsidR="00607CF6" w:rsidRPr="0035519F">
        <w:rPr>
          <w:rFonts w:ascii="Arial" w:hAnsi="Arial" w:cs="Arial"/>
          <w:sz w:val="24"/>
          <w:szCs w:val="24"/>
        </w:rPr>
        <w:t xml:space="preserve">insulin yang dapat menyebabkan </w:t>
      </w:r>
      <w:r w:rsidRPr="0035519F">
        <w:rPr>
          <w:rFonts w:ascii="Arial" w:hAnsi="Arial" w:cs="Arial"/>
          <w:sz w:val="24"/>
          <w:szCs w:val="24"/>
        </w:rPr>
        <w:t xml:space="preserve">gangguan penyerapan glukosa dalam otot dan peningkatan produksi glukosa endogen oleh hati yang mengakibatkan hiperglikemia. </w:t>
      </w:r>
      <w:r w:rsidR="00607CF6" w:rsidRPr="0035519F">
        <w:rPr>
          <w:rFonts w:ascii="Arial" w:hAnsi="Arial" w:cs="Arial"/>
          <w:sz w:val="24"/>
          <w:szCs w:val="24"/>
        </w:rPr>
        <w:t>R</w:t>
      </w:r>
      <w:r w:rsidRPr="0035519F">
        <w:rPr>
          <w:rFonts w:ascii="Arial" w:hAnsi="Arial" w:cs="Arial"/>
          <w:sz w:val="24"/>
          <w:szCs w:val="24"/>
        </w:rPr>
        <w:t>esisten</w:t>
      </w:r>
      <w:r w:rsidR="00607CF6" w:rsidRPr="0035519F">
        <w:rPr>
          <w:rFonts w:ascii="Arial" w:hAnsi="Arial" w:cs="Arial"/>
          <w:sz w:val="24"/>
          <w:szCs w:val="24"/>
        </w:rPr>
        <w:t>si</w:t>
      </w:r>
      <w:r w:rsidRPr="0035519F">
        <w:rPr>
          <w:rFonts w:ascii="Arial" w:hAnsi="Arial" w:cs="Arial"/>
          <w:sz w:val="24"/>
          <w:szCs w:val="24"/>
        </w:rPr>
        <w:t xml:space="preserve"> insulin juga ditandai dengan peningkatan lipo</w:t>
      </w:r>
      <w:r w:rsidR="00C55D85" w:rsidRPr="0035519F">
        <w:rPr>
          <w:rFonts w:ascii="Arial" w:hAnsi="Arial" w:cs="Arial"/>
          <w:sz w:val="24"/>
          <w:szCs w:val="24"/>
        </w:rPr>
        <w:t xml:space="preserve">lisis di dalam adiposit yang menyebabkan peningkatan </w:t>
      </w:r>
      <w:r w:rsidR="00607CF6" w:rsidRPr="0035519F">
        <w:rPr>
          <w:rFonts w:ascii="Arial" w:hAnsi="Arial" w:cs="Arial"/>
          <w:i/>
          <w:sz w:val="24"/>
          <w:szCs w:val="24"/>
        </w:rPr>
        <w:t>Free Fatty A</w:t>
      </w:r>
      <w:r w:rsidR="00C55D85" w:rsidRPr="0035519F">
        <w:rPr>
          <w:rFonts w:ascii="Arial" w:hAnsi="Arial" w:cs="Arial"/>
          <w:i/>
          <w:sz w:val="24"/>
          <w:szCs w:val="24"/>
        </w:rPr>
        <w:t>cid</w:t>
      </w:r>
      <w:r w:rsidR="00C55D85" w:rsidRPr="0035519F">
        <w:rPr>
          <w:rFonts w:ascii="Arial" w:hAnsi="Arial" w:cs="Arial"/>
          <w:sz w:val="24"/>
          <w:szCs w:val="24"/>
        </w:rPr>
        <w:t xml:space="preserve"> (FFA),</w:t>
      </w:r>
      <w:r w:rsidRPr="0035519F">
        <w:rPr>
          <w:rFonts w:ascii="Arial" w:hAnsi="Arial" w:cs="Arial"/>
          <w:sz w:val="24"/>
          <w:szCs w:val="24"/>
        </w:rPr>
        <w:t xml:space="preserve"> ga</w:t>
      </w:r>
      <w:r w:rsidR="00C55D85" w:rsidRPr="0035519F">
        <w:rPr>
          <w:rFonts w:ascii="Arial" w:hAnsi="Arial" w:cs="Arial"/>
          <w:sz w:val="24"/>
          <w:szCs w:val="24"/>
        </w:rPr>
        <w:t>ngguan sintesis protein di otot</w:t>
      </w:r>
      <w:r w:rsidR="00607CF6" w:rsidRPr="0035519F">
        <w:rPr>
          <w:rFonts w:ascii="Arial" w:hAnsi="Arial" w:cs="Arial"/>
          <w:sz w:val="24"/>
          <w:szCs w:val="24"/>
        </w:rPr>
        <w:t xml:space="preserve"> serta </w:t>
      </w:r>
      <w:r w:rsidRPr="0035519F">
        <w:rPr>
          <w:rFonts w:ascii="Arial" w:hAnsi="Arial" w:cs="Arial"/>
          <w:sz w:val="24"/>
          <w:szCs w:val="24"/>
        </w:rPr>
        <w:t>mempengaruhi fungsi organ lain seperti pembuluh darah, otak, pankreas dan tulang</w:t>
      </w:r>
      <w:r w:rsidR="003B14CE"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E624D3" w:rsidRPr="0035519F">
        <w:rPr>
          <w:rFonts w:ascii="Arial" w:hAnsi="Arial" w:cs="Arial"/>
          <w:sz w:val="24"/>
          <w:szCs w:val="24"/>
        </w:rPr>
        <w:instrText>ADDIN CSL_CITATION {"citationItems":[{"id":"ITEM-1","itemData":{"DOI":"10.1590/0004-2730000003223","ISSN":"0004-2730","PMID":"25211442","abstract":"Overall excess of fat, usually defined by the body mass index, is associated with metabolic (e.g. glucose intolerance, type 2 diabetes mellitus (T2DM), dyslipidemia) and non-metabolic disorders (e.g. neoplasias, polycystic ovary syndrome, non-alcoholic fat liver disease, glomerulopathy, bone fragility etc.). However, more than its total amount, the distribution of adipose tissue throughout the body is a better predictor of the risk to the development of those disorders. Fat accumulation in the abdominal area and in non-adipose tissue (ectopic fat), for example, is associated with increased risk to develop metabolic and non-metabolic derangements. On the other hand, observations suggest that individuals who present peripheral adiposity, characterized by large hip and thigh circumferences, have better glucose tolerance, reduced incidence of T2DM and of metabolic syndrome. Insulin resistance (IR) is one of the main culprits in the association between obesity, particularly visceral, and metabolic as well as non-metabolic diseases. In this review we will highlight the current pathophysiological and molecular mechanisms possibly involved in the link between increased VAT, ectopic fat, IR and comorbidities. We will also provide some insights in the identification of these abnormalities. Arq Bras Endocrinol Metab. 2014;58(6):600-9","author":[{"dropping-particle":"","family":"Castro","given":"Ana Valeria B.","non-dropping-particle":"","parse-names":false,"suffix":""},{"dropping-particle":"","family":"Kolka","given":"Cathryn M.","non-dropping-particle":"","parse-names":false,"suffix":""},{"dropping-particle":"","family":"Kim","given":"Stella P.","non-dropping-particle":"","parse-names":false,"suffix":""},{"dropping-particle":"","family":"Bergman","given":"Richard N.","non-dropping-particle":"","parse-names":false,"suffix":""}],"container-title":"Arquivos Brasileiros de Endocrinologia &amp; Metabologia","id":"ITEM-1","issue":"6","issued":{"date-parts":[["2014","8"]]},"page":"600-609","title":"Obesity, insulin resistance and comorbidities ? Mechanisms of association","type":"article-journal","volume":"58"},"uris":["http://www.mendeley.com/documents/?uuid=868c2069-e7b1-4df8-9a98-c6a7035a2dfa"]}],"mendeley":{"formattedCitation":"(Castro &lt;i&gt;et al.&lt;/i&gt;, 2014b)","plainTextFormattedCitation":"(Castro et al., 2014b)","previouslyFormattedCitation":"(Castro &lt;i&gt;et al.&lt;/i&gt;, 2014)"},"properties":{"noteIndex":0},"schema":"https://github.com/citation-style-language/schema/raw/master/csl-citation.json"}</w:instrText>
      </w:r>
      <w:r w:rsidR="0003017A" w:rsidRPr="0035519F">
        <w:rPr>
          <w:rFonts w:ascii="Arial" w:hAnsi="Arial" w:cs="Arial"/>
          <w:sz w:val="24"/>
          <w:szCs w:val="24"/>
        </w:rPr>
        <w:fldChar w:fldCharType="separate"/>
      </w:r>
      <w:r w:rsidR="00E624D3" w:rsidRPr="0035519F">
        <w:rPr>
          <w:rFonts w:ascii="Arial" w:hAnsi="Arial" w:cs="Arial"/>
          <w:noProof/>
          <w:sz w:val="24"/>
          <w:szCs w:val="24"/>
        </w:rPr>
        <w:t xml:space="preserve">(Castro </w:t>
      </w:r>
      <w:r w:rsidR="00E624D3" w:rsidRPr="0035519F">
        <w:rPr>
          <w:rFonts w:ascii="Arial" w:hAnsi="Arial" w:cs="Arial"/>
          <w:i/>
          <w:noProof/>
          <w:sz w:val="24"/>
          <w:szCs w:val="24"/>
        </w:rPr>
        <w:t>et al.</w:t>
      </w:r>
      <w:r w:rsidR="00E624D3" w:rsidRPr="0035519F">
        <w:rPr>
          <w:rFonts w:ascii="Arial" w:hAnsi="Arial" w:cs="Arial"/>
          <w:noProof/>
          <w:sz w:val="24"/>
          <w:szCs w:val="24"/>
        </w:rPr>
        <w:t>, 2014b)</w:t>
      </w:r>
      <w:r w:rsidR="0003017A" w:rsidRPr="0035519F">
        <w:rPr>
          <w:rFonts w:ascii="Arial" w:hAnsi="Arial" w:cs="Arial"/>
          <w:sz w:val="24"/>
          <w:szCs w:val="24"/>
        </w:rPr>
        <w:fldChar w:fldCharType="end"/>
      </w:r>
      <w:r w:rsidR="0003017A" w:rsidRPr="0035519F">
        <w:rPr>
          <w:rFonts w:ascii="Arial" w:hAnsi="Arial" w:cs="Arial"/>
          <w:sz w:val="24"/>
          <w:szCs w:val="24"/>
        </w:rPr>
        <w:t xml:space="preserve">. </w:t>
      </w:r>
    </w:p>
    <w:p w14:paraId="797B122A" w14:textId="77777777" w:rsidR="007757AB" w:rsidRPr="0035519F" w:rsidRDefault="00607CF6" w:rsidP="00D66455">
      <w:pPr>
        <w:spacing w:after="0" w:line="480" w:lineRule="auto"/>
        <w:ind w:firstLine="426"/>
        <w:jc w:val="both"/>
        <w:rPr>
          <w:rFonts w:ascii="Arial" w:hAnsi="Arial" w:cs="Arial"/>
          <w:sz w:val="24"/>
          <w:szCs w:val="24"/>
        </w:rPr>
      </w:pPr>
      <w:r w:rsidRPr="0035519F">
        <w:rPr>
          <w:rFonts w:ascii="Arial" w:hAnsi="Arial" w:cs="Arial"/>
          <w:sz w:val="24"/>
          <w:szCs w:val="24"/>
        </w:rPr>
        <w:t xml:space="preserve">Pengukuran sensitivitas insulin menggunakan </w:t>
      </w:r>
      <w:r w:rsidR="0003017A" w:rsidRPr="0035519F">
        <w:rPr>
          <w:rFonts w:ascii="Arial" w:hAnsi="Arial" w:cs="Arial"/>
          <w:i/>
          <w:sz w:val="24"/>
          <w:szCs w:val="24"/>
        </w:rPr>
        <w:t>Hyperinsulinemic Euglycemic C</w:t>
      </w:r>
      <w:r w:rsidR="00D66455" w:rsidRPr="0035519F">
        <w:rPr>
          <w:rFonts w:ascii="Arial" w:hAnsi="Arial" w:cs="Arial"/>
          <w:i/>
          <w:sz w:val="24"/>
          <w:szCs w:val="24"/>
        </w:rPr>
        <w:t>lamp</w:t>
      </w:r>
      <w:r w:rsidRPr="0035519F">
        <w:rPr>
          <w:rFonts w:ascii="Arial" w:hAnsi="Arial" w:cs="Arial"/>
          <w:sz w:val="24"/>
          <w:szCs w:val="24"/>
        </w:rPr>
        <w:t xml:space="preserve"> (HEC)</w:t>
      </w:r>
      <w:r w:rsidR="00D66455" w:rsidRPr="0035519F">
        <w:rPr>
          <w:rFonts w:ascii="Arial" w:hAnsi="Arial" w:cs="Arial"/>
          <w:sz w:val="24"/>
          <w:szCs w:val="24"/>
        </w:rPr>
        <w:t xml:space="preserve"> sebagai "baku emas". Akan tetapi pelaksanaan tes ini memakan waktu dan biaya yang besar sehingga dikembangkan beberapa metode kuantifikasi yang lebih sederhana seperti </w:t>
      </w:r>
      <w:r w:rsidR="00D66455" w:rsidRPr="0035519F">
        <w:rPr>
          <w:rFonts w:ascii="Arial" w:hAnsi="Arial" w:cs="Arial"/>
          <w:i/>
          <w:sz w:val="24"/>
          <w:szCs w:val="24"/>
        </w:rPr>
        <w:t>Homeostasis Model Assessment – insulin resistance</w:t>
      </w:r>
      <w:r w:rsidR="00D66455" w:rsidRPr="0035519F">
        <w:rPr>
          <w:rFonts w:ascii="Arial" w:hAnsi="Arial" w:cs="Arial"/>
          <w:sz w:val="24"/>
          <w:szCs w:val="24"/>
        </w:rPr>
        <w:t xml:space="preserve"> (HOMA-IR)</w:t>
      </w:r>
      <w:r w:rsidR="003B14CE" w:rsidRPr="0035519F">
        <w:rPr>
          <w:rFonts w:ascii="Arial" w:hAnsi="Arial" w:cs="Arial"/>
          <w:sz w:val="24"/>
          <w:szCs w:val="24"/>
        </w:rPr>
        <w:t>,</w:t>
      </w:r>
      <w:r w:rsidR="001817DB"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{"citationItems":[{"id":"ITEM-1","itemData":{"DOI":"10.4103/2230-8210.146874","ISSN":"22309500","PMID":"25593845","abstract":"Insulin resistance is one pretty troublesome entity which very commonly aggravates metabolic syndrome. Many methods and indices are available for the estimation of insulin resistance. It is essential to test and validate their reliability before they can be used as an investigation in patients. At present, hyperinsulinemic euglycemic clamp and intravenous glucose tolerance test are the most reliable methods available for estimating insulin resistance and are being used as a reference standard. Some simple methods, from which indices can be derived, have been validated e.g. homeostasis model assessment (HOMA), quantitative insulin sensitivity check index (QUICKI). For the clinical uses HOMA-insulin resistance, QUIKI, and Matsuda are suitable, while HES, McAuley, Belfiore, Cederholm, Avignon and Stumvoll index are suitable for epidemiological/research purposes. With increasing number of these available indices of IR, it may be difficult for clinicians to select the most appropriate index for their studies. This review provides guidelines that must be considered before performing such studies.","author":[{"dropping-particle":"","family":"Gutch","given":"Manish","non-dropping-particle":"","parse-names":false,"suffix":""},{"dropping-particle":"","family":"Kumar","given":"Sukriti","non-dropping-particle":"","parse-names":false,"suffix":""},{"dropping-particle":"","family":"Razi","given":"Syed Mohd","non-dropping-particle":"","parse-names":false,"suffix":""},{"dropping-particle":"","family":"Gupta","given":"Kumar","non-dropping-particle":"","parse-names":false,"suffix":""},{"dropping-particle":"","family":"Gupta","given":"Abhinav","non-dropping-particle":"","parse-names":false,"suffix":""}],"container-title":"Indian Journal of Endocrinology and Metabolism","id":"ITEM-1","issue":"1","issued":{"date-parts":[["2015","1","1"]]},"page":"160-164","publisher":"Wolters Kluwer -- Medknow Publications","title":"Assessment of insulin sensitivity/resistance","type":"article-journal","volume":"19"},"uris":["http://www.mendeley.com/documents/?uuid=fc3a2cd9-346d-316f-83d7-7a2349b85946"]}],"mendeley":{"formattedCitation":"(Gutch &lt;i&gt;et al.&lt;/i&gt;, 2015)","plainTextFormattedCitation":"(Gutch et al., 2015)","previouslyFormattedCitation":"(Gutch &lt;i&gt;et al.&lt;/i&gt;, 2015)"},"properties":{"noteIndex":0},"schema":"https://github.com/citation-style-language/schema/raw/master/csl-citation.json"}</w:instrText>
      </w:r>
      <w:r w:rsidR="001817DB" w:rsidRPr="0035519F">
        <w:rPr>
          <w:rFonts w:ascii="Arial" w:hAnsi="Arial" w:cs="Arial"/>
          <w:sz w:val="24"/>
          <w:szCs w:val="24"/>
        </w:rPr>
        <w:fldChar w:fldCharType="separate"/>
      </w:r>
      <w:r w:rsidR="00D11F03" w:rsidRPr="0035519F">
        <w:rPr>
          <w:rFonts w:ascii="Arial" w:hAnsi="Arial" w:cs="Arial"/>
          <w:noProof/>
          <w:sz w:val="24"/>
          <w:szCs w:val="24"/>
        </w:rPr>
        <w:t xml:space="preserve">(Gutch </w:t>
      </w:r>
      <w:r w:rsidR="00D11F03" w:rsidRPr="0035519F">
        <w:rPr>
          <w:rFonts w:ascii="Arial" w:hAnsi="Arial" w:cs="Arial"/>
          <w:i/>
          <w:noProof/>
          <w:sz w:val="24"/>
          <w:szCs w:val="24"/>
        </w:rPr>
        <w:t>et al.</w:t>
      </w:r>
      <w:r w:rsidR="00D11F03" w:rsidRPr="0035519F">
        <w:rPr>
          <w:rFonts w:ascii="Arial" w:hAnsi="Arial" w:cs="Arial"/>
          <w:noProof/>
          <w:sz w:val="24"/>
          <w:szCs w:val="24"/>
        </w:rPr>
        <w:t>, 2015)</w:t>
      </w:r>
      <w:r w:rsidR="001817DB" w:rsidRPr="0035519F">
        <w:rPr>
          <w:rFonts w:ascii="Arial" w:hAnsi="Arial" w:cs="Arial"/>
          <w:sz w:val="24"/>
          <w:szCs w:val="24"/>
        </w:rPr>
        <w:fldChar w:fldCharType="end"/>
      </w:r>
      <w:r w:rsidR="003B14CE" w:rsidRPr="0035519F">
        <w:rPr>
          <w:rFonts w:ascii="Arial" w:hAnsi="Arial" w:cs="Arial"/>
          <w:sz w:val="24"/>
          <w:szCs w:val="24"/>
        </w:rPr>
        <w:t>.</w:t>
      </w:r>
    </w:p>
    <w:p w14:paraId="0174C97A" w14:textId="77777777" w:rsidR="00AA7B76" w:rsidRPr="0035519F" w:rsidRDefault="00607CF6" w:rsidP="00CC38BC">
      <w:pPr>
        <w:spacing w:after="0" w:line="480" w:lineRule="auto"/>
        <w:ind w:firstLine="426"/>
        <w:jc w:val="both"/>
        <w:rPr>
          <w:rFonts w:ascii="Arial" w:hAnsi="Arial" w:cs="Arial"/>
          <w:i/>
          <w:sz w:val="24"/>
          <w:szCs w:val="24"/>
        </w:rPr>
      </w:pPr>
      <w:r w:rsidRPr="0035519F">
        <w:rPr>
          <w:rFonts w:ascii="Arial" w:hAnsi="Arial" w:cs="Arial"/>
          <w:sz w:val="24"/>
          <w:szCs w:val="24"/>
        </w:rPr>
        <w:t>Peningkatan FFA pada kondisi resi</w:t>
      </w:r>
      <w:r w:rsidR="00AA7B76" w:rsidRPr="0035519F">
        <w:rPr>
          <w:rFonts w:ascii="Arial" w:hAnsi="Arial" w:cs="Arial"/>
          <w:sz w:val="24"/>
          <w:szCs w:val="24"/>
        </w:rPr>
        <w:t xml:space="preserve">stensi insulin dapat menyebabkan penurunan </w:t>
      </w:r>
      <w:r w:rsidR="00AA7B76" w:rsidRPr="0035519F">
        <w:rPr>
          <w:rFonts w:ascii="Arial" w:hAnsi="Arial" w:cs="Arial"/>
          <w:i/>
          <w:sz w:val="24"/>
          <w:szCs w:val="24"/>
        </w:rPr>
        <w:t>Growth Hormone</w:t>
      </w:r>
      <w:r w:rsidR="00AA7B76" w:rsidRPr="0035519F">
        <w:rPr>
          <w:rFonts w:ascii="Arial" w:hAnsi="Arial" w:cs="Arial"/>
          <w:sz w:val="24"/>
          <w:szCs w:val="24"/>
        </w:rPr>
        <w:t xml:space="preserve"> (GH) diikuti oleh penurunan </w:t>
      </w:r>
      <w:r w:rsidR="00C764AC" w:rsidRPr="0035519F">
        <w:rPr>
          <w:rFonts w:ascii="Arial" w:hAnsi="Arial" w:cs="Arial"/>
          <w:i/>
          <w:sz w:val="24"/>
          <w:szCs w:val="24"/>
        </w:rPr>
        <w:t>Insulin</w:t>
      </w:r>
      <w:r w:rsidR="00AA7B76" w:rsidRPr="0035519F">
        <w:rPr>
          <w:rFonts w:ascii="Arial" w:hAnsi="Arial" w:cs="Arial"/>
          <w:i/>
          <w:sz w:val="24"/>
          <w:szCs w:val="24"/>
        </w:rPr>
        <w:t>-like</w:t>
      </w:r>
      <w:r w:rsidR="00C764AC" w:rsidRPr="0035519F">
        <w:rPr>
          <w:rFonts w:ascii="Arial" w:hAnsi="Arial" w:cs="Arial"/>
          <w:i/>
          <w:sz w:val="24"/>
          <w:szCs w:val="24"/>
        </w:rPr>
        <w:t xml:space="preserve"> Growth Factor</w:t>
      </w:r>
      <w:r w:rsidR="00AA7B76" w:rsidRPr="0035519F">
        <w:rPr>
          <w:rFonts w:ascii="Arial" w:hAnsi="Arial" w:cs="Arial"/>
          <w:i/>
          <w:sz w:val="24"/>
          <w:szCs w:val="24"/>
        </w:rPr>
        <w:t>-</w:t>
      </w:r>
      <w:r w:rsidR="005B3EEA" w:rsidRPr="0035519F">
        <w:rPr>
          <w:rFonts w:ascii="Arial" w:hAnsi="Arial" w:cs="Arial"/>
          <w:i/>
          <w:sz w:val="24"/>
          <w:szCs w:val="24"/>
        </w:rPr>
        <w:t xml:space="preserve">1 </w:t>
      </w:r>
      <w:r w:rsidR="00C764AC" w:rsidRPr="0035519F">
        <w:rPr>
          <w:rFonts w:ascii="Arial" w:hAnsi="Arial" w:cs="Arial"/>
          <w:i/>
          <w:sz w:val="24"/>
          <w:szCs w:val="24"/>
        </w:rPr>
        <w:t>(</w:t>
      </w:r>
      <w:r w:rsidR="00733FDE" w:rsidRPr="0035519F">
        <w:rPr>
          <w:rFonts w:ascii="Arial" w:hAnsi="Arial" w:cs="Arial"/>
          <w:i/>
          <w:sz w:val="24"/>
          <w:szCs w:val="24"/>
        </w:rPr>
        <w:t>IGF-1</w:t>
      </w:r>
      <w:r w:rsidR="00C764AC" w:rsidRPr="0035519F">
        <w:rPr>
          <w:rFonts w:ascii="Arial" w:hAnsi="Arial" w:cs="Arial"/>
          <w:i/>
          <w:sz w:val="24"/>
          <w:szCs w:val="24"/>
        </w:rPr>
        <w:t>)</w:t>
      </w:r>
      <w:r w:rsidR="00AA7B76" w:rsidRPr="0035519F">
        <w:rPr>
          <w:rFonts w:ascii="Arial" w:hAnsi="Arial" w:cs="Arial"/>
          <w:i/>
          <w:sz w:val="24"/>
          <w:szCs w:val="24"/>
        </w:rPr>
        <w:t xml:space="preserve">. </w:t>
      </w:r>
      <w:r w:rsidR="004C182B" w:rsidRPr="0035519F">
        <w:rPr>
          <w:rFonts w:ascii="Arial" w:hAnsi="Arial" w:cs="Arial"/>
          <w:i/>
          <w:sz w:val="24"/>
          <w:szCs w:val="24"/>
        </w:rPr>
        <w:t xml:space="preserve">Insulin-like Growth Factor-1 </w:t>
      </w:r>
      <w:r w:rsidR="00E669EE" w:rsidRPr="0035519F">
        <w:rPr>
          <w:rFonts w:ascii="Arial" w:hAnsi="Arial" w:cs="Arial"/>
          <w:sz w:val="24"/>
          <w:szCs w:val="24"/>
        </w:rPr>
        <w:t>merupakan hormon yang diproduksi di hepar</w:t>
      </w:r>
      <w:r w:rsidR="00C764AC" w:rsidRPr="0035519F">
        <w:rPr>
          <w:rFonts w:ascii="Arial" w:hAnsi="Arial" w:cs="Arial"/>
          <w:sz w:val="24"/>
          <w:szCs w:val="24"/>
        </w:rPr>
        <w:t xml:space="preserve"> di bawah kendali</w:t>
      </w:r>
      <w:r w:rsidR="00C764AC" w:rsidRPr="0035519F">
        <w:rPr>
          <w:rFonts w:ascii="Arial" w:hAnsi="Arial" w:cs="Arial"/>
          <w:i/>
          <w:sz w:val="24"/>
          <w:szCs w:val="24"/>
        </w:rPr>
        <w:t xml:space="preserve"> </w:t>
      </w:r>
      <w:r w:rsidR="00E669EE" w:rsidRPr="0035519F">
        <w:rPr>
          <w:rFonts w:ascii="Arial" w:hAnsi="Arial" w:cs="Arial"/>
          <w:sz w:val="24"/>
          <w:szCs w:val="24"/>
        </w:rPr>
        <w:t>GH</w:t>
      </w:r>
      <w:r w:rsidR="00AA7B76" w:rsidRPr="0035519F">
        <w:rPr>
          <w:rFonts w:ascii="Arial" w:hAnsi="Arial" w:cs="Arial"/>
          <w:sz w:val="24"/>
          <w:szCs w:val="24"/>
        </w:rPr>
        <w:t xml:space="preserve">. </w:t>
      </w:r>
      <w:r w:rsidR="004C182B" w:rsidRPr="0035519F">
        <w:rPr>
          <w:rFonts w:ascii="Arial" w:hAnsi="Arial" w:cs="Arial"/>
          <w:i/>
          <w:sz w:val="24"/>
          <w:szCs w:val="24"/>
        </w:rPr>
        <w:t>Growth Hormone</w:t>
      </w:r>
      <w:r w:rsidR="00AA7B76" w:rsidRPr="0035519F">
        <w:rPr>
          <w:rFonts w:ascii="Arial" w:hAnsi="Arial" w:cs="Arial"/>
          <w:sz w:val="24"/>
          <w:szCs w:val="24"/>
        </w:rPr>
        <w:t xml:space="preserve"> dan IGF-1 </w:t>
      </w:r>
      <w:r w:rsidR="005B3EEA" w:rsidRPr="0035519F">
        <w:rPr>
          <w:rFonts w:ascii="Arial" w:hAnsi="Arial" w:cs="Arial"/>
          <w:sz w:val="24"/>
          <w:szCs w:val="24"/>
        </w:rPr>
        <w:t xml:space="preserve">berperan penting dalam </w:t>
      </w:r>
      <w:r w:rsidR="00C764AC" w:rsidRPr="0035519F">
        <w:rPr>
          <w:rFonts w:ascii="Arial" w:hAnsi="Arial" w:cs="Arial"/>
          <w:sz w:val="24"/>
          <w:szCs w:val="24"/>
        </w:rPr>
        <w:t xml:space="preserve">pertumbuhan dan diferensiasi sel. Di masa kanak-kanak dan remaja, </w:t>
      </w:r>
      <w:r w:rsidR="005B3EEA" w:rsidRPr="0035519F">
        <w:rPr>
          <w:rFonts w:ascii="Arial" w:hAnsi="Arial" w:cs="Arial"/>
          <w:sz w:val="24"/>
          <w:szCs w:val="24"/>
        </w:rPr>
        <w:t xml:space="preserve">keduanya </w:t>
      </w:r>
      <w:r w:rsidR="00C764AC" w:rsidRPr="0035519F">
        <w:rPr>
          <w:rFonts w:ascii="Arial" w:hAnsi="Arial" w:cs="Arial"/>
          <w:sz w:val="24"/>
          <w:szCs w:val="24"/>
        </w:rPr>
        <w:t xml:space="preserve">berkontribusi secara signifikan </w:t>
      </w:r>
      <w:r w:rsidR="00C764AC" w:rsidRPr="0035519F">
        <w:rPr>
          <w:rFonts w:ascii="Arial" w:hAnsi="Arial" w:cs="Arial"/>
          <w:sz w:val="24"/>
          <w:szCs w:val="24"/>
        </w:rPr>
        <w:lastRenderedPageBreak/>
        <w:t>terhadap pertumbuhan longitudinal</w:t>
      </w:r>
      <w:r w:rsidR="005B3EEA" w:rsidRPr="0035519F">
        <w:rPr>
          <w:rFonts w:ascii="Arial" w:hAnsi="Arial" w:cs="Arial"/>
          <w:sz w:val="24"/>
          <w:szCs w:val="24"/>
        </w:rPr>
        <w:t>, sedangkan pada</w:t>
      </w:r>
      <w:r w:rsidR="00C764AC" w:rsidRPr="0035519F">
        <w:rPr>
          <w:rFonts w:ascii="Arial" w:hAnsi="Arial" w:cs="Arial"/>
          <w:sz w:val="24"/>
          <w:szCs w:val="24"/>
        </w:rPr>
        <w:t xml:space="preserve"> dewasa, </w:t>
      </w:r>
      <w:r w:rsidR="005B3EEA" w:rsidRPr="0035519F">
        <w:rPr>
          <w:rFonts w:ascii="Arial" w:hAnsi="Arial" w:cs="Arial"/>
          <w:sz w:val="24"/>
          <w:szCs w:val="24"/>
        </w:rPr>
        <w:t xml:space="preserve">keduanya </w:t>
      </w:r>
      <w:r w:rsidR="00C764AC" w:rsidRPr="0035519F">
        <w:rPr>
          <w:rFonts w:ascii="Arial" w:hAnsi="Arial" w:cs="Arial"/>
          <w:sz w:val="24"/>
          <w:szCs w:val="24"/>
        </w:rPr>
        <w:t>mengatur</w:t>
      </w:r>
      <w:r w:rsidR="005B3EEA" w:rsidRPr="0035519F">
        <w:rPr>
          <w:rFonts w:ascii="Arial" w:hAnsi="Arial" w:cs="Arial"/>
          <w:sz w:val="24"/>
          <w:szCs w:val="24"/>
        </w:rPr>
        <w:t xml:space="preserve"> metabolism</w:t>
      </w:r>
      <w:r w:rsidR="00A24C52" w:rsidRPr="0035519F">
        <w:rPr>
          <w:rFonts w:ascii="Arial" w:hAnsi="Arial" w:cs="Arial"/>
          <w:sz w:val="24"/>
          <w:szCs w:val="24"/>
        </w:rPr>
        <w:t>e</w:t>
      </w:r>
      <w:r w:rsidR="005B3EEA" w:rsidRPr="0035519F">
        <w:rPr>
          <w:rFonts w:ascii="Arial" w:hAnsi="Arial" w:cs="Arial"/>
          <w:sz w:val="24"/>
          <w:szCs w:val="24"/>
        </w:rPr>
        <w:t xml:space="preserve"> </w:t>
      </w:r>
      <w:r w:rsidR="00C764AC" w:rsidRPr="0035519F">
        <w:rPr>
          <w:rFonts w:ascii="Arial" w:hAnsi="Arial" w:cs="Arial"/>
          <w:sz w:val="24"/>
          <w:szCs w:val="24"/>
        </w:rPr>
        <w:t>glukosa dan lipid</w:t>
      </w:r>
      <w:r w:rsidR="003B14CE" w:rsidRPr="0035519F">
        <w:rPr>
          <w:rFonts w:ascii="Arial" w:hAnsi="Arial" w:cs="Arial"/>
          <w:sz w:val="24"/>
          <w:szCs w:val="24"/>
        </w:rPr>
        <w:t xml:space="preserve"> </w:t>
      </w:r>
      <w:r w:rsidR="005B3EE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{"citationItems":[{"id":"ITEM-1","itemData":{"DOI":"10.1515/labmed-2015-0116","ISSN":"14390477","abstract":"Reliable laboratory analysis is fundamental to diagnostics, therapy, and follow-up of growth disturbance and secretory dysfunction of growth hormone (GH) and insulin-like growth factor I (IGF-I). Currently available commercial assays have their limitations, as they show large variations in hormone concentrations measured. Methods: The recommendations of an expert workshop with practicing endocrinologists from the fields of pediatrics and internal medicine and with laboratory physicians, with reference to the outcome of the interdisciplinary consensus conference in Keswick (Virginia, USA) in 2009, were used. Results: Among the quality criteria stipulated by the workshop participants are the use of uniform reference standards, documentation of analytical conditions (such as calibrators, binding epitopes, cross-reactivity, and methods for removal from the binding protein), batch-to-batch consistency, and low inter-assay variability. The participants recommended developing assay-specific thresholds and reference intervals based on large and well-defined reference populations. It is furthermore recommended to delineate the assay quality, particularly with reference to clinically important cutoffs. Conclusions: The manufacturers of diagnostic assays should be obliged to regularly monitor and report the implementation of quality criteria. Only assays that are evaluated according to uniform quality standards and that are employed clinically permit informed diagnostic and therapy of patients with GH secretory dysfunction, preventing avoidable burden on both patients and paying authorities.","author":[{"dropping-particle":"","family":"Bidlingmaier","given":"Martin","non-dropping-particle":"","parse-names":false,"suffix":""},{"dropping-particle":"","family":"Hauffa","given":"Berthold P.","non-dropping-particle":"","parse-names":false,"suffix":""},{"dropping-particle":"","family":"Trainer","given":"Peter J.","non-dropping-particle":"","parse-names":false,"suffix":""},{"dropping-particle":"","family":"Etzrodt-Walter","given":"Gwendolin","non-dropping-particle":"","parse-names":false,"suffix":""},{"dropping-particle":"","family":"Sauer","given":"Joachim","non-dropping-particle":"","parse-names":false,"suffix":""},{"dropping-particle":"","family":"Kratzsch","given":"Jurgen","non-dropping-particle":"","parse-names":false,"suffix":""},{"dropping-particle":"","family":"Petersenn","given":"Stephan","non-dropping-particle":"","parse-names":false,"suffix":""},{"dropping-particle":"","family":"Ranke","given":"Michael B.","non-dropping-particle":"","parse-names":false,"suffix":""},{"dropping-particle":"","family":"Wallaschofski","given":"Henri","non-dropping-particle":"","parse-names":false,"suffix":""},{"dropping-particle":"","family":"Strasburger","given":"Christian J.","non-dropping-particle":"","parse-names":false,"suffix":""}],"container-title":"LaboratoriumsMedizin","id":"ITEM-1","issue":"1","issued":{"date-parts":[["2016","2","1"]]},"page":"1-5","publisher":"Walter de Gruyter GmbH","title":"Quality assurance in the analysis of growth hormone and insulin-like growth factor i in disorders of the somatotropic axis","type":"paper-conference","volume":"40"},"uris":["http://www.mendeley.com/documents/?uuid=0fdaabb9-5d92-3cbe-a582-a82c9c95c818"]}],"mendeley":{"formattedCitation":"(Bidlingmaier &lt;i&gt;et al.&lt;/i&gt;, 2016)","plainTextFormattedCitation":"(Bidlingmaier et al., 2016)","previouslyFormattedCitation":"(Bidlingmaier &lt;i&gt;et al.&lt;/i&gt;, 2016)"},"properties":{"noteIndex":0},"schema":"https://github.com/citation-style-language/schema/raw/master/csl-citation.json"}</w:instrText>
      </w:r>
      <w:r w:rsidR="005B3EEA" w:rsidRPr="0035519F">
        <w:rPr>
          <w:rFonts w:ascii="Arial" w:hAnsi="Arial" w:cs="Arial"/>
          <w:sz w:val="24"/>
          <w:szCs w:val="24"/>
        </w:rPr>
        <w:fldChar w:fldCharType="separate"/>
      </w:r>
      <w:r w:rsidR="00D11F03" w:rsidRPr="0035519F">
        <w:rPr>
          <w:rFonts w:ascii="Arial" w:hAnsi="Arial" w:cs="Arial"/>
          <w:noProof/>
          <w:sz w:val="24"/>
          <w:szCs w:val="24"/>
        </w:rPr>
        <w:t xml:space="preserve">(Bidlingmaier </w:t>
      </w:r>
      <w:r w:rsidR="00D11F03" w:rsidRPr="0035519F">
        <w:rPr>
          <w:rFonts w:ascii="Arial" w:hAnsi="Arial" w:cs="Arial"/>
          <w:i/>
          <w:noProof/>
          <w:sz w:val="24"/>
          <w:szCs w:val="24"/>
        </w:rPr>
        <w:t>et al.</w:t>
      </w:r>
      <w:r w:rsidR="00D11F03" w:rsidRPr="0035519F">
        <w:rPr>
          <w:rFonts w:ascii="Arial" w:hAnsi="Arial" w:cs="Arial"/>
          <w:noProof/>
          <w:sz w:val="24"/>
          <w:szCs w:val="24"/>
        </w:rPr>
        <w:t>, 2016)</w:t>
      </w:r>
      <w:r w:rsidR="005B3EEA" w:rsidRPr="0035519F">
        <w:rPr>
          <w:rFonts w:ascii="Arial" w:hAnsi="Arial" w:cs="Arial"/>
          <w:sz w:val="24"/>
          <w:szCs w:val="24"/>
        </w:rPr>
        <w:fldChar w:fldCharType="end"/>
      </w:r>
      <w:r w:rsidR="001771ED" w:rsidRPr="0035519F">
        <w:rPr>
          <w:rFonts w:ascii="Arial" w:hAnsi="Arial" w:cs="Arial"/>
          <w:sz w:val="24"/>
          <w:szCs w:val="24"/>
        </w:rPr>
        <w:t>.</w:t>
      </w:r>
      <w:r w:rsidR="005B3EEA" w:rsidRPr="0035519F">
        <w:rPr>
          <w:rFonts w:ascii="Arial" w:hAnsi="Arial" w:cs="Arial"/>
          <w:i/>
          <w:sz w:val="24"/>
          <w:szCs w:val="24"/>
        </w:rPr>
        <w:t xml:space="preserve"> </w:t>
      </w:r>
    </w:p>
    <w:p w14:paraId="7861F64E" w14:textId="77777777" w:rsidR="007A6623" w:rsidRPr="0035519F" w:rsidRDefault="00AA7B76" w:rsidP="00CC38BC">
      <w:pPr>
        <w:spacing w:after="0" w:line="480" w:lineRule="auto"/>
        <w:ind w:firstLine="426"/>
        <w:jc w:val="both"/>
        <w:rPr>
          <w:rFonts w:ascii="Arial" w:hAnsi="Arial" w:cs="Arial"/>
          <w:sz w:val="24"/>
          <w:szCs w:val="24"/>
        </w:rPr>
      </w:pPr>
      <w:r w:rsidRPr="0035519F">
        <w:rPr>
          <w:rFonts w:ascii="Arial" w:hAnsi="Arial" w:cs="Arial"/>
          <w:i/>
          <w:sz w:val="24"/>
          <w:szCs w:val="24"/>
        </w:rPr>
        <w:t xml:space="preserve">Insulin-like Growth Factor-1 </w:t>
      </w:r>
      <w:r w:rsidR="003672C0" w:rsidRPr="0035519F">
        <w:rPr>
          <w:rFonts w:ascii="Arial" w:hAnsi="Arial" w:cs="Arial"/>
          <w:sz w:val="24"/>
          <w:szCs w:val="24"/>
        </w:rPr>
        <w:t xml:space="preserve">memiliki homologi urutan </w:t>
      </w:r>
      <w:r w:rsidR="005B3EEA" w:rsidRPr="0035519F">
        <w:rPr>
          <w:rFonts w:ascii="Arial" w:hAnsi="Arial" w:cs="Arial"/>
          <w:sz w:val="24"/>
          <w:szCs w:val="24"/>
        </w:rPr>
        <w:t>asam amino hampir 50% dengan in</w:t>
      </w:r>
      <w:r w:rsidR="003672C0" w:rsidRPr="0035519F">
        <w:rPr>
          <w:rFonts w:ascii="Arial" w:hAnsi="Arial" w:cs="Arial"/>
          <w:sz w:val="24"/>
          <w:szCs w:val="24"/>
        </w:rPr>
        <w:t>sulin</w:t>
      </w:r>
      <w:r w:rsidR="007A6623" w:rsidRPr="0035519F">
        <w:rPr>
          <w:rFonts w:ascii="Arial" w:hAnsi="Arial" w:cs="Arial"/>
          <w:sz w:val="24"/>
          <w:szCs w:val="24"/>
        </w:rPr>
        <w:t>, memiliki jenis reseptor yang sama</w:t>
      </w:r>
      <w:r w:rsidR="003672C0" w:rsidRPr="0035519F">
        <w:rPr>
          <w:rFonts w:ascii="Arial" w:hAnsi="Arial" w:cs="Arial"/>
          <w:sz w:val="24"/>
          <w:szCs w:val="24"/>
        </w:rPr>
        <w:t xml:space="preserve"> dan mem</w:t>
      </w:r>
      <w:r w:rsidR="00004CB5" w:rsidRPr="0035519F">
        <w:rPr>
          <w:rFonts w:ascii="Arial" w:hAnsi="Arial" w:cs="Arial"/>
          <w:sz w:val="24"/>
          <w:szCs w:val="24"/>
        </w:rPr>
        <w:t>berikan</w:t>
      </w:r>
      <w:r w:rsidR="00A24C52" w:rsidRPr="0035519F">
        <w:rPr>
          <w:rFonts w:ascii="Arial" w:hAnsi="Arial" w:cs="Arial"/>
          <w:sz w:val="24"/>
          <w:szCs w:val="24"/>
        </w:rPr>
        <w:t xml:space="preserve"> respon</w:t>
      </w:r>
      <w:r w:rsidR="003672C0" w:rsidRPr="0035519F">
        <w:rPr>
          <w:rFonts w:ascii="Arial" w:hAnsi="Arial" w:cs="Arial"/>
          <w:sz w:val="24"/>
          <w:szCs w:val="24"/>
        </w:rPr>
        <w:t xml:space="preserve"> hi</w:t>
      </w:r>
      <w:r w:rsidR="0081423F" w:rsidRPr="0035519F">
        <w:rPr>
          <w:rFonts w:ascii="Arial" w:hAnsi="Arial" w:cs="Arial"/>
          <w:sz w:val="24"/>
          <w:szCs w:val="24"/>
        </w:rPr>
        <w:t>poglikemik yang hampir sama</w:t>
      </w:r>
      <w:r w:rsidR="003672C0" w:rsidRPr="0035519F">
        <w:rPr>
          <w:rFonts w:ascii="Arial" w:hAnsi="Arial" w:cs="Arial"/>
          <w:sz w:val="24"/>
          <w:szCs w:val="24"/>
        </w:rPr>
        <w:t xml:space="preserve"> </w:t>
      </w:r>
      <w:r w:rsidR="007A6623" w:rsidRPr="0035519F">
        <w:rPr>
          <w:rFonts w:ascii="Arial" w:hAnsi="Arial" w:cs="Arial"/>
          <w:sz w:val="24"/>
          <w:szCs w:val="24"/>
        </w:rPr>
        <w:t>sehingga keberadaan IGF-1 dapat meningkatkan kemampuan uptake glukosa sel</w:t>
      </w:r>
      <w:r w:rsidR="00C70C4B" w:rsidRPr="0035519F">
        <w:rPr>
          <w:rFonts w:ascii="Arial" w:hAnsi="Arial" w:cs="Arial"/>
          <w:sz w:val="24"/>
          <w:szCs w:val="24"/>
        </w:rPr>
        <w:t>.</w:t>
      </w:r>
      <w:r w:rsidR="00845944" w:rsidRPr="0035519F">
        <w:rPr>
          <w:rFonts w:ascii="Arial" w:hAnsi="Arial" w:cs="Arial"/>
          <w:sz w:val="24"/>
          <w:szCs w:val="24"/>
        </w:rPr>
        <w:t xml:space="preserve"> </w:t>
      </w:r>
      <w:r w:rsidR="007A6623" w:rsidRPr="0035519F">
        <w:rPr>
          <w:rFonts w:ascii="Arial" w:hAnsi="Arial" w:cs="Arial"/>
          <w:sz w:val="24"/>
          <w:szCs w:val="24"/>
        </w:rPr>
        <w:t xml:space="preserve">Oleh karena itu resistensi insulin akan diperberat dengan penurunan IGF-1 </w:t>
      </w:r>
      <w:r w:rsidR="007A6623" w:rsidRPr="0035519F">
        <w:rPr>
          <w:rFonts w:ascii="Arial" w:hAnsi="Arial" w:cs="Arial"/>
          <w:sz w:val="24"/>
          <w:szCs w:val="24"/>
        </w:rPr>
        <w:fldChar w:fldCharType="begin" w:fldLock="1"/>
      </w:r>
      <w:r w:rsidR="007A6623" w:rsidRPr="0035519F">
        <w:rPr>
          <w:rFonts w:ascii="Arial" w:hAnsi="Arial" w:cs="Arial"/>
          <w:sz w:val="24"/>
          <w:szCs w:val="24"/>
        </w:rPr>
        <w:instrText>ADDIN CSL_CITATION {"citationItems":[{"id":"ITEM-1","itemData":{"DOI":"10.1177/1178626417703995","ISSN":"1178-6264","PMID":"28469442","abstract":"There is substantial evidence that the growth hormone (GH)/insulin-like growth factor (IGF) system is involved in the pathophysiology of obesity. Both GH and IGF-I have direct effects on adipocyte proliferation and differentiation, and this system is involved in the cross-talk between adipose tissue, liver, and pituitary. Transgenic animal models have been of importance in identifying mechanisms underlying these interactions. It emerges that this system has key roles in visceral adiposity, and there is a rationale for targeting this system in the treatment of visceral obesity associated with GH deficiency, metabolic syndrome, and lipodystrophies. This evidence is reviewed, gaps in knowledge are highlighted, and recommendations are made for future research.","author":[{"dropping-particle":"","family":"Lewitt","given":"Moira S","non-dropping-particle":"","parse-names":false,"suffix":""}],"container-title":"Biochemistry insights","id":"ITEM-1","issued":{"date-parts":[["2017","4","20"]]},"page":"1178626417703995","publisher":"SAGE PublicationsSage UK: London, England","title":"The Role of the Growth Hormone/Insulin-Like Growth Factor System in Visceral Adiposity.","type":"article-journal","volume":"10"},"uris":["http://www.mendeley.com/documents/?uuid=ba6ade3d-3d6e-3e28-adcc-df8167f74cef"]}],"mendeley":{"formattedCitation":"(Lewitt, 2017)","plainTextFormattedCitation":"(Lewitt, 2017)","previouslyFormattedCitation":"(Lewitt, 2017)"},"properties":{"noteIndex":0},"schema":"https://github.com/citation-style-language/schema/raw/master/csl-citation.json"}</w:instrText>
      </w:r>
      <w:r w:rsidR="007A6623" w:rsidRPr="0035519F">
        <w:rPr>
          <w:rFonts w:ascii="Arial" w:hAnsi="Arial" w:cs="Arial"/>
          <w:sz w:val="24"/>
          <w:szCs w:val="24"/>
        </w:rPr>
        <w:fldChar w:fldCharType="separate"/>
      </w:r>
      <w:r w:rsidR="007A6623" w:rsidRPr="0035519F">
        <w:rPr>
          <w:rFonts w:ascii="Arial" w:hAnsi="Arial" w:cs="Arial"/>
          <w:noProof/>
          <w:sz w:val="24"/>
          <w:szCs w:val="24"/>
        </w:rPr>
        <w:t>(Lewitt, 2017)</w:t>
      </w:r>
      <w:r w:rsidR="007A6623" w:rsidRPr="0035519F">
        <w:rPr>
          <w:rFonts w:ascii="Arial" w:hAnsi="Arial" w:cs="Arial"/>
          <w:sz w:val="24"/>
          <w:szCs w:val="24"/>
        </w:rPr>
        <w:fldChar w:fldCharType="end"/>
      </w:r>
      <w:r w:rsidR="007A6623" w:rsidRPr="0035519F">
        <w:rPr>
          <w:rFonts w:ascii="Arial" w:hAnsi="Arial" w:cs="Arial"/>
          <w:sz w:val="24"/>
          <w:szCs w:val="24"/>
        </w:rPr>
        <w:t>,.</w:t>
      </w:r>
    </w:p>
    <w:p w14:paraId="6132F5E3" w14:textId="77777777" w:rsidR="001817DB" w:rsidRPr="0035519F" w:rsidRDefault="007A6623" w:rsidP="00CC38BC">
      <w:pPr>
        <w:spacing w:after="0" w:line="480" w:lineRule="auto"/>
        <w:ind w:firstLine="426"/>
        <w:jc w:val="both"/>
        <w:rPr>
          <w:rFonts w:ascii="Arial" w:hAnsi="Arial" w:cs="Arial"/>
          <w:sz w:val="24"/>
          <w:szCs w:val="24"/>
        </w:rPr>
      </w:pPr>
      <w:r w:rsidRPr="0035519F">
        <w:rPr>
          <w:rFonts w:ascii="Arial" w:hAnsi="Arial" w:cs="Arial"/>
          <w:sz w:val="24"/>
          <w:szCs w:val="24"/>
        </w:rPr>
        <w:t xml:space="preserve">Peningkatan FFA pada resistensi insulin menyebabkan </w:t>
      </w:r>
      <w:r w:rsidR="000971A7" w:rsidRPr="0035519F">
        <w:rPr>
          <w:rFonts w:ascii="Arial" w:hAnsi="Arial" w:cs="Arial"/>
          <w:i/>
          <w:sz w:val="24"/>
          <w:szCs w:val="24"/>
        </w:rPr>
        <w:t xml:space="preserve">negative </w:t>
      </w:r>
      <w:r w:rsidRPr="0035519F">
        <w:rPr>
          <w:rFonts w:ascii="Arial" w:hAnsi="Arial" w:cs="Arial"/>
          <w:i/>
          <w:sz w:val="24"/>
          <w:szCs w:val="24"/>
        </w:rPr>
        <w:t xml:space="preserve">feedback </w:t>
      </w:r>
      <w:r w:rsidRPr="0035519F">
        <w:rPr>
          <w:rFonts w:ascii="Arial" w:hAnsi="Arial" w:cs="Arial"/>
          <w:sz w:val="24"/>
          <w:szCs w:val="24"/>
        </w:rPr>
        <w:t xml:space="preserve">di </w:t>
      </w:r>
      <w:r w:rsidR="000971A7" w:rsidRPr="0035519F">
        <w:rPr>
          <w:rFonts w:ascii="Arial" w:hAnsi="Arial" w:cs="Arial"/>
          <w:sz w:val="24"/>
          <w:szCs w:val="24"/>
        </w:rPr>
        <w:t>kelenjar ptiutari</w:t>
      </w:r>
      <w:r w:rsidRPr="0035519F">
        <w:rPr>
          <w:rFonts w:ascii="Arial" w:hAnsi="Arial" w:cs="Arial"/>
          <w:sz w:val="24"/>
          <w:szCs w:val="24"/>
        </w:rPr>
        <w:t xml:space="preserve"> mengakibatkan </w:t>
      </w:r>
      <w:r w:rsidR="000971A7" w:rsidRPr="0035519F">
        <w:rPr>
          <w:rFonts w:ascii="Arial" w:hAnsi="Arial" w:cs="Arial"/>
          <w:sz w:val="24"/>
          <w:szCs w:val="24"/>
        </w:rPr>
        <w:t>penurunan</w:t>
      </w:r>
      <w:r w:rsidRPr="0035519F">
        <w:rPr>
          <w:rFonts w:ascii="Arial" w:hAnsi="Arial" w:cs="Arial"/>
          <w:sz w:val="24"/>
          <w:szCs w:val="24"/>
        </w:rPr>
        <w:t xml:space="preserve"> sintesis GH</w:t>
      </w:r>
      <w:r w:rsidR="000971A7" w:rsidRPr="0035519F">
        <w:rPr>
          <w:rFonts w:ascii="Arial" w:hAnsi="Arial" w:cs="Arial"/>
          <w:sz w:val="24"/>
          <w:szCs w:val="24"/>
        </w:rPr>
        <w:t xml:space="preserve"> diikuti dengan penurunan IGF-1. Peningkatan sitokin proinflamasi pada obesitas sentral pada gilirannya juga akan menurunkan IGF-1</w:t>
      </w:r>
      <w:r w:rsidR="003D4803" w:rsidRPr="0035519F">
        <w:rPr>
          <w:rFonts w:ascii="Arial" w:hAnsi="Arial" w:cs="Arial"/>
          <w:sz w:val="24"/>
          <w:szCs w:val="24"/>
        </w:rPr>
        <w:t xml:space="preserve"> </w:t>
      </w:r>
      <w:r w:rsidR="000971A7" w:rsidRPr="0035519F">
        <w:rPr>
          <w:rFonts w:ascii="Arial" w:hAnsi="Arial" w:cs="Arial"/>
          <w:sz w:val="24"/>
          <w:szCs w:val="24"/>
        </w:rPr>
        <w:fldChar w:fldCharType="begin" w:fldLock="1"/>
      </w:r>
      <w:r w:rsidR="00862876" w:rsidRPr="0035519F">
        <w:rPr>
          <w:rFonts w:ascii="Arial" w:hAnsi="Arial" w:cs="Arial"/>
          <w:sz w:val="24"/>
          <w:szCs w:val="24"/>
        </w:rPr>
        <w:instrText>ADDIN CSL_CITATION {"citationItems":[{"id":"ITEM-1","itemData":{"DOI":"10.1186/S12967-015-0762-Z","ISSN":"1479-5876","PMID":"26733412","abstract":"Consistent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14:1","id":"ITEM-1","issue":"1","issued":{"date-parts":[["2016","1","6"]]},"page":"1-23","publisher":"BioMed Central","title":"Insulin-like growth factor-1 deficiency and metabolic syndrome","type":"article-journal","volume":"14"},"uris":["http://www.mendeley.com/documents/?uuid=52b57992-80f9-341e-965b-58171a5e8fad"]}],"mendeley":{"formattedCitation":"(Aguirre &lt;i&gt;et al.&lt;/i&gt;, 2016)","plainTextFormattedCitation":"(Aguirre et al., 2016)","previouslyFormattedCitation":"(Aguirre &lt;i&gt;et al.&lt;/i&gt;, 2016)"},"properties":{"noteIndex":0},"schema":"https://github.com/citation-style-language/schema/raw/master/csl-citation.json"}</w:instrText>
      </w:r>
      <w:r w:rsidR="000971A7" w:rsidRPr="0035519F">
        <w:rPr>
          <w:rFonts w:ascii="Arial" w:hAnsi="Arial" w:cs="Arial"/>
          <w:sz w:val="24"/>
          <w:szCs w:val="24"/>
        </w:rPr>
        <w:fldChar w:fldCharType="separate"/>
      </w:r>
      <w:r w:rsidR="000971A7" w:rsidRPr="0035519F">
        <w:rPr>
          <w:rFonts w:ascii="Arial" w:hAnsi="Arial" w:cs="Arial"/>
          <w:noProof/>
          <w:sz w:val="24"/>
          <w:szCs w:val="24"/>
        </w:rPr>
        <w:t xml:space="preserve">(Aguirre </w:t>
      </w:r>
      <w:r w:rsidR="000971A7" w:rsidRPr="0035519F">
        <w:rPr>
          <w:rFonts w:ascii="Arial" w:hAnsi="Arial" w:cs="Arial"/>
          <w:i/>
          <w:noProof/>
          <w:sz w:val="24"/>
          <w:szCs w:val="24"/>
        </w:rPr>
        <w:t>et al.</w:t>
      </w:r>
      <w:r w:rsidR="000971A7" w:rsidRPr="0035519F">
        <w:rPr>
          <w:rFonts w:ascii="Arial" w:hAnsi="Arial" w:cs="Arial"/>
          <w:noProof/>
          <w:sz w:val="24"/>
          <w:szCs w:val="24"/>
        </w:rPr>
        <w:t>, 2016)</w:t>
      </w:r>
      <w:r w:rsidR="000971A7" w:rsidRPr="0035519F">
        <w:rPr>
          <w:rFonts w:ascii="Arial" w:hAnsi="Arial" w:cs="Arial"/>
          <w:sz w:val="24"/>
          <w:szCs w:val="24"/>
        </w:rPr>
        <w:fldChar w:fldCharType="end"/>
      </w:r>
      <w:r w:rsidR="000971A7" w:rsidRPr="0035519F">
        <w:rPr>
          <w:rFonts w:ascii="Arial" w:hAnsi="Arial" w:cs="Arial"/>
          <w:sz w:val="24"/>
          <w:szCs w:val="24"/>
        </w:rPr>
        <w:t xml:space="preserve">. </w:t>
      </w:r>
      <w:r w:rsidR="0081423F" w:rsidRPr="0035519F">
        <w:rPr>
          <w:rFonts w:ascii="Arial" w:hAnsi="Arial" w:cs="Arial"/>
          <w:sz w:val="24"/>
          <w:szCs w:val="24"/>
        </w:rPr>
        <w:t>Pada sebuah studi longitudinal</w:t>
      </w:r>
      <w:r w:rsidR="003672C0" w:rsidRPr="0035519F">
        <w:rPr>
          <w:rFonts w:ascii="Arial" w:hAnsi="Arial" w:cs="Arial"/>
          <w:sz w:val="24"/>
          <w:szCs w:val="24"/>
        </w:rPr>
        <w:t>,</w:t>
      </w:r>
      <w:r w:rsidR="0081423F" w:rsidRPr="0035519F">
        <w:rPr>
          <w:rFonts w:ascii="Arial" w:hAnsi="Arial" w:cs="Arial"/>
          <w:sz w:val="24"/>
          <w:szCs w:val="24"/>
        </w:rPr>
        <w:t xml:space="preserve"> </w:t>
      </w:r>
      <w:r w:rsidR="0081423F" w:rsidRPr="0035519F">
        <w:rPr>
          <w:rFonts w:ascii="Arial" w:hAnsi="Arial" w:cs="Arial"/>
          <w:i/>
          <w:sz w:val="24"/>
          <w:szCs w:val="24"/>
          <w:shd w:val="clear" w:color="auto" w:fill="FFFFFF"/>
        </w:rPr>
        <w:t>National Health and Nutrition Examination Survey</w:t>
      </w:r>
      <w:r w:rsidR="00E669EE" w:rsidRPr="0035519F">
        <w:rPr>
          <w:rFonts w:ascii="Arial" w:hAnsi="Arial" w:cs="Arial"/>
          <w:sz w:val="24"/>
          <w:szCs w:val="24"/>
        </w:rPr>
        <w:t xml:space="preserve"> (NHANES) III</w:t>
      </w:r>
      <w:r w:rsidR="003672C0" w:rsidRPr="0035519F">
        <w:rPr>
          <w:rFonts w:ascii="Arial" w:hAnsi="Arial" w:cs="Arial"/>
          <w:sz w:val="24"/>
          <w:szCs w:val="24"/>
        </w:rPr>
        <w:t xml:space="preserve"> melaporkan risiko </w:t>
      </w:r>
      <w:r w:rsidR="00E41E61" w:rsidRPr="0035519F">
        <w:rPr>
          <w:rFonts w:ascii="Arial" w:hAnsi="Arial" w:cs="Arial"/>
          <w:sz w:val="24"/>
          <w:szCs w:val="24"/>
        </w:rPr>
        <w:t xml:space="preserve">lebih </w:t>
      </w:r>
      <w:r w:rsidR="00E669EE" w:rsidRPr="0035519F">
        <w:rPr>
          <w:rFonts w:ascii="Arial" w:hAnsi="Arial" w:cs="Arial"/>
          <w:sz w:val="24"/>
          <w:szCs w:val="24"/>
        </w:rPr>
        <w:t xml:space="preserve">tinggi kejadian </w:t>
      </w:r>
      <w:r w:rsidR="003672C0" w:rsidRPr="0035519F">
        <w:rPr>
          <w:rFonts w:ascii="Arial" w:hAnsi="Arial" w:cs="Arial"/>
          <w:sz w:val="24"/>
          <w:szCs w:val="24"/>
        </w:rPr>
        <w:t>resistensi in</w:t>
      </w:r>
      <w:r w:rsidR="00E669EE" w:rsidRPr="0035519F">
        <w:rPr>
          <w:rFonts w:ascii="Arial" w:hAnsi="Arial" w:cs="Arial"/>
          <w:sz w:val="24"/>
          <w:szCs w:val="24"/>
        </w:rPr>
        <w:t>sulin, sindrom metabolik (MetS)</w:t>
      </w:r>
      <w:r w:rsidR="003672C0" w:rsidRPr="0035519F">
        <w:rPr>
          <w:rFonts w:ascii="Arial" w:hAnsi="Arial" w:cs="Arial"/>
          <w:sz w:val="24"/>
          <w:szCs w:val="24"/>
        </w:rPr>
        <w:t xml:space="preserve"> dan </w:t>
      </w:r>
      <w:r w:rsidR="0003017A" w:rsidRPr="0035519F">
        <w:rPr>
          <w:rFonts w:ascii="Arial" w:hAnsi="Arial" w:cs="Arial"/>
          <w:sz w:val="24"/>
          <w:szCs w:val="24"/>
        </w:rPr>
        <w:t>DM tipe-2</w:t>
      </w:r>
      <w:r w:rsidR="003672C0" w:rsidRPr="0035519F">
        <w:rPr>
          <w:rFonts w:ascii="Arial" w:hAnsi="Arial" w:cs="Arial"/>
          <w:sz w:val="24"/>
          <w:szCs w:val="24"/>
        </w:rPr>
        <w:t xml:space="preserve"> pada subjek dengan konsentrasi serum </w:t>
      </w:r>
      <w:r w:rsidR="00733FDE" w:rsidRPr="0035519F">
        <w:rPr>
          <w:rFonts w:ascii="Arial" w:hAnsi="Arial" w:cs="Arial"/>
          <w:sz w:val="24"/>
          <w:szCs w:val="24"/>
        </w:rPr>
        <w:t>IGF-1</w:t>
      </w:r>
      <w:r w:rsidR="000971A7" w:rsidRPr="0035519F">
        <w:rPr>
          <w:rFonts w:ascii="Arial" w:hAnsi="Arial" w:cs="Arial"/>
          <w:sz w:val="24"/>
          <w:szCs w:val="24"/>
        </w:rPr>
        <w:t xml:space="preserve"> yang rendah </w:t>
      </w:r>
      <w:r w:rsidR="00E41E61" w:rsidRPr="0035519F">
        <w:rPr>
          <w:rFonts w:ascii="Arial" w:hAnsi="Arial" w:cs="Arial"/>
          <w:sz w:val="24"/>
          <w:szCs w:val="24"/>
        </w:rPr>
        <w:fldChar w:fldCharType="begin" w:fldLock="1"/>
      </w:r>
      <w:r w:rsidR="009E5D25" w:rsidRPr="0035519F">
        <w:rPr>
          <w:rFonts w:ascii="Arial" w:hAnsi="Arial" w:cs="Arial"/>
          <w:sz w:val="24"/>
          <w:szCs w:val="24"/>
        </w:rPr>
        <w:instrText>ADDIN CSL_CITATION {"citationItems":[{"id":"ITEM-1","itemData":{"DOI":"10.2337/dc11-1833","ISSN":"01495992","PMID":"22374641","abstract":"OBJECTIVE - IGF-I has an almost 50% amino acid sequence homology with insulin and elicits nearly the same hypoglycemic response. Studies showed that low and high IGF-I levels are related to impaired glucose tolerance and to a higher risk of type 2 diabetes. The aim of the current study was to evaluate the association between IGF-I level and insulin resistance in a Danish general population. RESEARCH DESIGNANDMETHODS - Included were 3,354 adults, aged 19-72 years, from the cross-sectional Health 2006 study. The homeostasis model assessment of insulin resistance (HOMA-IR) was used as the index to estimate insulin resistance. Serum IGF-I levelswere determined by an immunoassay and grouped into quintiles (Q1-Q5). Linear or multinomial logistic regression analyses were performed. RESULTS - In the study population, 520 subjects (15.5%) had increased HOMA-IR values above 2.5. After adjustment for age, sex, physical activity, and waist-to-height ratio, a U-shaped association between IGF-I and HOMA-IR was found. Low IGF-I (Q1: odds ratio [OR] 1.65 [95% CI 1.16-2.34], P &lt; 0.01) as well as high IGF-I (Q5: 1.96 [1.38-2.79], P &lt; 0.01) levels were related to a higher odds of increased HOMA-IR values compared with subjects with intermediate (Q3) IGF-I levels. These associations remained statistically significant after the exclusion of subjects with type 2 diabetes and by using the updated computer HOMA2-IR model. CONCLUSIONS - Low- and high-normal IGF-I levels are both related to insulin resistance. The biological mechanism of this complex phenomenon has to be elucidated in more detail for future risk stratification. © 2012 by the American Diabetes Association.","author":[{"dropping-particle":"","family":"Friedrich","given":"Nele","non-dropping-particle":"","parse-names":false,"suffix":""},{"dropping-particle":"","family":"Thuesen","given":"Betina","non-dropping-particle":"","parse-names":false,"suffix":""},{"dropping-particle":"","family":"Jrøgensen","given":"Torben","non-dropping-particle":"","parse-names":false,"suffix":""},{"dropping-particle":"","family":"Juul","given":"Anders","non-dropping-particle":"","parse-names":false,"suffix":""},{"dropping-particle":"","family":"Spielhagen","given":"Christin","non-dropping-particle":"","parse-names":false,"suffix":""},{"dropping-particle":"","family":"Wallaschofksi","given":"Henri","non-dropping-particle":"","parse-names":false,"suffix":""},{"dropping-particle":"","family":"Linneberg","given":"Allan","non-dropping-particle":"","parse-names":false,"suffix":""}],"container-title":"Diabetes Care","id":"ITEM-1","issue":"4","issued":{"date-parts":[["2012","4"]]},"page":"768-773","publisher":"American Diabetes Association","title":"The association between IGF-I and insulin resistance: A general population study in Danish adults","type":"article-journal","volume":"35"},"uris":["http://www.mendeley.com/documents/?uuid=010a497d-cafd-3d87-9f9b-a35c5fff8686"]}],"mendeley":{"formattedCitation":"(Friedrich, Thuesen, Jrøgensen, &lt;i&gt;et al.&lt;/i&gt;, 2012)","manualFormatting":"(Friedrich, Thuesen, Jrøgensen, et al., 2012)","plainTextFormattedCitation":"(Friedrich, Thuesen, Jrøgensen, et al., 2012)","previouslyFormattedCitation":"(Friedrich, Thuesen, Jrøgensen, &lt;i&gt;et al.&lt;/i&gt;, 2012)"},"properties":{"noteIndex":0},"schema":"https://github.com/citation-style-language/schema/raw/master/csl-citation.json"}</w:instrText>
      </w:r>
      <w:r w:rsidR="00E41E61" w:rsidRPr="0035519F">
        <w:rPr>
          <w:rFonts w:ascii="Arial" w:hAnsi="Arial" w:cs="Arial"/>
          <w:sz w:val="24"/>
          <w:szCs w:val="24"/>
        </w:rPr>
        <w:fldChar w:fldCharType="separate"/>
      </w:r>
      <w:r w:rsidR="00D11F03" w:rsidRPr="0035519F">
        <w:rPr>
          <w:rFonts w:ascii="Arial" w:hAnsi="Arial" w:cs="Arial"/>
          <w:noProof/>
          <w:sz w:val="24"/>
          <w:szCs w:val="24"/>
        </w:rPr>
        <w:t xml:space="preserve">(Friedrich, Thuesen, Jrøgensen, </w:t>
      </w:r>
      <w:r w:rsidR="00D11F03" w:rsidRPr="0035519F">
        <w:rPr>
          <w:rFonts w:ascii="Arial" w:hAnsi="Arial" w:cs="Arial"/>
          <w:i/>
          <w:noProof/>
          <w:sz w:val="24"/>
          <w:szCs w:val="24"/>
        </w:rPr>
        <w:t>et al.</w:t>
      </w:r>
      <w:r w:rsidR="003B14CE" w:rsidRPr="0035519F">
        <w:rPr>
          <w:rFonts w:ascii="Arial" w:hAnsi="Arial" w:cs="Arial"/>
          <w:noProof/>
          <w:sz w:val="24"/>
          <w:szCs w:val="24"/>
        </w:rPr>
        <w:t>, 2012</w:t>
      </w:r>
      <w:r w:rsidR="00D11F03" w:rsidRPr="0035519F">
        <w:rPr>
          <w:rFonts w:ascii="Arial" w:hAnsi="Arial" w:cs="Arial"/>
          <w:noProof/>
          <w:sz w:val="24"/>
          <w:szCs w:val="24"/>
        </w:rPr>
        <w:t>)</w:t>
      </w:r>
      <w:r w:rsidR="00E41E61" w:rsidRPr="0035519F">
        <w:rPr>
          <w:rFonts w:ascii="Arial" w:hAnsi="Arial" w:cs="Arial"/>
          <w:sz w:val="24"/>
          <w:szCs w:val="24"/>
        </w:rPr>
        <w:fldChar w:fldCharType="end"/>
      </w:r>
      <w:r w:rsidR="003B14CE" w:rsidRPr="0035519F">
        <w:rPr>
          <w:rFonts w:ascii="Arial" w:hAnsi="Arial" w:cs="Arial"/>
          <w:sz w:val="24"/>
          <w:szCs w:val="24"/>
        </w:rPr>
        <w:t>.</w:t>
      </w:r>
    </w:p>
    <w:p w14:paraId="7B0FEBE3" w14:textId="18E2E454" w:rsidR="007757AB" w:rsidRPr="0035519F" w:rsidRDefault="002164D1" w:rsidP="007757AB">
      <w:pPr>
        <w:spacing w:after="0" w:line="480" w:lineRule="auto"/>
        <w:ind w:firstLine="426"/>
        <w:jc w:val="both"/>
        <w:rPr>
          <w:rStyle w:val="y2iqfc"/>
          <w:rFonts w:ascii="Arial" w:hAnsi="Arial" w:cs="Arial"/>
          <w:sz w:val="24"/>
          <w:szCs w:val="24"/>
        </w:rPr>
      </w:pPr>
      <w:r w:rsidRPr="0035519F">
        <w:rPr>
          <w:rStyle w:val="y2iqfc"/>
          <w:rFonts w:ascii="Arial" w:hAnsi="Arial" w:cs="Arial"/>
          <w:sz w:val="24"/>
          <w:szCs w:val="24"/>
        </w:rPr>
        <w:t xml:space="preserve">Obesitas telah diketahui memiliki kaitan erat dengan peningkatan resistensi insulin, sementara kadar IGF-1 yang menurun dalam plasma dikaitkan dengan resitensi insulin. Penelitian pada model hewan menunjukkan bahwa penghambatan produksi IGF-I hati, akan mengakibatkan penurunan 80% kadar IGF-I, menyebabkan hiperinsulinemia dan klirens glukosa abnormal. </w:t>
      </w:r>
      <w:r w:rsidR="0031228A" w:rsidRPr="0035519F">
        <w:rPr>
          <w:rStyle w:val="y2iqfc"/>
          <w:rFonts w:ascii="Arial" w:hAnsi="Arial" w:cs="Arial"/>
          <w:sz w:val="24"/>
          <w:szCs w:val="24"/>
        </w:rPr>
        <w:t xml:space="preserve">Pengetahuan mengenai hubungan </w:t>
      </w:r>
      <w:r w:rsidR="007757AB" w:rsidRPr="0035519F">
        <w:rPr>
          <w:rStyle w:val="y2iqfc"/>
          <w:rFonts w:ascii="Arial" w:hAnsi="Arial" w:cs="Arial"/>
          <w:sz w:val="24"/>
          <w:szCs w:val="24"/>
        </w:rPr>
        <w:t xml:space="preserve"> </w:t>
      </w:r>
      <w:r w:rsidR="004C182B" w:rsidRPr="0035519F">
        <w:rPr>
          <w:rStyle w:val="y2iqfc"/>
          <w:rFonts w:ascii="Arial" w:hAnsi="Arial" w:cs="Arial"/>
          <w:sz w:val="24"/>
          <w:szCs w:val="24"/>
        </w:rPr>
        <w:t xml:space="preserve">resistensi insulin </w:t>
      </w:r>
      <w:r w:rsidR="007757AB" w:rsidRPr="0035519F">
        <w:rPr>
          <w:rStyle w:val="y2iqfc"/>
          <w:rFonts w:ascii="Arial" w:hAnsi="Arial" w:cs="Arial"/>
          <w:sz w:val="24"/>
          <w:szCs w:val="24"/>
        </w:rPr>
        <w:t xml:space="preserve">dan </w:t>
      </w:r>
      <w:r w:rsidRPr="0035519F">
        <w:rPr>
          <w:rStyle w:val="y2iqfc"/>
          <w:rFonts w:ascii="Arial" w:hAnsi="Arial" w:cs="Arial"/>
          <w:sz w:val="24"/>
          <w:szCs w:val="24"/>
        </w:rPr>
        <w:t xml:space="preserve">kadar </w:t>
      </w:r>
      <w:r w:rsidR="004C182B" w:rsidRPr="0035519F">
        <w:rPr>
          <w:rStyle w:val="y2iqfc"/>
          <w:rFonts w:ascii="Arial" w:hAnsi="Arial" w:cs="Arial"/>
          <w:sz w:val="24"/>
          <w:szCs w:val="24"/>
        </w:rPr>
        <w:t xml:space="preserve">IGF-1 </w:t>
      </w:r>
      <w:r w:rsidR="007757AB" w:rsidRPr="0035519F">
        <w:rPr>
          <w:rStyle w:val="y2iqfc"/>
          <w:rFonts w:ascii="Arial" w:hAnsi="Arial" w:cs="Arial"/>
          <w:sz w:val="24"/>
          <w:szCs w:val="24"/>
        </w:rPr>
        <w:t xml:space="preserve">pada dewasa </w:t>
      </w:r>
      <w:r w:rsidR="004C182B" w:rsidRPr="0035519F">
        <w:rPr>
          <w:rStyle w:val="y2iqfc"/>
          <w:rFonts w:ascii="Arial" w:hAnsi="Arial" w:cs="Arial"/>
          <w:sz w:val="24"/>
          <w:szCs w:val="24"/>
        </w:rPr>
        <w:t xml:space="preserve">Non DM </w:t>
      </w:r>
      <w:r w:rsidR="007757AB" w:rsidRPr="0035519F">
        <w:rPr>
          <w:rStyle w:val="y2iqfc"/>
          <w:rFonts w:ascii="Arial" w:hAnsi="Arial" w:cs="Arial"/>
          <w:sz w:val="24"/>
          <w:szCs w:val="24"/>
        </w:rPr>
        <w:t xml:space="preserve">dengan </w:t>
      </w:r>
      <w:r w:rsidR="007757AB" w:rsidRPr="0035519F">
        <w:rPr>
          <w:rStyle w:val="y2iqfc"/>
          <w:rFonts w:ascii="Arial" w:hAnsi="Arial" w:cs="Arial"/>
          <w:sz w:val="24"/>
          <w:szCs w:val="24"/>
        </w:rPr>
        <w:lastRenderedPageBreak/>
        <w:t>obesitas sentral masih</w:t>
      </w:r>
      <w:r w:rsidR="0031228A" w:rsidRPr="0035519F">
        <w:rPr>
          <w:rStyle w:val="y2iqfc"/>
          <w:rFonts w:ascii="Arial" w:hAnsi="Arial" w:cs="Arial"/>
          <w:sz w:val="24"/>
          <w:szCs w:val="24"/>
        </w:rPr>
        <w:t xml:space="preserve"> belum jelas dan sepanjang pengetahuan peneliti belum banyak dilakukan penelitian terkait hal tersebut</w:t>
      </w:r>
      <w:r w:rsidR="007757AB" w:rsidRPr="0035519F">
        <w:rPr>
          <w:rStyle w:val="y2iqfc"/>
          <w:rFonts w:ascii="Arial" w:hAnsi="Arial" w:cs="Arial"/>
          <w:sz w:val="24"/>
          <w:szCs w:val="24"/>
        </w:rPr>
        <w:t xml:space="preserve"> di Indonesia, khususnya di Makassar sehingga peneliti tertarik untuk melakukan penelitian ini. </w:t>
      </w:r>
    </w:p>
    <w:p w14:paraId="2CD96F48" w14:textId="77777777" w:rsidR="000971A7" w:rsidRPr="0035519F" w:rsidRDefault="000971A7" w:rsidP="007757AB">
      <w:pPr>
        <w:spacing w:after="0" w:line="480" w:lineRule="auto"/>
        <w:ind w:firstLine="426"/>
        <w:jc w:val="both"/>
        <w:rPr>
          <w:rStyle w:val="y2iqfc"/>
          <w:rFonts w:ascii="Arial" w:hAnsi="Arial" w:cs="Arial"/>
          <w:sz w:val="24"/>
          <w:szCs w:val="24"/>
        </w:rPr>
      </w:pPr>
    </w:p>
    <w:p w14:paraId="2C8EF4E6" w14:textId="77777777" w:rsidR="00DC2ECD" w:rsidRPr="0035519F" w:rsidRDefault="00DC2ECD" w:rsidP="007757AB">
      <w:pPr>
        <w:spacing w:after="0" w:line="480" w:lineRule="auto"/>
        <w:ind w:firstLine="426"/>
        <w:jc w:val="both"/>
        <w:rPr>
          <w:rStyle w:val="y2iqfc"/>
          <w:rFonts w:ascii="Arial" w:hAnsi="Arial" w:cs="Arial"/>
          <w:sz w:val="24"/>
          <w:szCs w:val="24"/>
        </w:rPr>
      </w:pPr>
    </w:p>
    <w:p w14:paraId="0355E9EF" w14:textId="77777777" w:rsidR="00DC2ECD" w:rsidRPr="0035519F" w:rsidRDefault="00DC2ECD" w:rsidP="007757AB">
      <w:pPr>
        <w:spacing w:after="0" w:line="480" w:lineRule="auto"/>
        <w:ind w:firstLine="426"/>
        <w:jc w:val="both"/>
        <w:rPr>
          <w:rStyle w:val="y2iqfc"/>
          <w:rFonts w:ascii="Arial" w:hAnsi="Arial" w:cs="Arial"/>
          <w:sz w:val="24"/>
          <w:szCs w:val="24"/>
        </w:rPr>
      </w:pPr>
    </w:p>
    <w:p w14:paraId="11FC2927" w14:textId="77777777" w:rsidR="007757AB" w:rsidRPr="0035519F" w:rsidRDefault="007757AB" w:rsidP="00891FA6">
      <w:pPr>
        <w:pStyle w:val="ListParagraph"/>
        <w:numPr>
          <w:ilvl w:val="0"/>
          <w:numId w:val="24"/>
        </w:numPr>
        <w:spacing w:line="480" w:lineRule="auto"/>
        <w:ind w:left="426" w:hanging="426"/>
        <w:jc w:val="center"/>
        <w:outlineLvl w:val="1"/>
        <w:rPr>
          <w:rFonts w:ascii="Arial" w:hAnsi="Arial" w:cs="Arial"/>
          <w:b/>
          <w:sz w:val="24"/>
          <w:szCs w:val="24"/>
        </w:rPr>
      </w:pPr>
      <w:bookmarkStart w:id="12" w:name="_Toc111022750"/>
      <w:r w:rsidRPr="0035519F">
        <w:rPr>
          <w:rFonts w:ascii="Arial" w:hAnsi="Arial" w:cs="Arial"/>
          <w:b/>
          <w:sz w:val="24"/>
          <w:szCs w:val="24"/>
        </w:rPr>
        <w:t>Rumusan Masalah</w:t>
      </w:r>
      <w:bookmarkEnd w:id="12"/>
    </w:p>
    <w:p w14:paraId="11C380E8" w14:textId="77777777" w:rsidR="007757AB" w:rsidRPr="0035519F" w:rsidRDefault="007757AB" w:rsidP="0012466D">
      <w:pPr>
        <w:spacing w:after="0" w:line="480" w:lineRule="auto"/>
        <w:ind w:firstLine="426"/>
        <w:jc w:val="both"/>
        <w:rPr>
          <w:rFonts w:ascii="Arial" w:hAnsi="Arial" w:cs="Arial"/>
          <w:sz w:val="24"/>
          <w:szCs w:val="24"/>
        </w:rPr>
      </w:pPr>
      <w:r w:rsidRPr="0035519F">
        <w:rPr>
          <w:rFonts w:ascii="Arial" w:hAnsi="Arial" w:cs="Arial"/>
          <w:sz w:val="24"/>
          <w:szCs w:val="24"/>
        </w:rPr>
        <w:t>Berdasarkan uraian latar belakang masalah di atas dapat dirumuskan pertanyaan sebagai berikut:</w:t>
      </w:r>
    </w:p>
    <w:p w14:paraId="1434FF8D" w14:textId="2F58F197" w:rsidR="007757AB" w:rsidRPr="0035519F" w:rsidRDefault="007757AB" w:rsidP="007757AB">
      <w:pPr>
        <w:spacing w:after="0" w:line="480" w:lineRule="auto"/>
        <w:jc w:val="both"/>
        <w:rPr>
          <w:rFonts w:ascii="Arial" w:hAnsi="Arial" w:cs="Arial"/>
          <w:sz w:val="24"/>
          <w:szCs w:val="24"/>
        </w:rPr>
      </w:pPr>
      <w:r w:rsidRPr="0035519F">
        <w:rPr>
          <w:rFonts w:ascii="Arial" w:hAnsi="Arial" w:cs="Arial"/>
          <w:sz w:val="24"/>
          <w:szCs w:val="24"/>
        </w:rPr>
        <w:t xml:space="preserve">“Apakah terdapat </w:t>
      </w:r>
      <w:r w:rsidR="00F468A7" w:rsidRPr="0035519F">
        <w:rPr>
          <w:rFonts w:ascii="Arial" w:hAnsi="Arial" w:cs="Arial"/>
          <w:sz w:val="24"/>
          <w:szCs w:val="24"/>
        </w:rPr>
        <w:t>hubungan</w:t>
      </w:r>
      <w:r w:rsidRPr="0035519F">
        <w:rPr>
          <w:rFonts w:ascii="Arial" w:hAnsi="Arial" w:cs="Arial"/>
          <w:sz w:val="24"/>
          <w:szCs w:val="24"/>
        </w:rPr>
        <w:t xml:space="preserve"> antara </w:t>
      </w:r>
      <w:r w:rsidR="004C182B" w:rsidRPr="0035519F">
        <w:rPr>
          <w:rFonts w:ascii="Arial" w:hAnsi="Arial" w:cs="Arial"/>
          <w:sz w:val="24"/>
          <w:szCs w:val="24"/>
        </w:rPr>
        <w:t>resistensi insu</w:t>
      </w:r>
      <w:r w:rsidRPr="0035519F">
        <w:rPr>
          <w:rFonts w:ascii="Arial" w:hAnsi="Arial" w:cs="Arial"/>
          <w:sz w:val="24"/>
          <w:szCs w:val="24"/>
        </w:rPr>
        <w:t xml:space="preserve">lin </w:t>
      </w:r>
      <w:r w:rsidR="004C182B" w:rsidRPr="0035519F">
        <w:rPr>
          <w:rFonts w:ascii="Arial" w:hAnsi="Arial" w:cs="Arial"/>
          <w:sz w:val="24"/>
          <w:szCs w:val="24"/>
        </w:rPr>
        <w:t xml:space="preserve">dan </w:t>
      </w:r>
      <w:r w:rsidR="00354987" w:rsidRPr="0035519F">
        <w:rPr>
          <w:rFonts w:ascii="Arial" w:hAnsi="Arial" w:cs="Arial"/>
          <w:sz w:val="24"/>
          <w:szCs w:val="24"/>
        </w:rPr>
        <w:t xml:space="preserve">kadar </w:t>
      </w:r>
      <w:r w:rsidR="004C182B" w:rsidRPr="0035519F">
        <w:rPr>
          <w:rFonts w:ascii="Arial" w:hAnsi="Arial" w:cs="Arial"/>
          <w:sz w:val="24"/>
          <w:szCs w:val="24"/>
        </w:rPr>
        <w:t xml:space="preserve">IGF-1 </w:t>
      </w:r>
      <w:r w:rsidRPr="0035519F">
        <w:rPr>
          <w:rFonts w:ascii="Arial" w:hAnsi="Arial" w:cs="Arial"/>
          <w:sz w:val="24"/>
          <w:szCs w:val="24"/>
        </w:rPr>
        <w:t>pada dewasa</w:t>
      </w:r>
      <w:r w:rsidR="002E13B4" w:rsidRPr="0035519F">
        <w:rPr>
          <w:rFonts w:ascii="Arial" w:hAnsi="Arial" w:cs="Arial"/>
          <w:sz w:val="24"/>
          <w:szCs w:val="24"/>
        </w:rPr>
        <w:t xml:space="preserve"> </w:t>
      </w:r>
      <w:r w:rsidR="00C278F3" w:rsidRPr="0035519F">
        <w:rPr>
          <w:rFonts w:ascii="Arial" w:hAnsi="Arial" w:cs="Arial"/>
          <w:i/>
          <w:sz w:val="24"/>
          <w:szCs w:val="24"/>
        </w:rPr>
        <w:t>n</w:t>
      </w:r>
      <w:r w:rsidR="002E13B4" w:rsidRPr="0035519F">
        <w:rPr>
          <w:rFonts w:ascii="Arial" w:hAnsi="Arial" w:cs="Arial"/>
          <w:i/>
          <w:sz w:val="24"/>
          <w:szCs w:val="24"/>
        </w:rPr>
        <w:t>on</w:t>
      </w:r>
      <w:r w:rsidR="002E13B4" w:rsidRPr="0035519F">
        <w:rPr>
          <w:rFonts w:ascii="Arial" w:hAnsi="Arial" w:cs="Arial"/>
          <w:sz w:val="24"/>
          <w:szCs w:val="24"/>
        </w:rPr>
        <w:t xml:space="preserve"> DM</w:t>
      </w:r>
      <w:r w:rsidRPr="0035519F">
        <w:rPr>
          <w:rFonts w:ascii="Arial" w:hAnsi="Arial" w:cs="Arial"/>
          <w:sz w:val="24"/>
          <w:szCs w:val="24"/>
        </w:rPr>
        <w:t xml:space="preserve"> dengan obesitas sentral?”</w:t>
      </w:r>
    </w:p>
    <w:p w14:paraId="503C91B3" w14:textId="77777777" w:rsidR="00F72D73" w:rsidRPr="0035519F" w:rsidRDefault="00F72D73" w:rsidP="007757AB">
      <w:pPr>
        <w:spacing w:line="480" w:lineRule="auto"/>
        <w:outlineLvl w:val="1"/>
        <w:rPr>
          <w:rFonts w:ascii="Arial" w:hAnsi="Arial" w:cs="Arial"/>
          <w:b/>
          <w:sz w:val="24"/>
          <w:szCs w:val="24"/>
        </w:rPr>
      </w:pPr>
    </w:p>
    <w:p w14:paraId="3EAE52D3" w14:textId="77777777" w:rsidR="007757AB" w:rsidRPr="0035519F" w:rsidRDefault="007757AB" w:rsidP="00891FA6">
      <w:pPr>
        <w:pStyle w:val="ListParagraph"/>
        <w:numPr>
          <w:ilvl w:val="0"/>
          <w:numId w:val="24"/>
        </w:numPr>
        <w:spacing w:line="480" w:lineRule="auto"/>
        <w:ind w:left="426" w:hanging="426"/>
        <w:jc w:val="center"/>
        <w:outlineLvl w:val="1"/>
        <w:rPr>
          <w:rFonts w:ascii="Arial" w:hAnsi="Arial" w:cs="Arial"/>
          <w:b/>
          <w:sz w:val="24"/>
          <w:szCs w:val="24"/>
        </w:rPr>
      </w:pPr>
      <w:bookmarkStart w:id="13" w:name="_Toc111022751"/>
      <w:r w:rsidRPr="0035519F">
        <w:rPr>
          <w:rFonts w:ascii="Arial" w:hAnsi="Arial" w:cs="Arial"/>
          <w:b/>
          <w:sz w:val="24"/>
          <w:szCs w:val="24"/>
        </w:rPr>
        <w:t>Tujuan Penelitian</w:t>
      </w:r>
      <w:bookmarkEnd w:id="13"/>
    </w:p>
    <w:p w14:paraId="40AC377A" w14:textId="77777777" w:rsidR="007757AB" w:rsidRPr="0035519F" w:rsidRDefault="007757AB" w:rsidP="00891FA6">
      <w:pPr>
        <w:pStyle w:val="ListParagraph"/>
        <w:numPr>
          <w:ilvl w:val="0"/>
          <w:numId w:val="26"/>
        </w:numPr>
        <w:spacing w:after="0" w:line="480" w:lineRule="auto"/>
        <w:ind w:left="425" w:hanging="426"/>
        <w:outlineLvl w:val="2"/>
        <w:rPr>
          <w:rFonts w:ascii="Arial" w:hAnsi="Arial" w:cs="Arial"/>
          <w:b/>
          <w:sz w:val="24"/>
          <w:szCs w:val="24"/>
        </w:rPr>
      </w:pPr>
      <w:bookmarkStart w:id="14" w:name="_Toc111022752"/>
      <w:r w:rsidRPr="0035519F">
        <w:rPr>
          <w:rFonts w:ascii="Arial" w:hAnsi="Arial" w:cs="Arial"/>
          <w:b/>
          <w:sz w:val="24"/>
          <w:szCs w:val="24"/>
        </w:rPr>
        <w:t>Tujuan Umum</w:t>
      </w:r>
      <w:bookmarkEnd w:id="14"/>
    </w:p>
    <w:p w14:paraId="29D92075" w14:textId="41F02120" w:rsidR="007757AB" w:rsidRPr="0035519F" w:rsidRDefault="007757AB" w:rsidP="007757AB">
      <w:pPr>
        <w:tabs>
          <w:tab w:val="left" w:pos="426"/>
        </w:tabs>
        <w:spacing w:after="0" w:line="480" w:lineRule="auto"/>
        <w:ind w:left="425"/>
        <w:jc w:val="both"/>
        <w:rPr>
          <w:rFonts w:ascii="Arial" w:hAnsi="Arial" w:cs="Arial"/>
          <w:sz w:val="24"/>
          <w:szCs w:val="24"/>
        </w:rPr>
      </w:pPr>
      <w:r w:rsidRPr="0035519F">
        <w:rPr>
          <w:rFonts w:ascii="Arial" w:hAnsi="Arial" w:cs="Arial"/>
          <w:sz w:val="24"/>
          <w:szCs w:val="24"/>
        </w:rPr>
        <w:t xml:space="preserve">Mengetahui </w:t>
      </w:r>
      <w:r w:rsidR="00F468A7" w:rsidRPr="0035519F">
        <w:rPr>
          <w:rFonts w:ascii="Arial" w:hAnsi="Arial" w:cs="Arial"/>
          <w:sz w:val="24"/>
          <w:szCs w:val="24"/>
        </w:rPr>
        <w:t>hubungan</w:t>
      </w:r>
      <w:r w:rsidRPr="0035519F">
        <w:rPr>
          <w:rFonts w:ascii="Arial" w:hAnsi="Arial" w:cs="Arial"/>
          <w:sz w:val="24"/>
          <w:szCs w:val="24"/>
        </w:rPr>
        <w:t xml:space="preserve"> </w:t>
      </w:r>
      <w:r w:rsidR="003E1B24" w:rsidRPr="0035519F">
        <w:rPr>
          <w:rFonts w:ascii="Arial" w:hAnsi="Arial" w:cs="Arial"/>
          <w:sz w:val="24"/>
          <w:szCs w:val="24"/>
        </w:rPr>
        <w:t xml:space="preserve">resistensi insulin dan </w:t>
      </w:r>
      <w:r w:rsidRPr="0035519F">
        <w:rPr>
          <w:rFonts w:ascii="Arial" w:hAnsi="Arial" w:cs="Arial"/>
          <w:sz w:val="24"/>
          <w:szCs w:val="24"/>
        </w:rPr>
        <w:t xml:space="preserve">kadar </w:t>
      </w:r>
      <w:r w:rsidR="00733FDE" w:rsidRPr="0035519F">
        <w:rPr>
          <w:rFonts w:ascii="Arial" w:hAnsi="Arial" w:cs="Arial"/>
          <w:sz w:val="24"/>
          <w:szCs w:val="24"/>
        </w:rPr>
        <w:t>IGF-1</w:t>
      </w:r>
      <w:r w:rsidRPr="0035519F">
        <w:rPr>
          <w:rFonts w:ascii="Arial" w:hAnsi="Arial" w:cs="Arial"/>
          <w:sz w:val="24"/>
          <w:szCs w:val="24"/>
        </w:rPr>
        <w:t xml:space="preserve"> pada dewasa </w:t>
      </w:r>
      <w:r w:rsidR="002E13B4" w:rsidRPr="0035519F">
        <w:rPr>
          <w:rFonts w:ascii="Arial" w:hAnsi="Arial" w:cs="Arial"/>
          <w:i/>
          <w:sz w:val="24"/>
          <w:szCs w:val="24"/>
        </w:rPr>
        <w:t>non</w:t>
      </w:r>
      <w:r w:rsidR="002E13B4" w:rsidRPr="0035519F">
        <w:rPr>
          <w:rFonts w:ascii="Arial" w:hAnsi="Arial" w:cs="Arial"/>
          <w:sz w:val="24"/>
          <w:szCs w:val="24"/>
        </w:rPr>
        <w:t xml:space="preserve"> DM </w:t>
      </w:r>
      <w:r w:rsidRPr="0035519F">
        <w:rPr>
          <w:rFonts w:ascii="Arial" w:hAnsi="Arial" w:cs="Arial"/>
          <w:sz w:val="24"/>
          <w:szCs w:val="24"/>
        </w:rPr>
        <w:t xml:space="preserve">dengan obesitas sentral dan </w:t>
      </w:r>
      <w:r w:rsidR="002E13B4" w:rsidRPr="0035519F">
        <w:rPr>
          <w:rFonts w:ascii="Arial" w:hAnsi="Arial" w:cs="Arial"/>
          <w:sz w:val="24"/>
          <w:szCs w:val="24"/>
        </w:rPr>
        <w:t>tanpa obesitas sentral</w:t>
      </w:r>
      <w:r w:rsidRPr="0035519F">
        <w:rPr>
          <w:rFonts w:ascii="Arial" w:hAnsi="Arial" w:cs="Arial"/>
          <w:sz w:val="24"/>
          <w:szCs w:val="24"/>
        </w:rPr>
        <w:t>.</w:t>
      </w:r>
    </w:p>
    <w:p w14:paraId="09BEF9E1" w14:textId="77777777" w:rsidR="007757AB" w:rsidRPr="0035519F" w:rsidRDefault="007757AB" w:rsidP="00891FA6">
      <w:pPr>
        <w:pStyle w:val="ListParagraph"/>
        <w:numPr>
          <w:ilvl w:val="0"/>
          <w:numId w:val="26"/>
        </w:numPr>
        <w:spacing w:after="0" w:line="480" w:lineRule="auto"/>
        <w:ind w:left="426" w:hanging="426"/>
        <w:outlineLvl w:val="2"/>
        <w:rPr>
          <w:rFonts w:ascii="Arial" w:hAnsi="Arial" w:cs="Arial"/>
          <w:b/>
          <w:sz w:val="24"/>
          <w:szCs w:val="24"/>
        </w:rPr>
      </w:pPr>
      <w:bookmarkStart w:id="15" w:name="_Toc111022753"/>
      <w:r w:rsidRPr="0035519F">
        <w:rPr>
          <w:rFonts w:ascii="Arial" w:hAnsi="Arial" w:cs="Arial"/>
          <w:b/>
          <w:sz w:val="24"/>
          <w:szCs w:val="24"/>
        </w:rPr>
        <w:t>Tujuan Khusus</w:t>
      </w:r>
      <w:bookmarkEnd w:id="15"/>
      <w:r w:rsidRPr="0035519F">
        <w:rPr>
          <w:rFonts w:ascii="Arial" w:hAnsi="Arial" w:cs="Arial"/>
          <w:b/>
          <w:sz w:val="24"/>
          <w:szCs w:val="24"/>
        </w:rPr>
        <w:t xml:space="preserve"> </w:t>
      </w:r>
    </w:p>
    <w:p w14:paraId="7E84EA40" w14:textId="2EFB3DC4" w:rsidR="007757AB" w:rsidRPr="0035519F" w:rsidRDefault="007757AB" w:rsidP="00363776">
      <w:pPr>
        <w:pStyle w:val="ListParagraph"/>
        <w:numPr>
          <w:ilvl w:val="0"/>
          <w:numId w:val="29"/>
        </w:numPr>
        <w:spacing w:after="0" w:line="480" w:lineRule="auto"/>
        <w:ind w:left="851" w:hanging="425"/>
        <w:jc w:val="both"/>
        <w:rPr>
          <w:rFonts w:ascii="Arial" w:hAnsi="Arial" w:cs="Arial"/>
          <w:b/>
          <w:sz w:val="24"/>
          <w:szCs w:val="24"/>
        </w:rPr>
      </w:pPr>
      <w:bookmarkStart w:id="16" w:name="_Toc72146164"/>
      <w:bookmarkStart w:id="17" w:name="_Toc73161663"/>
      <w:bookmarkStart w:id="18" w:name="_Toc73784483"/>
      <w:r w:rsidRPr="0035519F">
        <w:rPr>
          <w:rFonts w:ascii="Arial" w:hAnsi="Arial" w:cs="Arial"/>
          <w:sz w:val="24"/>
          <w:szCs w:val="24"/>
        </w:rPr>
        <w:t>Diketahuinya</w:t>
      </w:r>
      <w:r w:rsidR="00324C72" w:rsidRPr="0035519F">
        <w:rPr>
          <w:rFonts w:ascii="Arial" w:hAnsi="Arial" w:cs="Arial"/>
          <w:sz w:val="24"/>
          <w:szCs w:val="24"/>
        </w:rPr>
        <w:t xml:space="preserve"> </w:t>
      </w:r>
      <w:r w:rsidR="00354987" w:rsidRPr="0035519F">
        <w:rPr>
          <w:rFonts w:ascii="Arial" w:hAnsi="Arial" w:cs="Arial"/>
          <w:sz w:val="24"/>
          <w:szCs w:val="24"/>
        </w:rPr>
        <w:t>perbedaan</w:t>
      </w:r>
      <w:r w:rsidRPr="0035519F">
        <w:rPr>
          <w:rFonts w:ascii="Arial" w:hAnsi="Arial" w:cs="Arial"/>
          <w:sz w:val="24"/>
          <w:szCs w:val="24"/>
        </w:rPr>
        <w:t xml:space="preserve"> </w:t>
      </w:r>
      <w:r w:rsidR="009768AE" w:rsidRPr="0035519F">
        <w:rPr>
          <w:rFonts w:ascii="Arial" w:hAnsi="Arial" w:cs="Arial"/>
          <w:sz w:val="24"/>
          <w:szCs w:val="24"/>
        </w:rPr>
        <w:t>nilai</w:t>
      </w:r>
      <w:r w:rsidRPr="0035519F">
        <w:rPr>
          <w:rFonts w:ascii="Arial" w:hAnsi="Arial" w:cs="Arial"/>
          <w:sz w:val="24"/>
          <w:szCs w:val="24"/>
        </w:rPr>
        <w:t xml:space="preserve"> </w:t>
      </w:r>
      <w:r w:rsidR="003E1B24" w:rsidRPr="0035519F">
        <w:rPr>
          <w:rFonts w:ascii="Arial" w:hAnsi="Arial" w:cs="Arial"/>
          <w:sz w:val="24"/>
          <w:szCs w:val="24"/>
        </w:rPr>
        <w:t>HOMA-IR</w:t>
      </w:r>
      <w:r w:rsidRPr="0035519F">
        <w:rPr>
          <w:rFonts w:ascii="Arial" w:hAnsi="Arial" w:cs="Arial"/>
          <w:sz w:val="24"/>
          <w:szCs w:val="24"/>
        </w:rPr>
        <w:t xml:space="preserve"> pada dewasa </w:t>
      </w:r>
      <w:r w:rsidR="00354987" w:rsidRPr="0035519F">
        <w:rPr>
          <w:rFonts w:ascii="Arial" w:hAnsi="Arial" w:cs="Arial"/>
          <w:sz w:val="24"/>
          <w:szCs w:val="24"/>
        </w:rPr>
        <w:t xml:space="preserve">Non DM </w:t>
      </w:r>
      <w:r w:rsidRPr="0035519F">
        <w:rPr>
          <w:rFonts w:ascii="Arial" w:hAnsi="Arial" w:cs="Arial"/>
          <w:sz w:val="24"/>
          <w:szCs w:val="24"/>
        </w:rPr>
        <w:t>dengan obesitas sentral</w:t>
      </w:r>
      <w:bookmarkEnd w:id="16"/>
      <w:bookmarkEnd w:id="17"/>
      <w:bookmarkEnd w:id="18"/>
      <w:r w:rsidRPr="0035519F">
        <w:rPr>
          <w:rFonts w:ascii="Arial" w:hAnsi="Arial" w:cs="Arial"/>
          <w:sz w:val="24"/>
          <w:szCs w:val="24"/>
        </w:rPr>
        <w:t xml:space="preserve"> </w:t>
      </w:r>
      <w:r w:rsidR="00F72D73" w:rsidRPr="0035519F">
        <w:rPr>
          <w:rFonts w:ascii="Arial" w:hAnsi="Arial" w:cs="Arial"/>
          <w:sz w:val="24"/>
          <w:szCs w:val="24"/>
        </w:rPr>
        <w:t xml:space="preserve">dan </w:t>
      </w:r>
      <w:r w:rsidR="002E13B4" w:rsidRPr="0035519F">
        <w:rPr>
          <w:rFonts w:ascii="Arial" w:hAnsi="Arial" w:cs="Arial"/>
          <w:sz w:val="24"/>
          <w:szCs w:val="24"/>
        </w:rPr>
        <w:t>tanpa obesitas sentral</w:t>
      </w:r>
      <w:r w:rsidRPr="0035519F">
        <w:rPr>
          <w:rFonts w:ascii="Arial" w:hAnsi="Arial" w:cs="Arial"/>
          <w:sz w:val="24"/>
          <w:szCs w:val="24"/>
        </w:rPr>
        <w:t xml:space="preserve"> </w:t>
      </w:r>
    </w:p>
    <w:p w14:paraId="4C1B9E52" w14:textId="1752C664" w:rsidR="007757AB" w:rsidRPr="0035519F" w:rsidRDefault="007757AB" w:rsidP="00363776">
      <w:pPr>
        <w:pStyle w:val="ListParagraph"/>
        <w:numPr>
          <w:ilvl w:val="0"/>
          <w:numId w:val="29"/>
        </w:numPr>
        <w:tabs>
          <w:tab w:val="left" w:pos="426"/>
        </w:tabs>
        <w:spacing w:after="0" w:line="480" w:lineRule="auto"/>
        <w:ind w:left="851" w:hanging="425"/>
        <w:jc w:val="both"/>
        <w:rPr>
          <w:rFonts w:ascii="Arial" w:hAnsi="Arial" w:cs="Arial"/>
          <w:sz w:val="24"/>
          <w:szCs w:val="24"/>
        </w:rPr>
      </w:pPr>
      <w:r w:rsidRPr="0035519F">
        <w:rPr>
          <w:rFonts w:ascii="Arial" w:hAnsi="Arial" w:cs="Arial"/>
          <w:sz w:val="24"/>
          <w:szCs w:val="24"/>
        </w:rPr>
        <w:t xml:space="preserve">Diketahuinya </w:t>
      </w:r>
      <w:r w:rsidR="00354987" w:rsidRPr="0035519F">
        <w:rPr>
          <w:rFonts w:ascii="Arial" w:hAnsi="Arial" w:cs="Arial"/>
          <w:sz w:val="24"/>
          <w:szCs w:val="24"/>
        </w:rPr>
        <w:t>perbedaan</w:t>
      </w:r>
      <w:r w:rsidR="009768AE" w:rsidRPr="0035519F">
        <w:rPr>
          <w:rFonts w:ascii="Arial" w:hAnsi="Arial" w:cs="Arial"/>
          <w:sz w:val="24"/>
          <w:szCs w:val="24"/>
        </w:rPr>
        <w:t xml:space="preserve"> kadar</w:t>
      </w:r>
      <w:r w:rsidRPr="0035519F">
        <w:rPr>
          <w:rFonts w:ascii="Arial" w:hAnsi="Arial" w:cs="Arial"/>
          <w:sz w:val="24"/>
          <w:szCs w:val="24"/>
        </w:rPr>
        <w:t xml:space="preserve"> </w:t>
      </w:r>
      <w:r w:rsidR="003E1B24" w:rsidRPr="0035519F">
        <w:rPr>
          <w:rFonts w:ascii="Arial" w:hAnsi="Arial" w:cs="Arial"/>
          <w:sz w:val="24"/>
          <w:szCs w:val="24"/>
        </w:rPr>
        <w:t>IGF-1</w:t>
      </w:r>
      <w:r w:rsidRPr="0035519F">
        <w:rPr>
          <w:rFonts w:ascii="Arial" w:hAnsi="Arial" w:cs="Arial"/>
          <w:sz w:val="24"/>
          <w:szCs w:val="24"/>
        </w:rPr>
        <w:t xml:space="preserve"> </w:t>
      </w:r>
      <w:r w:rsidR="00354987" w:rsidRPr="0035519F">
        <w:rPr>
          <w:rFonts w:ascii="Arial" w:hAnsi="Arial" w:cs="Arial"/>
          <w:sz w:val="24"/>
          <w:szCs w:val="24"/>
        </w:rPr>
        <w:t>pada dewasa Non DM dengan obesitas sentral</w:t>
      </w:r>
      <w:r w:rsidRPr="0035519F">
        <w:rPr>
          <w:rFonts w:ascii="Arial" w:hAnsi="Arial" w:cs="Arial"/>
          <w:sz w:val="24"/>
          <w:szCs w:val="24"/>
        </w:rPr>
        <w:t xml:space="preserve"> </w:t>
      </w:r>
      <w:r w:rsidR="00F72D73" w:rsidRPr="0035519F">
        <w:rPr>
          <w:rFonts w:ascii="Arial" w:hAnsi="Arial" w:cs="Arial"/>
          <w:sz w:val="24"/>
          <w:szCs w:val="24"/>
        </w:rPr>
        <w:t xml:space="preserve">dan </w:t>
      </w:r>
      <w:r w:rsidR="002E13B4" w:rsidRPr="0035519F">
        <w:rPr>
          <w:rFonts w:ascii="Arial" w:hAnsi="Arial" w:cs="Arial"/>
          <w:sz w:val="24"/>
          <w:szCs w:val="24"/>
        </w:rPr>
        <w:t>tanpa obesitas sentral</w:t>
      </w:r>
      <w:r w:rsidRPr="0035519F">
        <w:rPr>
          <w:rFonts w:ascii="Arial" w:hAnsi="Arial" w:cs="Arial"/>
          <w:sz w:val="24"/>
          <w:szCs w:val="24"/>
        </w:rPr>
        <w:t xml:space="preserve"> </w:t>
      </w:r>
    </w:p>
    <w:p w14:paraId="05395D2F" w14:textId="3C61CB85" w:rsidR="00F8103D" w:rsidRPr="0035519F" w:rsidRDefault="00F8103D" w:rsidP="00363776">
      <w:pPr>
        <w:pStyle w:val="ListParagraph"/>
        <w:numPr>
          <w:ilvl w:val="0"/>
          <w:numId w:val="29"/>
        </w:numPr>
        <w:tabs>
          <w:tab w:val="left" w:pos="426"/>
        </w:tabs>
        <w:spacing w:after="0" w:line="480" w:lineRule="auto"/>
        <w:ind w:left="851" w:hanging="425"/>
        <w:jc w:val="both"/>
        <w:rPr>
          <w:rFonts w:ascii="Arial" w:hAnsi="Arial" w:cs="Arial"/>
          <w:sz w:val="24"/>
          <w:szCs w:val="24"/>
        </w:rPr>
      </w:pPr>
      <w:r w:rsidRPr="0035519F">
        <w:rPr>
          <w:rFonts w:ascii="Arial" w:hAnsi="Arial" w:cs="Arial"/>
          <w:sz w:val="24"/>
          <w:szCs w:val="24"/>
        </w:rPr>
        <w:lastRenderedPageBreak/>
        <w:t xml:space="preserve">Diketahuinya </w:t>
      </w:r>
      <w:r w:rsidR="00F468A7" w:rsidRPr="0035519F">
        <w:rPr>
          <w:rFonts w:ascii="Arial" w:hAnsi="Arial" w:cs="Arial"/>
          <w:sz w:val="24"/>
          <w:szCs w:val="24"/>
        </w:rPr>
        <w:t>hubungan</w:t>
      </w:r>
      <w:r w:rsidR="009768AE" w:rsidRPr="0035519F">
        <w:rPr>
          <w:rFonts w:ascii="Arial" w:hAnsi="Arial" w:cs="Arial"/>
          <w:sz w:val="24"/>
          <w:szCs w:val="24"/>
        </w:rPr>
        <w:t xml:space="preserve"> antara</w:t>
      </w:r>
      <w:r w:rsidRPr="0035519F">
        <w:rPr>
          <w:rFonts w:ascii="Arial" w:hAnsi="Arial" w:cs="Arial"/>
          <w:sz w:val="24"/>
          <w:szCs w:val="24"/>
        </w:rPr>
        <w:t xml:space="preserve"> HOMA-IR dan IGF-1 pada dewasa Non DM, dewasa Non DM </w:t>
      </w:r>
      <w:r w:rsidR="00DC6CD1" w:rsidRPr="0035519F">
        <w:rPr>
          <w:rFonts w:ascii="Arial" w:hAnsi="Arial" w:cs="Arial"/>
          <w:sz w:val="24"/>
          <w:szCs w:val="24"/>
        </w:rPr>
        <w:t xml:space="preserve">dengan </w:t>
      </w:r>
      <w:r w:rsidRPr="0035519F">
        <w:rPr>
          <w:rFonts w:ascii="Arial" w:hAnsi="Arial" w:cs="Arial"/>
          <w:sz w:val="24"/>
          <w:szCs w:val="24"/>
        </w:rPr>
        <w:t xml:space="preserve">Obesitas Sentral dan tanpa obesitas sentral. </w:t>
      </w:r>
    </w:p>
    <w:p w14:paraId="5A95A068" w14:textId="77777777" w:rsidR="007757AB" w:rsidRPr="0035519F" w:rsidRDefault="007757AB" w:rsidP="00891FA6">
      <w:pPr>
        <w:pStyle w:val="ListParagraph"/>
        <w:numPr>
          <w:ilvl w:val="0"/>
          <w:numId w:val="24"/>
        </w:numPr>
        <w:spacing w:after="0" w:line="480" w:lineRule="auto"/>
        <w:ind w:left="425" w:hanging="425"/>
        <w:jc w:val="center"/>
        <w:outlineLvl w:val="1"/>
        <w:rPr>
          <w:rFonts w:ascii="Arial" w:hAnsi="Arial" w:cs="Arial"/>
          <w:b/>
          <w:sz w:val="24"/>
          <w:szCs w:val="24"/>
        </w:rPr>
      </w:pPr>
      <w:bookmarkStart w:id="19" w:name="_Toc111022754"/>
      <w:r w:rsidRPr="0035519F">
        <w:rPr>
          <w:rFonts w:ascii="Arial" w:hAnsi="Arial" w:cs="Arial"/>
          <w:b/>
          <w:sz w:val="24"/>
          <w:szCs w:val="24"/>
        </w:rPr>
        <w:t>Hipotesis</w:t>
      </w:r>
      <w:bookmarkEnd w:id="19"/>
    </w:p>
    <w:p w14:paraId="39378FD9" w14:textId="27F2A16C" w:rsidR="00354987" w:rsidRPr="0035519F" w:rsidRDefault="0031228A" w:rsidP="002C5221">
      <w:pPr>
        <w:pStyle w:val="ListParagraph"/>
        <w:numPr>
          <w:ilvl w:val="0"/>
          <w:numId w:val="43"/>
        </w:numPr>
        <w:spacing w:after="0" w:line="480" w:lineRule="auto"/>
        <w:ind w:left="810"/>
        <w:jc w:val="both"/>
        <w:rPr>
          <w:rFonts w:ascii="Arial" w:hAnsi="Arial" w:cs="Arial"/>
          <w:sz w:val="24"/>
          <w:szCs w:val="24"/>
        </w:rPr>
      </w:pPr>
      <w:r w:rsidRPr="0035519F">
        <w:rPr>
          <w:rFonts w:ascii="Arial" w:hAnsi="Arial" w:cs="Arial"/>
          <w:sz w:val="24"/>
          <w:szCs w:val="24"/>
        </w:rPr>
        <w:t>Nilai</w:t>
      </w:r>
      <w:r w:rsidR="00354987" w:rsidRPr="0035519F">
        <w:rPr>
          <w:rFonts w:ascii="Arial" w:hAnsi="Arial" w:cs="Arial"/>
          <w:sz w:val="24"/>
          <w:szCs w:val="24"/>
        </w:rPr>
        <w:t xml:space="preserve"> HOMA-IR </w:t>
      </w:r>
      <w:r w:rsidR="007757AB" w:rsidRPr="0035519F">
        <w:rPr>
          <w:rFonts w:ascii="Arial" w:hAnsi="Arial" w:cs="Arial"/>
          <w:sz w:val="24"/>
          <w:szCs w:val="24"/>
        </w:rPr>
        <w:t xml:space="preserve">pada dewasa </w:t>
      </w:r>
      <w:r w:rsidR="00354987" w:rsidRPr="0035519F">
        <w:rPr>
          <w:rFonts w:ascii="Arial" w:hAnsi="Arial" w:cs="Arial"/>
          <w:sz w:val="24"/>
          <w:szCs w:val="24"/>
        </w:rPr>
        <w:t>Non DM</w:t>
      </w:r>
      <w:r w:rsidRPr="0035519F">
        <w:rPr>
          <w:rFonts w:ascii="Arial" w:hAnsi="Arial" w:cs="Arial"/>
          <w:sz w:val="24"/>
          <w:szCs w:val="24"/>
        </w:rPr>
        <w:t xml:space="preserve"> dengan obasitas sentral lebih tinggi dibandingkan dengan</w:t>
      </w:r>
      <w:r w:rsidR="00354987" w:rsidRPr="0035519F">
        <w:rPr>
          <w:rFonts w:ascii="Arial" w:hAnsi="Arial" w:cs="Arial"/>
          <w:sz w:val="24"/>
          <w:szCs w:val="24"/>
        </w:rPr>
        <w:t xml:space="preserve"> </w:t>
      </w:r>
      <w:r w:rsidR="002E13B4" w:rsidRPr="0035519F">
        <w:rPr>
          <w:rFonts w:ascii="Arial" w:hAnsi="Arial" w:cs="Arial"/>
          <w:sz w:val="24"/>
          <w:szCs w:val="24"/>
        </w:rPr>
        <w:t>tanpa obesitas sentral</w:t>
      </w:r>
      <w:r w:rsidR="007757AB" w:rsidRPr="0035519F">
        <w:rPr>
          <w:rFonts w:ascii="Arial" w:hAnsi="Arial" w:cs="Arial"/>
          <w:sz w:val="24"/>
          <w:szCs w:val="24"/>
        </w:rPr>
        <w:t xml:space="preserve">. </w:t>
      </w:r>
    </w:p>
    <w:p w14:paraId="2396380C" w14:textId="11D1E6AA" w:rsidR="00354987" w:rsidRPr="0035519F" w:rsidRDefault="0031228A" w:rsidP="002C5221">
      <w:pPr>
        <w:pStyle w:val="ListParagraph"/>
        <w:numPr>
          <w:ilvl w:val="0"/>
          <w:numId w:val="43"/>
        </w:numPr>
        <w:spacing w:after="0" w:line="480" w:lineRule="auto"/>
        <w:ind w:left="810"/>
        <w:jc w:val="both"/>
        <w:rPr>
          <w:rFonts w:ascii="Arial" w:hAnsi="Arial" w:cs="Arial"/>
          <w:sz w:val="24"/>
          <w:szCs w:val="24"/>
        </w:rPr>
      </w:pPr>
      <w:r w:rsidRPr="0035519F">
        <w:rPr>
          <w:rFonts w:ascii="Arial" w:hAnsi="Arial" w:cs="Arial"/>
          <w:sz w:val="24"/>
          <w:szCs w:val="24"/>
        </w:rPr>
        <w:t>K</w:t>
      </w:r>
      <w:r w:rsidR="00354987" w:rsidRPr="0035519F">
        <w:rPr>
          <w:rFonts w:ascii="Arial" w:hAnsi="Arial" w:cs="Arial"/>
          <w:sz w:val="24"/>
          <w:szCs w:val="24"/>
        </w:rPr>
        <w:t>adar IGF-1 pada dewasa Non DM dengan</w:t>
      </w:r>
      <w:r w:rsidRPr="0035519F">
        <w:rPr>
          <w:rFonts w:ascii="Arial" w:hAnsi="Arial" w:cs="Arial"/>
          <w:sz w:val="24"/>
          <w:szCs w:val="24"/>
        </w:rPr>
        <w:t xml:space="preserve"> obesitas sentral lebih rendah dibandingkan</w:t>
      </w:r>
      <w:r w:rsidR="00354987" w:rsidRPr="0035519F">
        <w:rPr>
          <w:rFonts w:ascii="Arial" w:hAnsi="Arial" w:cs="Arial"/>
          <w:sz w:val="24"/>
          <w:szCs w:val="24"/>
        </w:rPr>
        <w:t xml:space="preserve"> tanpa obesitas sentral</w:t>
      </w:r>
    </w:p>
    <w:p w14:paraId="54F0F162" w14:textId="0E164A81" w:rsidR="00733FDE" w:rsidRPr="0035519F" w:rsidRDefault="00AB4536" w:rsidP="00AB4536">
      <w:pPr>
        <w:pStyle w:val="ListParagraph"/>
        <w:numPr>
          <w:ilvl w:val="0"/>
          <w:numId w:val="43"/>
        </w:numPr>
        <w:spacing w:after="0" w:line="480" w:lineRule="auto"/>
        <w:ind w:left="810"/>
        <w:jc w:val="both"/>
        <w:rPr>
          <w:rFonts w:ascii="Arial" w:hAnsi="Arial" w:cs="Arial"/>
          <w:sz w:val="24"/>
          <w:szCs w:val="24"/>
        </w:rPr>
      </w:pPr>
      <w:r w:rsidRPr="0035519F">
        <w:rPr>
          <w:rFonts w:ascii="Arial" w:hAnsi="Arial" w:cs="Arial"/>
          <w:sz w:val="24"/>
          <w:szCs w:val="24"/>
        </w:rPr>
        <w:t>Semakin tinggi nilai</w:t>
      </w:r>
      <w:r w:rsidR="00F8103D" w:rsidRPr="0035519F">
        <w:rPr>
          <w:rFonts w:ascii="Arial" w:hAnsi="Arial" w:cs="Arial"/>
          <w:sz w:val="24"/>
          <w:szCs w:val="24"/>
        </w:rPr>
        <w:t xml:space="preserve"> resistensi insulin</w:t>
      </w:r>
      <w:r w:rsidRPr="0035519F">
        <w:rPr>
          <w:rFonts w:ascii="Arial" w:hAnsi="Arial" w:cs="Arial"/>
          <w:sz w:val="24"/>
          <w:szCs w:val="24"/>
        </w:rPr>
        <w:t xml:space="preserve"> semakin rendah</w:t>
      </w:r>
      <w:r w:rsidR="00F8103D" w:rsidRPr="0035519F">
        <w:rPr>
          <w:rFonts w:ascii="Arial" w:hAnsi="Arial" w:cs="Arial"/>
          <w:sz w:val="24"/>
          <w:szCs w:val="24"/>
        </w:rPr>
        <w:t xml:space="preserve"> kadar IGF-1 pada dewasa non DM dengan obesitas sentral. </w:t>
      </w:r>
    </w:p>
    <w:p w14:paraId="70BC0E9C" w14:textId="77777777" w:rsidR="00A00AE1" w:rsidRPr="0035519F" w:rsidRDefault="00A00AE1" w:rsidP="00733FDE">
      <w:pPr>
        <w:pStyle w:val="ListParagraph"/>
        <w:spacing w:after="0" w:line="480" w:lineRule="auto"/>
        <w:ind w:left="426"/>
        <w:jc w:val="both"/>
        <w:rPr>
          <w:rFonts w:ascii="Arial" w:hAnsi="Arial" w:cs="Arial"/>
          <w:sz w:val="24"/>
          <w:szCs w:val="24"/>
        </w:rPr>
      </w:pPr>
    </w:p>
    <w:p w14:paraId="798977EC" w14:textId="77777777" w:rsidR="007757AB" w:rsidRPr="0035519F" w:rsidRDefault="007757AB" w:rsidP="00B124CB">
      <w:pPr>
        <w:pStyle w:val="ListParagraph"/>
        <w:numPr>
          <w:ilvl w:val="0"/>
          <w:numId w:val="24"/>
        </w:numPr>
        <w:tabs>
          <w:tab w:val="left" w:pos="426"/>
        </w:tabs>
        <w:spacing w:after="0" w:line="480" w:lineRule="auto"/>
        <w:ind w:left="426" w:hanging="426"/>
        <w:jc w:val="center"/>
        <w:outlineLvl w:val="1"/>
        <w:rPr>
          <w:rFonts w:ascii="Arial" w:hAnsi="Arial" w:cs="Arial"/>
          <w:b/>
          <w:sz w:val="24"/>
          <w:szCs w:val="24"/>
        </w:rPr>
      </w:pPr>
      <w:bookmarkStart w:id="20" w:name="_Toc111022755"/>
      <w:r w:rsidRPr="0035519F">
        <w:rPr>
          <w:rFonts w:ascii="Arial" w:hAnsi="Arial" w:cs="Arial"/>
          <w:b/>
          <w:sz w:val="24"/>
          <w:szCs w:val="24"/>
        </w:rPr>
        <w:t>Manfaat Penelitian</w:t>
      </w:r>
      <w:bookmarkEnd w:id="20"/>
    </w:p>
    <w:p w14:paraId="29CA7F50" w14:textId="77777777" w:rsidR="008D2A2E" w:rsidRPr="0035519F" w:rsidRDefault="008D2A2E" w:rsidP="008D2A2E">
      <w:pPr>
        <w:pStyle w:val="ListParagraph"/>
        <w:tabs>
          <w:tab w:val="left" w:pos="426"/>
        </w:tabs>
        <w:spacing w:after="0" w:line="480" w:lineRule="auto"/>
        <w:ind w:left="426"/>
        <w:outlineLvl w:val="1"/>
        <w:rPr>
          <w:rFonts w:ascii="Arial" w:hAnsi="Arial" w:cs="Arial"/>
          <w:b/>
          <w:sz w:val="24"/>
          <w:szCs w:val="24"/>
        </w:rPr>
      </w:pPr>
    </w:p>
    <w:p w14:paraId="5882ED2A" w14:textId="77777777" w:rsidR="007757AB" w:rsidRPr="0035519F" w:rsidRDefault="007757AB" w:rsidP="00363776">
      <w:pPr>
        <w:pStyle w:val="ListParagraph"/>
        <w:numPr>
          <w:ilvl w:val="0"/>
          <w:numId w:val="30"/>
        </w:numPr>
        <w:spacing w:after="0" w:line="480" w:lineRule="auto"/>
        <w:ind w:left="425" w:hanging="425"/>
        <w:jc w:val="both"/>
        <w:rPr>
          <w:rFonts w:ascii="Arial" w:hAnsi="Arial" w:cs="Arial"/>
          <w:b/>
          <w:sz w:val="24"/>
          <w:szCs w:val="24"/>
        </w:rPr>
      </w:pPr>
      <w:r w:rsidRPr="0035519F">
        <w:rPr>
          <w:rFonts w:ascii="Arial" w:hAnsi="Arial" w:cs="Arial"/>
          <w:b/>
          <w:sz w:val="24"/>
          <w:szCs w:val="24"/>
        </w:rPr>
        <w:t xml:space="preserve">Manfaat bagi pengembangan ilmu </w:t>
      </w:r>
    </w:p>
    <w:p w14:paraId="31D13A94" w14:textId="77777777" w:rsidR="007757AB" w:rsidRPr="0035519F" w:rsidRDefault="007757AB" w:rsidP="00363776">
      <w:pPr>
        <w:pStyle w:val="ListParagraph"/>
        <w:numPr>
          <w:ilvl w:val="0"/>
          <w:numId w:val="31"/>
        </w:numPr>
        <w:spacing w:after="0" w:line="480" w:lineRule="auto"/>
        <w:ind w:left="851" w:hanging="425"/>
        <w:jc w:val="both"/>
        <w:rPr>
          <w:rFonts w:ascii="Arial" w:hAnsi="Arial" w:cs="Arial"/>
          <w:sz w:val="24"/>
          <w:szCs w:val="24"/>
        </w:rPr>
      </w:pPr>
      <w:r w:rsidRPr="0035519F">
        <w:rPr>
          <w:rFonts w:ascii="Arial" w:hAnsi="Arial" w:cs="Arial"/>
          <w:sz w:val="24"/>
          <w:szCs w:val="24"/>
        </w:rPr>
        <w:t xml:space="preserve">Menambah wawasan dan pengetahuan tentang </w:t>
      </w:r>
      <w:r w:rsidR="00C278F3" w:rsidRPr="0035519F">
        <w:rPr>
          <w:rFonts w:ascii="Arial" w:hAnsi="Arial" w:cs="Arial"/>
          <w:sz w:val="24"/>
          <w:szCs w:val="24"/>
        </w:rPr>
        <w:t xml:space="preserve">resistensi insulin </w:t>
      </w:r>
      <w:r w:rsidRPr="0035519F">
        <w:rPr>
          <w:rFonts w:ascii="Arial" w:hAnsi="Arial" w:cs="Arial"/>
          <w:sz w:val="24"/>
          <w:szCs w:val="24"/>
        </w:rPr>
        <w:t xml:space="preserve">dan </w:t>
      </w:r>
      <w:r w:rsidR="00C278F3" w:rsidRPr="0035519F">
        <w:rPr>
          <w:rFonts w:ascii="Arial" w:hAnsi="Arial" w:cs="Arial"/>
          <w:sz w:val="24"/>
          <w:szCs w:val="24"/>
        </w:rPr>
        <w:t xml:space="preserve">IGF-1 </w:t>
      </w:r>
      <w:r w:rsidRPr="0035519F">
        <w:rPr>
          <w:rFonts w:ascii="Arial" w:hAnsi="Arial" w:cs="Arial"/>
          <w:sz w:val="24"/>
          <w:szCs w:val="24"/>
        </w:rPr>
        <w:t xml:space="preserve">pada dewasa </w:t>
      </w:r>
      <w:r w:rsidR="00C278F3" w:rsidRPr="0035519F">
        <w:rPr>
          <w:rFonts w:ascii="Arial" w:hAnsi="Arial" w:cs="Arial"/>
          <w:sz w:val="24"/>
          <w:szCs w:val="24"/>
        </w:rPr>
        <w:t xml:space="preserve">non DM dengan </w:t>
      </w:r>
      <w:r w:rsidRPr="0035519F">
        <w:rPr>
          <w:rFonts w:ascii="Arial" w:hAnsi="Arial" w:cs="Arial"/>
          <w:sz w:val="24"/>
          <w:szCs w:val="24"/>
        </w:rPr>
        <w:t>obesitas</w:t>
      </w:r>
      <w:r w:rsidR="00C278F3" w:rsidRPr="0035519F">
        <w:rPr>
          <w:rFonts w:ascii="Arial" w:hAnsi="Arial" w:cs="Arial"/>
          <w:sz w:val="24"/>
          <w:szCs w:val="24"/>
        </w:rPr>
        <w:t xml:space="preserve"> sentral</w:t>
      </w:r>
      <w:r w:rsidRPr="0035519F">
        <w:rPr>
          <w:rFonts w:ascii="Arial" w:hAnsi="Arial" w:cs="Arial"/>
          <w:sz w:val="24"/>
          <w:szCs w:val="24"/>
        </w:rPr>
        <w:t xml:space="preserve"> dan </w:t>
      </w:r>
      <w:r w:rsidR="00C278F3" w:rsidRPr="0035519F">
        <w:rPr>
          <w:rFonts w:ascii="Arial" w:hAnsi="Arial" w:cs="Arial"/>
          <w:sz w:val="24"/>
          <w:szCs w:val="24"/>
        </w:rPr>
        <w:t>tanpa</w:t>
      </w:r>
      <w:r w:rsidRPr="0035519F">
        <w:rPr>
          <w:rFonts w:ascii="Arial" w:hAnsi="Arial" w:cs="Arial"/>
          <w:i/>
          <w:sz w:val="24"/>
          <w:szCs w:val="24"/>
        </w:rPr>
        <w:t xml:space="preserve"> </w:t>
      </w:r>
      <w:r w:rsidRPr="0035519F">
        <w:rPr>
          <w:rFonts w:ascii="Arial" w:hAnsi="Arial" w:cs="Arial"/>
          <w:sz w:val="24"/>
          <w:szCs w:val="24"/>
        </w:rPr>
        <w:t xml:space="preserve">obesitas </w:t>
      </w:r>
      <w:r w:rsidR="00C278F3" w:rsidRPr="0035519F">
        <w:rPr>
          <w:rFonts w:ascii="Arial" w:hAnsi="Arial" w:cs="Arial"/>
          <w:sz w:val="24"/>
          <w:szCs w:val="24"/>
        </w:rPr>
        <w:t>sentral</w:t>
      </w:r>
    </w:p>
    <w:p w14:paraId="42C0FCD5" w14:textId="77777777" w:rsidR="007757AB" w:rsidRPr="0035519F" w:rsidRDefault="007757AB" w:rsidP="00363776">
      <w:pPr>
        <w:pStyle w:val="ListParagraph"/>
        <w:numPr>
          <w:ilvl w:val="0"/>
          <w:numId w:val="31"/>
        </w:numPr>
        <w:spacing w:after="0" w:line="480" w:lineRule="auto"/>
        <w:ind w:left="851" w:hanging="425"/>
        <w:jc w:val="both"/>
        <w:rPr>
          <w:rFonts w:ascii="Arial" w:hAnsi="Arial" w:cs="Arial"/>
          <w:sz w:val="24"/>
          <w:szCs w:val="24"/>
        </w:rPr>
      </w:pPr>
      <w:r w:rsidRPr="0035519F">
        <w:rPr>
          <w:rFonts w:ascii="Arial" w:hAnsi="Arial" w:cs="Arial"/>
          <w:sz w:val="24"/>
          <w:szCs w:val="24"/>
        </w:rPr>
        <w:t xml:space="preserve">Dapat digunakan sebagai bahan rujukan untuk pengembangan penelitian selanjutnya. </w:t>
      </w:r>
    </w:p>
    <w:p w14:paraId="00B052A5" w14:textId="77777777" w:rsidR="007757AB" w:rsidRPr="0035519F" w:rsidRDefault="007757AB" w:rsidP="00363776">
      <w:pPr>
        <w:pStyle w:val="ListParagraph"/>
        <w:numPr>
          <w:ilvl w:val="0"/>
          <w:numId w:val="30"/>
        </w:numPr>
        <w:spacing w:after="0" w:line="480" w:lineRule="auto"/>
        <w:ind w:left="426" w:hanging="426"/>
        <w:jc w:val="both"/>
        <w:rPr>
          <w:rFonts w:ascii="Arial" w:hAnsi="Arial" w:cs="Arial"/>
          <w:b/>
          <w:sz w:val="24"/>
          <w:szCs w:val="24"/>
        </w:rPr>
      </w:pPr>
      <w:r w:rsidRPr="0035519F">
        <w:rPr>
          <w:rFonts w:ascii="Arial" w:hAnsi="Arial" w:cs="Arial"/>
          <w:b/>
          <w:sz w:val="24"/>
          <w:szCs w:val="24"/>
        </w:rPr>
        <w:t xml:space="preserve">Manfaat bagi aplikasi klinis </w:t>
      </w:r>
    </w:p>
    <w:p w14:paraId="075F4090" w14:textId="3859A1F2" w:rsidR="007757AB" w:rsidRPr="0035519F" w:rsidRDefault="007757AB" w:rsidP="007757AB">
      <w:pPr>
        <w:pStyle w:val="ListParagraph"/>
        <w:spacing w:after="0" w:line="480" w:lineRule="auto"/>
        <w:ind w:left="426" w:firstLine="425"/>
        <w:jc w:val="both"/>
        <w:rPr>
          <w:rFonts w:ascii="Arial" w:hAnsi="Arial" w:cs="Arial"/>
          <w:sz w:val="24"/>
          <w:szCs w:val="24"/>
        </w:rPr>
      </w:pPr>
      <w:r w:rsidRPr="0035519F">
        <w:rPr>
          <w:rFonts w:ascii="Arial" w:hAnsi="Arial" w:cs="Arial"/>
          <w:sz w:val="24"/>
          <w:szCs w:val="24"/>
        </w:rPr>
        <w:t xml:space="preserve">Hasil penelitian ini dapat menjadi bahan pertimbangan bagi para klinisi dalam menangani obesitas sentral sehingga dapat menurunkan kemungkinan komplikasi terjadinya resistensi insulin. </w:t>
      </w:r>
    </w:p>
    <w:p w14:paraId="6C3C85C4" w14:textId="77777777" w:rsidR="007757AB" w:rsidRPr="0035519F" w:rsidRDefault="007757AB" w:rsidP="00363776">
      <w:pPr>
        <w:pStyle w:val="ListParagraph"/>
        <w:numPr>
          <w:ilvl w:val="0"/>
          <w:numId w:val="30"/>
        </w:numPr>
        <w:spacing w:after="0" w:line="480" w:lineRule="auto"/>
        <w:ind w:left="425" w:hanging="425"/>
        <w:jc w:val="both"/>
        <w:rPr>
          <w:rFonts w:ascii="Arial" w:hAnsi="Arial" w:cs="Arial"/>
          <w:b/>
          <w:sz w:val="24"/>
          <w:szCs w:val="24"/>
        </w:rPr>
      </w:pPr>
      <w:r w:rsidRPr="0035519F">
        <w:rPr>
          <w:rFonts w:ascii="Arial" w:hAnsi="Arial" w:cs="Arial"/>
          <w:b/>
          <w:sz w:val="24"/>
          <w:szCs w:val="24"/>
        </w:rPr>
        <w:lastRenderedPageBreak/>
        <w:t xml:space="preserve">Manfaat bagi pengembangan penelitian </w:t>
      </w:r>
    </w:p>
    <w:p w14:paraId="68E4910C" w14:textId="76F395C5" w:rsidR="007757AB" w:rsidRPr="0035519F" w:rsidRDefault="007757AB" w:rsidP="007757AB">
      <w:pPr>
        <w:pStyle w:val="ListParagraph"/>
        <w:spacing w:after="0" w:line="480" w:lineRule="auto"/>
        <w:ind w:left="425" w:firstLine="426"/>
        <w:jc w:val="both"/>
        <w:rPr>
          <w:rFonts w:ascii="Arial" w:hAnsi="Arial" w:cs="Arial"/>
          <w:b/>
          <w:sz w:val="24"/>
          <w:szCs w:val="24"/>
        </w:rPr>
      </w:pPr>
      <w:r w:rsidRPr="0035519F">
        <w:rPr>
          <w:rFonts w:ascii="Arial" w:hAnsi="Arial" w:cs="Arial"/>
          <w:sz w:val="24"/>
          <w:szCs w:val="24"/>
        </w:rPr>
        <w:t>Bagi peneliti sendiri khususnya, proses serta hasil penel</w:t>
      </w:r>
      <w:r w:rsidR="008725B6" w:rsidRPr="0035519F">
        <w:rPr>
          <w:rFonts w:ascii="Arial" w:hAnsi="Arial" w:cs="Arial"/>
          <w:sz w:val="24"/>
          <w:szCs w:val="24"/>
        </w:rPr>
        <w:t xml:space="preserve">itian ini </w:t>
      </w:r>
      <w:r w:rsidR="00F468A7" w:rsidRPr="0035519F">
        <w:rPr>
          <w:rFonts w:ascii="Arial" w:hAnsi="Arial" w:cs="Arial"/>
          <w:sz w:val="24"/>
          <w:szCs w:val="24"/>
        </w:rPr>
        <w:t>telah</w:t>
      </w:r>
      <w:r w:rsidR="008725B6" w:rsidRPr="0035519F">
        <w:rPr>
          <w:rFonts w:ascii="Arial" w:hAnsi="Arial" w:cs="Arial"/>
          <w:sz w:val="24"/>
          <w:szCs w:val="24"/>
        </w:rPr>
        <w:t xml:space="preserve"> memberikan masu</w:t>
      </w:r>
      <w:r w:rsidRPr="0035519F">
        <w:rPr>
          <w:rFonts w:ascii="Arial" w:hAnsi="Arial" w:cs="Arial"/>
          <w:sz w:val="24"/>
          <w:szCs w:val="24"/>
        </w:rPr>
        <w:t xml:space="preserve">kan dan pembelajaran </w:t>
      </w:r>
      <w:r w:rsidR="000C7CBF" w:rsidRPr="0035519F">
        <w:rPr>
          <w:rFonts w:ascii="Arial" w:hAnsi="Arial" w:cs="Arial"/>
          <w:sz w:val="24"/>
          <w:szCs w:val="24"/>
        </w:rPr>
        <w:t xml:space="preserve">berharga </w:t>
      </w:r>
      <w:r w:rsidRPr="0035519F">
        <w:rPr>
          <w:rFonts w:ascii="Arial" w:hAnsi="Arial" w:cs="Arial"/>
          <w:sz w:val="24"/>
          <w:szCs w:val="24"/>
        </w:rPr>
        <w:t xml:space="preserve">terutama untuk perkembangan keilmuan peneliti. </w:t>
      </w:r>
    </w:p>
    <w:p w14:paraId="239D5DB1" w14:textId="77777777" w:rsidR="007757AB" w:rsidRPr="0035519F" w:rsidRDefault="007757AB" w:rsidP="007757AB">
      <w:pPr>
        <w:rPr>
          <w:rFonts w:ascii="Arial" w:hAnsi="Arial" w:cs="Arial"/>
          <w:b/>
          <w:sz w:val="24"/>
          <w:szCs w:val="24"/>
        </w:rPr>
      </w:pPr>
      <w:r w:rsidRPr="0035519F">
        <w:rPr>
          <w:rFonts w:ascii="Arial" w:hAnsi="Arial" w:cs="Arial"/>
          <w:b/>
          <w:sz w:val="24"/>
          <w:szCs w:val="24"/>
        </w:rPr>
        <w:br w:type="page"/>
      </w:r>
    </w:p>
    <w:p w14:paraId="67200B17" w14:textId="77777777" w:rsidR="007757AB" w:rsidRPr="0035519F" w:rsidRDefault="007757AB" w:rsidP="00304D34">
      <w:pPr>
        <w:pStyle w:val="Heading1"/>
        <w:rPr>
          <w:rFonts w:cs="Arial"/>
          <w:color w:val="auto"/>
          <w:sz w:val="28"/>
          <w:szCs w:val="28"/>
        </w:rPr>
      </w:pPr>
      <w:bookmarkStart w:id="21" w:name="_Toc111022756"/>
      <w:r w:rsidRPr="0035519F">
        <w:rPr>
          <w:rFonts w:cs="Arial"/>
          <w:color w:val="auto"/>
          <w:sz w:val="28"/>
          <w:szCs w:val="28"/>
        </w:rPr>
        <w:lastRenderedPageBreak/>
        <w:t>BAB II</w:t>
      </w:r>
      <w:bookmarkEnd w:id="21"/>
    </w:p>
    <w:p w14:paraId="53566F9C" w14:textId="77777777" w:rsidR="007757AB" w:rsidRPr="0035519F" w:rsidRDefault="007757AB" w:rsidP="00304D34">
      <w:pPr>
        <w:pStyle w:val="Heading1"/>
        <w:rPr>
          <w:rFonts w:cs="Arial"/>
          <w:color w:val="auto"/>
          <w:sz w:val="28"/>
          <w:szCs w:val="28"/>
        </w:rPr>
      </w:pPr>
      <w:bookmarkStart w:id="22" w:name="_Toc111022757"/>
      <w:r w:rsidRPr="0035519F">
        <w:rPr>
          <w:rFonts w:cs="Arial"/>
          <w:color w:val="auto"/>
          <w:sz w:val="28"/>
          <w:szCs w:val="28"/>
        </w:rPr>
        <w:t>TINJAUAN PUSTAKA</w:t>
      </w:r>
      <w:bookmarkEnd w:id="22"/>
    </w:p>
    <w:p w14:paraId="36048FFC" w14:textId="77777777" w:rsidR="00304D34" w:rsidRPr="0035519F" w:rsidRDefault="00304D34" w:rsidP="00304D34"/>
    <w:p w14:paraId="681487FE" w14:textId="77777777" w:rsidR="007757AB" w:rsidRPr="0035519F" w:rsidRDefault="007757AB" w:rsidP="00B124CB">
      <w:pPr>
        <w:pStyle w:val="ListParagraph"/>
        <w:numPr>
          <w:ilvl w:val="0"/>
          <w:numId w:val="23"/>
        </w:numPr>
        <w:ind w:left="426" w:hanging="426"/>
        <w:jc w:val="center"/>
        <w:outlineLvl w:val="1"/>
        <w:rPr>
          <w:rFonts w:ascii="Arial" w:hAnsi="Arial" w:cs="Arial"/>
          <w:b/>
          <w:sz w:val="24"/>
          <w:szCs w:val="24"/>
        </w:rPr>
      </w:pPr>
      <w:bookmarkStart w:id="23" w:name="_Toc111022758"/>
      <w:r w:rsidRPr="0035519F">
        <w:rPr>
          <w:rFonts w:ascii="Arial" w:hAnsi="Arial" w:cs="Arial"/>
          <w:b/>
          <w:sz w:val="24"/>
          <w:szCs w:val="24"/>
        </w:rPr>
        <w:t>Obesitas</w:t>
      </w:r>
      <w:bookmarkEnd w:id="23"/>
      <w:r w:rsidRPr="0035519F">
        <w:rPr>
          <w:rFonts w:ascii="Arial" w:hAnsi="Arial" w:cs="Arial"/>
          <w:b/>
          <w:sz w:val="24"/>
          <w:szCs w:val="24"/>
        </w:rPr>
        <w:t xml:space="preserve"> </w:t>
      </w:r>
    </w:p>
    <w:p w14:paraId="76B2061E" w14:textId="77777777" w:rsidR="007757AB" w:rsidRPr="0035519F" w:rsidRDefault="007757AB" w:rsidP="007757AB">
      <w:pPr>
        <w:pStyle w:val="ListParagraph"/>
        <w:ind w:left="426"/>
        <w:rPr>
          <w:rFonts w:ascii="Arial" w:hAnsi="Arial" w:cs="Arial"/>
          <w:b/>
          <w:sz w:val="24"/>
          <w:szCs w:val="24"/>
        </w:rPr>
      </w:pPr>
    </w:p>
    <w:p w14:paraId="26A1ADDA" w14:textId="77777777" w:rsidR="007757AB" w:rsidRPr="0035519F" w:rsidRDefault="007757AB" w:rsidP="00B124CB">
      <w:pPr>
        <w:pStyle w:val="ListParagraph"/>
        <w:numPr>
          <w:ilvl w:val="0"/>
          <w:numId w:val="25"/>
        </w:numPr>
        <w:ind w:left="426" w:hanging="426"/>
        <w:outlineLvl w:val="2"/>
        <w:rPr>
          <w:rFonts w:ascii="Arial" w:hAnsi="Arial" w:cs="Arial"/>
          <w:b/>
          <w:sz w:val="24"/>
          <w:szCs w:val="24"/>
        </w:rPr>
      </w:pPr>
      <w:bookmarkStart w:id="24" w:name="_Toc111022759"/>
      <w:r w:rsidRPr="0035519F">
        <w:rPr>
          <w:rFonts w:ascii="Arial" w:hAnsi="Arial" w:cs="Arial"/>
          <w:b/>
          <w:sz w:val="24"/>
          <w:szCs w:val="24"/>
        </w:rPr>
        <w:t>Definisi</w:t>
      </w:r>
      <w:bookmarkEnd w:id="24"/>
      <w:r w:rsidRPr="0035519F">
        <w:rPr>
          <w:rFonts w:ascii="Arial" w:hAnsi="Arial" w:cs="Arial"/>
          <w:b/>
          <w:sz w:val="24"/>
          <w:szCs w:val="24"/>
        </w:rPr>
        <w:t xml:space="preserve"> </w:t>
      </w:r>
    </w:p>
    <w:p w14:paraId="23974EE7" w14:textId="77777777" w:rsidR="006F69B8" w:rsidRPr="0035519F" w:rsidRDefault="006F69B8" w:rsidP="00AB4536">
      <w:pPr>
        <w:pStyle w:val="ListParagraph"/>
        <w:ind w:left="426"/>
        <w:rPr>
          <w:rFonts w:ascii="Arial" w:hAnsi="Arial" w:cs="Arial"/>
          <w:b/>
          <w:sz w:val="24"/>
          <w:szCs w:val="24"/>
        </w:rPr>
      </w:pPr>
    </w:p>
    <w:p w14:paraId="7EBAAB10" w14:textId="77777777" w:rsidR="00B62A43" w:rsidRPr="0035519F" w:rsidRDefault="00B62A43" w:rsidP="00BA23FD">
      <w:pPr>
        <w:pStyle w:val="ListParagraph"/>
        <w:spacing w:after="0" w:line="480" w:lineRule="auto"/>
        <w:ind w:left="450" w:firstLine="294"/>
        <w:jc w:val="both"/>
        <w:rPr>
          <w:rFonts w:ascii="Arial" w:hAnsi="Arial" w:cs="Arial"/>
          <w:b/>
          <w:sz w:val="24"/>
          <w:szCs w:val="24"/>
        </w:rPr>
      </w:pPr>
      <w:r w:rsidRPr="0035519F">
        <w:rPr>
          <w:rFonts w:ascii="Arial" w:hAnsi="Arial" w:cs="Arial"/>
          <w:sz w:val="24"/>
          <w:szCs w:val="24"/>
        </w:rPr>
        <w:t>Obesitas adalah penumpukan lemak yang berlebihan atau abnormal yang dapat menggan</w:t>
      </w:r>
      <w:r w:rsidR="00733FDE" w:rsidRPr="0035519F">
        <w:rPr>
          <w:rFonts w:ascii="Arial" w:hAnsi="Arial" w:cs="Arial"/>
          <w:sz w:val="24"/>
          <w:szCs w:val="24"/>
        </w:rPr>
        <w:t>g</w:t>
      </w:r>
      <w:r w:rsidRPr="0035519F">
        <w:rPr>
          <w:rFonts w:ascii="Arial" w:hAnsi="Arial" w:cs="Arial"/>
          <w:sz w:val="24"/>
          <w:szCs w:val="24"/>
        </w:rPr>
        <w:t>gu kesehatan</w:t>
      </w:r>
      <w:r w:rsidR="00D11F03" w:rsidRPr="0035519F">
        <w:rPr>
          <w:rFonts w:ascii="Arial" w:hAnsi="Arial" w:cs="Arial"/>
          <w:sz w:val="24"/>
          <w:szCs w:val="24"/>
        </w:rPr>
        <w:t xml:space="preserve"> </w:t>
      </w:r>
      <w:r w:rsidR="009F71C4"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{"citationItems":[{"id":"ITEM-1","itemData":{"URL":"https://www.who.int/news-room/fact-sheets/detail/obesity-and-overweight","abstract":"Worldwide obesity has nearly tripled since 1975. In 2016, more than 1.9 billion adults, 18 years and older, were overweight. Of these over 650 million were obese. 39% of adults aged 18 years and over were overweight in 2016, and 13% were obese. Most of the world's population live in countries where overweight and obesity kills more people than underweight. 39 million children under the age of 5 were overweight or obese in 2020. Over 340 million children and adolescents aged 5-19 were overweight or obese in 2016. Obesity is preventable.","accessed":{"date-parts":[["2021","12","15"]]},"author":[{"dropping-particle":"","family":"WHO","given":"","non-dropping-particle":"","parse-names":false,"suffix":""}],"id":"ITEM-1","issued":{"date-parts":[["2021"]]},"page":"1","title":"Obesity and Overweight","type":"webpage"},"uris":["http://www.mendeley.com/documents/?uuid=88a16d3a-e4cd-37c9-8707-89df6e17496a"]},{"id":"ITEM-2","itemData":{"author":[{"dropping-particle":"","family":"Panuganti","given":"Kiran","non-dropping-particle":"","parse-names":false,"suffix":""},{"dropping-particle":"","family":"Nguyen","given":"Minhthao","non-dropping-particle":"","parse-names":false,"suffix":""}],"container-title":"StatPearls","id":"ITEM-2","issued":{"date-parts":[["2020"]]},"title":"Obesity - StatPearls - NCBI Bookshelf","type":"article"},"uris":["http://www.mendeley.com/documents/?uuid=77f911ef-2d08-3273-aba1-5a9077f28e4b"]}],"mendeley":{"formattedCitation":"(Panuganti and Nguyen, 2020; WHO, 2021)","plainTextFormattedCitation":"(Panuganti and Nguyen, 2020; WHO, 2021)","previouslyFormattedCitation":"(Panuganti and Nguyen, 2020; WHO, 2021)"},"properties":{"noteIndex":0},"schema":"https://github.com/citation-style-language/schema/raw/master/csl-citation.json"}</w:instrText>
      </w:r>
      <w:r w:rsidR="009F71C4" w:rsidRPr="0035519F">
        <w:rPr>
          <w:rFonts w:ascii="Arial" w:hAnsi="Arial" w:cs="Arial"/>
          <w:sz w:val="24"/>
          <w:szCs w:val="24"/>
        </w:rPr>
        <w:fldChar w:fldCharType="separate"/>
      </w:r>
      <w:r w:rsidR="00D11F03" w:rsidRPr="0035519F">
        <w:rPr>
          <w:rFonts w:ascii="Arial" w:hAnsi="Arial" w:cs="Arial"/>
          <w:noProof/>
          <w:sz w:val="24"/>
          <w:szCs w:val="24"/>
        </w:rPr>
        <w:t>(Panuganti and Nguyen, 2020; WHO, 2021)</w:t>
      </w:r>
      <w:r w:rsidR="009F71C4" w:rsidRPr="0035519F">
        <w:rPr>
          <w:rFonts w:ascii="Arial" w:hAnsi="Arial" w:cs="Arial"/>
          <w:sz w:val="24"/>
          <w:szCs w:val="24"/>
        </w:rPr>
        <w:fldChar w:fldCharType="end"/>
      </w:r>
      <w:r w:rsidR="0003017A" w:rsidRPr="0035519F">
        <w:rPr>
          <w:rFonts w:ascii="Arial" w:hAnsi="Arial" w:cs="Arial"/>
          <w:sz w:val="24"/>
          <w:szCs w:val="24"/>
        </w:rPr>
        <w:t>.</w:t>
      </w:r>
      <w:r w:rsidR="00E10114" w:rsidRPr="0035519F">
        <w:t xml:space="preserve"> </w:t>
      </w:r>
      <w:r w:rsidR="00E900FD" w:rsidRPr="0035519F">
        <w:rPr>
          <w:rFonts w:ascii="Arial" w:hAnsi="Arial" w:cs="Arial"/>
          <w:sz w:val="24"/>
          <w:szCs w:val="24"/>
        </w:rPr>
        <w:t>Obesitas m</w:t>
      </w:r>
      <w:r w:rsidR="0003017A" w:rsidRPr="0035519F">
        <w:rPr>
          <w:rFonts w:ascii="Arial" w:hAnsi="Arial" w:cs="Arial"/>
          <w:sz w:val="24"/>
          <w:szCs w:val="24"/>
        </w:rPr>
        <w:t>erupakan</w:t>
      </w:r>
      <w:r w:rsidR="00E10114" w:rsidRPr="0035519F">
        <w:rPr>
          <w:rFonts w:ascii="Arial" w:hAnsi="Arial" w:cs="Arial"/>
          <w:sz w:val="24"/>
          <w:szCs w:val="24"/>
        </w:rPr>
        <w:t xml:space="preserve"> penyakit </w:t>
      </w:r>
      <w:r w:rsidR="00E900FD" w:rsidRPr="0035519F">
        <w:rPr>
          <w:rFonts w:ascii="Arial" w:hAnsi="Arial" w:cs="Arial"/>
          <w:sz w:val="24"/>
          <w:szCs w:val="24"/>
        </w:rPr>
        <w:t xml:space="preserve">multifaktorial yang </w:t>
      </w:r>
      <w:r w:rsidR="0003017A" w:rsidRPr="0035519F">
        <w:rPr>
          <w:rFonts w:ascii="Arial" w:hAnsi="Arial" w:cs="Arial"/>
          <w:sz w:val="24"/>
          <w:szCs w:val="24"/>
        </w:rPr>
        <w:t>dapat disebabkan oleh</w:t>
      </w:r>
      <w:r w:rsidR="00E10114" w:rsidRPr="0035519F">
        <w:rPr>
          <w:rFonts w:ascii="Arial" w:hAnsi="Arial" w:cs="Arial"/>
          <w:sz w:val="24"/>
          <w:szCs w:val="24"/>
        </w:rPr>
        <w:t xml:space="preserve"> fak</w:t>
      </w:r>
      <w:r w:rsidR="00E900FD" w:rsidRPr="0035519F">
        <w:rPr>
          <w:rFonts w:ascii="Arial" w:hAnsi="Arial" w:cs="Arial"/>
          <w:sz w:val="24"/>
          <w:szCs w:val="24"/>
        </w:rPr>
        <w:t>tor genetik, budaya, dan sosial</w:t>
      </w:r>
      <w:r w:rsidR="00CE67DF" w:rsidRPr="0035519F">
        <w:rPr>
          <w:rFonts w:ascii="Arial" w:hAnsi="Arial" w:cs="Arial"/>
          <w:sz w:val="24"/>
          <w:szCs w:val="24"/>
        </w:rPr>
        <w:t>.</w:t>
      </w:r>
      <w:r w:rsidR="00EE6022" w:rsidRPr="0035519F">
        <w:rPr>
          <w:rFonts w:ascii="Arial" w:hAnsi="Arial" w:cs="Arial"/>
          <w:i/>
          <w:sz w:val="24"/>
          <w:szCs w:val="24"/>
        </w:rPr>
        <w:t xml:space="preserve"> </w:t>
      </w:r>
      <w:r w:rsidR="00B82D44" w:rsidRPr="0035519F">
        <w:rPr>
          <w:rFonts w:ascii="Arial" w:hAnsi="Arial" w:cs="Arial"/>
          <w:sz w:val="24"/>
          <w:szCs w:val="24"/>
        </w:rPr>
        <w:t>Pengukuran</w:t>
      </w:r>
      <w:r w:rsidR="00B82D44" w:rsidRPr="0035519F">
        <w:rPr>
          <w:rFonts w:ascii="Arial" w:hAnsi="Arial" w:cs="Arial"/>
          <w:i/>
          <w:sz w:val="24"/>
          <w:szCs w:val="24"/>
        </w:rPr>
        <w:t xml:space="preserve"> </w:t>
      </w:r>
      <w:r w:rsidR="00B82D44" w:rsidRPr="0035519F">
        <w:rPr>
          <w:rFonts w:ascii="Arial" w:hAnsi="Arial" w:cs="Arial"/>
          <w:sz w:val="24"/>
          <w:szCs w:val="24"/>
        </w:rPr>
        <w:t>d</w:t>
      </w:r>
      <w:r w:rsidR="006F69B8" w:rsidRPr="0035519F">
        <w:rPr>
          <w:rFonts w:ascii="Arial" w:hAnsi="Arial" w:cs="Arial"/>
          <w:sz w:val="24"/>
          <w:szCs w:val="24"/>
        </w:rPr>
        <w:t xml:space="preserve">istribusi lemak tubuh dan </w:t>
      </w:r>
      <w:r w:rsidR="00FA24F1" w:rsidRPr="0035519F">
        <w:rPr>
          <w:rFonts w:ascii="Arial" w:hAnsi="Arial" w:cs="Arial"/>
          <w:sz w:val="24"/>
          <w:szCs w:val="24"/>
        </w:rPr>
        <w:t xml:space="preserve">penilaian </w:t>
      </w:r>
      <w:r w:rsidR="00EE6022" w:rsidRPr="0035519F">
        <w:rPr>
          <w:rFonts w:ascii="Arial" w:hAnsi="Arial" w:cs="Arial"/>
          <w:sz w:val="24"/>
          <w:szCs w:val="24"/>
        </w:rPr>
        <w:t xml:space="preserve">gangguan </w:t>
      </w:r>
      <w:r w:rsidR="006F69B8" w:rsidRPr="0035519F">
        <w:rPr>
          <w:rFonts w:ascii="Arial" w:hAnsi="Arial" w:cs="Arial"/>
          <w:sz w:val="24"/>
          <w:szCs w:val="24"/>
        </w:rPr>
        <w:t xml:space="preserve">fungsi jaringan </w:t>
      </w:r>
      <w:r w:rsidR="00EE6022" w:rsidRPr="0035519F">
        <w:rPr>
          <w:rFonts w:ascii="Arial" w:hAnsi="Arial" w:cs="Arial"/>
          <w:sz w:val="24"/>
          <w:szCs w:val="24"/>
        </w:rPr>
        <w:t xml:space="preserve">adiposa dapat memprediksi resistensi insulin </w:t>
      </w:r>
      <w:r w:rsidR="00B82D44" w:rsidRPr="0035519F">
        <w:rPr>
          <w:rFonts w:ascii="Arial" w:hAnsi="Arial" w:cs="Arial"/>
          <w:sz w:val="24"/>
          <w:szCs w:val="24"/>
        </w:rPr>
        <w:t>lebih baik dibandingkan</w:t>
      </w:r>
      <w:r w:rsidR="0003017A" w:rsidRPr="0035519F">
        <w:rPr>
          <w:rFonts w:ascii="Arial" w:hAnsi="Arial" w:cs="Arial"/>
          <w:sz w:val="24"/>
          <w:szCs w:val="24"/>
        </w:rPr>
        <w:t xml:space="preserve"> pengukuran massa lemak total</w:t>
      </w:r>
      <w:r w:rsidR="00D11F03" w:rsidRPr="0035519F">
        <w:rPr>
          <w:rFonts w:ascii="Arial" w:hAnsi="Arial" w:cs="Arial"/>
          <w:sz w:val="24"/>
          <w:szCs w:val="24"/>
        </w:rPr>
        <w:t xml:space="preserve"> </w:t>
      </w:r>
      <w:r w:rsidR="00B82D44"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{"citationItems":[{"id":"ITEM-1","itemData":{"DOI":"10.1159/000471488","ISSN":"16624033","PMID":"28564650","abstract":"The current obesity epidemic poses a major public health issue since obesity predisposes towards several chronic diseases. BMI and total adiposity are positively correlated with cardiometabolic disease risk at the population level. However, body fat distribution and an impaired adipose tissue function, rather than total fat mass, better predict insulin resistance and related complications at the individual level. Adipose tissue dysfunction is determined by an impaired adipose tissue expandability, adipocyte hypertrophy, altered lipid metabolism, and local inflammation. Recent human studies suggest that adipose tissue oxygenation may be a key factor herein. A subgroup of obese individuals-the 'metabolically healthy obese' (MHO)-have a better adipose tissue function, less ectopic fat storage, and are more insulin sensitive than obese metabolically unhealthy persons, emphasizing the central role of adipose tissue function in metabolic health. However, controversy has surrounded the idea that metabolically healthy obesity may be considered really healthy since MHO individuals are at increased (cardio)metabolic disease risk and may have a lower quality of life than normal weight subjects due to other comorbidities. Detailed metabolic phenotyping of obese persons will be invaluable in understanding the pathophysiology of metabolic disturbances, and is needed to identify high-risk individuals or subgroups, thereby paving the way for optimization of prevention and treatment strategies to combat cardiometabolic diseases.","author":[{"dropping-particle":"","family":"Goossens","given":"Gijs H.","non-dropping-particle":"","parse-names":false,"suffix":""}],"container-title":"Obesity Facts","id":"ITEM-1","issue":"3","issued":{"date-parts":[["2017","7","1"]]},"page":"207-215","publisher":"Karger Publishers","title":"The Metabolic Phenotype in Obesity: Fat Mass, Body Fat Distribution, and Adipose Tissue Function","type":"article-journal","volume":"10"},"uris":["http://www.mendeley.com/documents/?uuid=4aea8c6e-8cdb-3271-a182-d4805789ac61"]}],"mendeley":{"formattedCitation":"(Goossens, 2017)","plainTextFormattedCitation":"(Goossens, 2017)","previouslyFormattedCitation":"(Goossens, 2017)"},"properties":{"noteIndex":0},"schema":"https://github.com/citation-style-language/schema/raw/master/csl-citation.json"}</w:instrText>
      </w:r>
      <w:r w:rsidR="00B82D44" w:rsidRPr="0035519F">
        <w:rPr>
          <w:rFonts w:ascii="Arial" w:hAnsi="Arial" w:cs="Arial"/>
          <w:sz w:val="24"/>
          <w:szCs w:val="24"/>
        </w:rPr>
        <w:fldChar w:fldCharType="separate"/>
      </w:r>
      <w:r w:rsidR="00D11F03" w:rsidRPr="0035519F">
        <w:rPr>
          <w:rFonts w:ascii="Arial" w:hAnsi="Arial" w:cs="Arial"/>
          <w:noProof/>
          <w:sz w:val="24"/>
          <w:szCs w:val="24"/>
        </w:rPr>
        <w:t>(Goossens, 2017)</w:t>
      </w:r>
      <w:r w:rsidR="00B82D44" w:rsidRPr="0035519F">
        <w:rPr>
          <w:rFonts w:ascii="Arial" w:hAnsi="Arial" w:cs="Arial"/>
          <w:sz w:val="24"/>
          <w:szCs w:val="24"/>
        </w:rPr>
        <w:fldChar w:fldCharType="end"/>
      </w:r>
      <w:r w:rsidR="0003017A" w:rsidRPr="0035519F">
        <w:rPr>
          <w:rFonts w:ascii="Arial" w:hAnsi="Arial" w:cs="Arial"/>
          <w:sz w:val="24"/>
          <w:szCs w:val="24"/>
        </w:rPr>
        <w:t>.</w:t>
      </w:r>
    </w:p>
    <w:p w14:paraId="5A417906" w14:textId="77777777" w:rsidR="00A855B1" w:rsidRPr="0035519F" w:rsidRDefault="0003017A" w:rsidP="00BA23FD">
      <w:pPr>
        <w:spacing w:after="0" w:line="480" w:lineRule="auto"/>
        <w:ind w:left="426" w:firstLine="425"/>
        <w:jc w:val="both"/>
        <w:rPr>
          <w:rFonts w:ascii="Arial" w:hAnsi="Arial" w:cs="Arial"/>
          <w:sz w:val="24"/>
          <w:szCs w:val="24"/>
        </w:rPr>
      </w:pPr>
      <w:r w:rsidRPr="0035519F">
        <w:rPr>
          <w:rFonts w:ascii="Arial" w:hAnsi="Arial" w:cs="Arial"/>
          <w:sz w:val="24"/>
          <w:szCs w:val="24"/>
        </w:rPr>
        <w:t>P</w:t>
      </w:r>
      <w:r w:rsidR="007757AB" w:rsidRPr="0035519F">
        <w:rPr>
          <w:rFonts w:ascii="Arial" w:hAnsi="Arial" w:cs="Arial"/>
          <w:sz w:val="24"/>
          <w:szCs w:val="24"/>
        </w:rPr>
        <w:t>eningkatan berat badan</w:t>
      </w:r>
      <w:r w:rsidRPr="0035519F">
        <w:rPr>
          <w:rFonts w:ascii="Arial" w:hAnsi="Arial" w:cs="Arial"/>
          <w:sz w:val="24"/>
          <w:szCs w:val="24"/>
        </w:rPr>
        <w:t xml:space="preserve"> pada obesitas terjadi</w:t>
      </w:r>
      <w:r w:rsidR="007757AB" w:rsidRPr="0035519F">
        <w:rPr>
          <w:rFonts w:ascii="Arial" w:hAnsi="Arial" w:cs="Arial"/>
          <w:sz w:val="24"/>
          <w:szCs w:val="24"/>
        </w:rPr>
        <w:t xml:space="preserve"> akibat akumulasi jaringan adiposa berlebihan yang dapat menyebabkan masalah kesehatan </w:t>
      </w:r>
      <w:r w:rsidR="007757AB" w:rsidRPr="0035519F">
        <w:rPr>
          <w:rFonts w:ascii="Arial" w:hAnsi="Arial" w:cs="Arial"/>
          <w:sz w:val="24"/>
          <w:szCs w:val="24"/>
        </w:rPr>
        <w:fldChar w:fldCharType="begin" w:fldLock="1"/>
      </w:r>
      <w:r w:rsidR="00A364B3" w:rsidRPr="0035519F">
        <w:rPr>
          <w:rFonts w:ascii="Arial" w:hAnsi="Arial" w:cs="Arial"/>
          <w:sz w:val="24"/>
          <w:szCs w:val="24"/>
        </w:rPr>
        <w:instrText>ADDIN CSL_CITATION {"citationItems":[{"id":"ITEM-1","itemData":{"author":[{"dropping-particle":"","family":"Kumar","given":"Vinay","non-dropping-particle":"","parse-names":false,"suffix":""}],"container-title":"Robbins Basic Pathology","edition":"10","editor":[{"dropping-particle":"","family":"Kumar","given":"Vinay","non-dropping-particle":"","parse-names":false,"suffix":""},{"dropping-particle":"","family":"Abbas","given":"A.K.","non-dropping-particle":"","parse-names":false,"suffix":""},{"dropping-particle":"","family":"Aster","given":"J.C","non-dropping-particle":"","parse-names":false,"suffix":""}],"id":"ITEM-1","issued":{"date-parts":[["2018"]]},"publisher":"Elsevier","publisher-place":"Philadelphia","title":"Enviromental and Nutritional Disease","type":"chapter"},"uris":["http://www.mendeley.com/documents/?uuid=9b3d21b0-aa27-43ef-b705-a0d831e13ead","http://www.mendeley.com/documents/?uuid=8369909e-ee21-4667-acce-dd1121a7bdaa"]},{"id":"ITEM-2","itemData":{"author":[{"dropping-particle":"","family":"Suwitra","given":"Ketut","non-dropping-particle":"","parse-names":false,"suffix":""}],"chapter-number":"310","container-title":"Buku Ajar Ilmu Penyakit Dalam","edition":"6","editor":[{"dropping-particle":"","family":"Sudoyo","given":"Aru W","non-dropping-particle":"","parse-names":false,"suffix":""},{"dropping-particle":"","family":"Setiyohadi","given":"Bambang","non-dropping-particle":"","parse-names":false,"suffix":""},{"dropping-particle":"","family":"Alwi","given":"Idrus","non-dropping-particle":"","parse-names":false,"suffix":""},{"dropping-particle":"","family":"Simadibrata","given":"Marcellus","non-dropping-particle":"","parse-names":false,"suffix":""},{"dropping-particle":"","family":"Setiati","given":"Siti","non-dropping-particle":"","parse-names":false,"suffix":""}],"id":"ITEM-2","issued":{"date-parts":[["2014"]]},"page":"1973-1983","publisher":"Interna Publishing","publisher-place":"Jakarta","title":"Penyakit Ginjal Kronik","type":"chapter"},"uris":["http://www.mendeley.com/documents/?uuid=1fb8e845-ebd3-4a11-adc1-edfe40089742","http://www.mendeley.com/documents/?uuid=7ffc0944-aa84-4fcf-b68e-6a37f88341a3"]},{"id":"ITEM-3","itemData":{"abstract":"Objective To examine the mortality risk presented by normal-weight central obesity, to identify a clinical measure to aid in the identification of this phenotype, and to explore the means for mitigation of this risk. Quality of evidence Only prospective cohort studies (level II) comparing participants with central obesity at normal weight with those at higher levels of body mass index (BMI) were found. Good level I studies were available to demonstrate the effect of diet and exercise interventions on central obesity and mortality. Main message Participants with atherogenic dyslipidemia who are centrally obese at normal BMI are at similar, and possibly higher, mortality risk compared with those who are centrally obese and overweight or obese according to their BMI. Waist-to-height ratio might be the most pragmatic clinical measure of central obesity. The Mediterranean diet is an effective intervention to prevent ongoing weight gain while reducing abdominal girth. Low levels of exercise can also reduce waist circumference. Weight loss need not be an objective. Conclusion A waist-to-height ratio exceeding 0.5 at normal BMI identifies elevated mortality risk for cardiometabolic disease. This risk might equal or exceed that of centrally obese patients who are overweight or obese. Modest dietary and exercise interventions can be effective in mitigation of this risk.","author":[{"dropping-particle":"","family":"Bosomworth","given":"N. John","non-dropping-particle":"","parse-names":false,"suffix":""}],"container-title":"Canadian Family Physician","id":"ITEM-3","issued":{"date-parts":[["2019"]]},"page":"11-15","title":"Normal-weight central obesity","type":"article-journal","volume":"65"},"uris":["http://www.mendeley.com/documents/?uuid=642e5724-ef4f-46e5-bc0b-94988afc5262","http://www.mendeley.com/documents/?uuid=8389e8a1-3814-4183-b6f0-203fc8eefb62"]}],"mendeley":{"formattedCitation":"(Suwitra, 2014; Kumar, 2018; Bosomworth, 2019)","plainTextFormattedCitation":"(Suwitra, 2014; Kumar, 2018; Bosomworth, 2019)","previouslyFormattedCitation":"(Suwitra, 2014; Kumar, 2018; Bosomworth, 2019)"},"properties":{"noteIndex":0},"schema":"https://github.com/citation-style-language/schema/raw/master/csl-citation.json"}</w:instrText>
      </w:r>
      <w:r w:rsidR="007757AB" w:rsidRPr="0035519F">
        <w:rPr>
          <w:rFonts w:ascii="Arial" w:hAnsi="Arial" w:cs="Arial"/>
          <w:sz w:val="24"/>
          <w:szCs w:val="24"/>
        </w:rPr>
        <w:fldChar w:fldCharType="separate"/>
      </w:r>
      <w:r w:rsidR="00BA51F5" w:rsidRPr="0035519F">
        <w:rPr>
          <w:rFonts w:ascii="Arial" w:hAnsi="Arial" w:cs="Arial"/>
          <w:noProof/>
          <w:sz w:val="24"/>
          <w:szCs w:val="24"/>
        </w:rPr>
        <w:t>(Suwitra, 2014; Kumar, 2018; Bosomworth, 2019)</w:t>
      </w:r>
      <w:r w:rsidR="007757AB" w:rsidRPr="0035519F">
        <w:rPr>
          <w:rFonts w:ascii="Arial" w:hAnsi="Arial" w:cs="Arial"/>
          <w:sz w:val="24"/>
          <w:szCs w:val="24"/>
        </w:rPr>
        <w:fldChar w:fldCharType="end"/>
      </w:r>
      <w:r w:rsidR="007757AB" w:rsidRPr="0035519F">
        <w:rPr>
          <w:rFonts w:ascii="Arial" w:hAnsi="Arial" w:cs="Arial"/>
          <w:sz w:val="24"/>
          <w:szCs w:val="24"/>
        </w:rPr>
        <w:t xml:space="preserve">. Obesitas disebabkan oleh </w:t>
      </w:r>
      <w:r w:rsidRPr="0035519F">
        <w:rPr>
          <w:rFonts w:ascii="Arial" w:hAnsi="Arial" w:cs="Arial"/>
          <w:i/>
          <w:sz w:val="24"/>
          <w:szCs w:val="24"/>
        </w:rPr>
        <w:t>intake</w:t>
      </w:r>
      <w:r w:rsidR="007757AB" w:rsidRPr="0035519F">
        <w:rPr>
          <w:rFonts w:ascii="Arial" w:hAnsi="Arial" w:cs="Arial"/>
          <w:sz w:val="24"/>
          <w:szCs w:val="24"/>
        </w:rPr>
        <w:t xml:space="preserve"> energi yang berlebih dari makanan dibandingkan dengan energi yang digunakan untuk </w:t>
      </w:r>
      <w:r w:rsidRPr="0035519F">
        <w:rPr>
          <w:rFonts w:ascii="Arial" w:hAnsi="Arial" w:cs="Arial"/>
          <w:sz w:val="24"/>
          <w:szCs w:val="24"/>
        </w:rPr>
        <w:t>ber</w:t>
      </w:r>
      <w:r w:rsidR="007757AB" w:rsidRPr="0035519F">
        <w:rPr>
          <w:rFonts w:ascii="Arial" w:hAnsi="Arial" w:cs="Arial"/>
          <w:sz w:val="24"/>
          <w:szCs w:val="24"/>
        </w:rPr>
        <w:t xml:space="preserve">aktivitas </w:t>
      </w:r>
      <w:r w:rsidR="007757AB" w:rsidRPr="0035519F">
        <w:rPr>
          <w:rFonts w:ascii="Arial" w:hAnsi="Arial" w:cs="Arial"/>
          <w:sz w:val="24"/>
          <w:szCs w:val="24"/>
        </w:rPr>
        <w:fldChar w:fldCharType="begin" w:fldLock="1"/>
      </w:r>
      <w:r w:rsidR="00A364B3" w:rsidRPr="0035519F">
        <w:rPr>
          <w:rFonts w:ascii="Arial" w:hAnsi="Arial" w:cs="Arial"/>
          <w:sz w:val="24"/>
          <w:szCs w:val="24"/>
        </w:rPr>
        <w:instrText>ADDIN CSL_CITATION {"citationItems":[{"id":"ITEM-1","itemData":{"author":[{"dropping-particle":"","family":"Hall","given":"J.E","non-dropping-particle":"","parse-names":false,"suffix":""}],"editor":[{"dropping-particle":"","family":"Guyton","given":"Arthur","non-dropping-particle":"","parse-names":false,"suffix":""},{"dropping-particle":"","family":"Hall","given":"John","non-dropping-particle":"","parse-names":false,"suffix":""}],"id":"ITEM-1","issued":{"date-parts":[["2016"]]},"publisher":"Elsevier Saunders","publisher-place":"Philadelphia","title":"Textbook of Medical Physiology","type":"book"},"uris":["http://www.mendeley.com/documents/?uuid=04318423-4951-41fa-aca1-c98e9ae189c5","http://www.mendeley.com/documents/?uuid=f2608da3-77bf-4cb1-9213-be625839c547"]},{"id":"ITEM-2","itemData":{"author":[{"dropping-particle":"","family":"Suwitra","given":"Ketut","non-dropping-particle":"","parse-names":false,"suffix":""}],"chapter-number":"310","container-title":"Buku Ajar Ilmu Penyakit Dalam","edition":"6","editor":[{"dropping-particle":"","family":"Sudoyo","given":"Aru W","non-dropping-particle":"","parse-names":false,"suffix":""},{"dropping-particle":"","family":"Setiyohadi","given":"Bambang","non-dropping-particle":"","parse-names":false,"suffix":""},{"dropping-particle":"","family":"Alwi","given":"Idrus","non-dropping-particle":"","parse-names":false,"suffix":""},{"dropping-particle":"","family":"Simadibrata","given":"Marcellus","non-dropping-particle":"","parse-names":false,"suffix":""},{"dropping-particle":"","family":"Setiati","given":"Siti","non-dropping-particle":"","parse-names":false,"suffix":""}],"id":"ITEM-2","issued":{"date-parts":[["2014"]]},"page":"1973-1983","publisher":"Interna Publishing","publisher-place":"Jakarta","title":"Penyakit Ginjal Kronik","type":"chapter"},"uris":["http://www.mendeley.com/documents/?uuid=7ffc0944-aa84-4fcf-b68e-6a37f88341a3","http://www.mendeley.com/documents/?uuid=1fb8e845-ebd3-4a11-adc1-edfe40089742"]}],"mendeley":{"formattedCitation":"(Suwitra, 2014; Hall, 2016)","plainTextFormattedCitation":"(Suwitra, 2014; Hall, 2016)","previouslyFormattedCitation":"(Suwitra, 2014; Hall, 2016)"},"properties":{"noteIndex":0},"schema":"https://github.com/citation-style-language/schema/raw/master/csl-citation.json"}</w:instrText>
      </w:r>
      <w:r w:rsidR="007757AB" w:rsidRPr="0035519F">
        <w:rPr>
          <w:rFonts w:ascii="Arial" w:hAnsi="Arial" w:cs="Arial"/>
          <w:sz w:val="24"/>
          <w:szCs w:val="24"/>
        </w:rPr>
        <w:fldChar w:fldCharType="separate"/>
      </w:r>
      <w:r w:rsidR="00BA51F5" w:rsidRPr="0035519F">
        <w:rPr>
          <w:rFonts w:ascii="Arial" w:hAnsi="Arial" w:cs="Arial"/>
          <w:noProof/>
          <w:sz w:val="24"/>
          <w:szCs w:val="24"/>
        </w:rPr>
        <w:t>(Suwitra, 2014; Hall, 2016)</w:t>
      </w:r>
      <w:r w:rsidR="007757AB" w:rsidRPr="0035519F">
        <w:rPr>
          <w:rFonts w:ascii="Arial" w:hAnsi="Arial" w:cs="Arial"/>
          <w:sz w:val="24"/>
          <w:szCs w:val="24"/>
        </w:rPr>
        <w:fldChar w:fldCharType="end"/>
      </w:r>
      <w:r w:rsidR="007757AB" w:rsidRPr="0035519F">
        <w:rPr>
          <w:rFonts w:ascii="Arial" w:hAnsi="Arial" w:cs="Arial"/>
          <w:sz w:val="24"/>
          <w:szCs w:val="24"/>
        </w:rPr>
        <w:t xml:space="preserve">. Pengaturan nafsu makan dan metabolisme energi yang terganggu pada obesitas dikendalikan oleh beberapa faktor </w:t>
      </w:r>
      <w:r w:rsidR="00E900FD" w:rsidRPr="0035519F">
        <w:rPr>
          <w:rFonts w:ascii="Arial" w:hAnsi="Arial" w:cs="Arial"/>
          <w:sz w:val="24"/>
          <w:szCs w:val="24"/>
        </w:rPr>
        <w:t xml:space="preserve">biologik spesifik </w:t>
      </w:r>
      <w:r w:rsidR="007757AB" w:rsidRPr="0035519F">
        <w:rPr>
          <w:rFonts w:ascii="Arial" w:hAnsi="Arial" w:cs="Arial"/>
          <w:sz w:val="24"/>
          <w:szCs w:val="24"/>
        </w:rPr>
        <w:fldChar w:fldCharType="begin" w:fldLock="1"/>
      </w:r>
      <w:r w:rsidR="00A364B3" w:rsidRPr="0035519F">
        <w:rPr>
          <w:rFonts w:ascii="Arial" w:hAnsi="Arial" w:cs="Arial"/>
          <w:sz w:val="24"/>
          <w:szCs w:val="24"/>
        </w:rPr>
        <w:instrText>ADDIN CSL_CITATION {"citationItems":[{"id":"ITEM-1","itemData":{"author":[{"dropping-particle":"","family":"Suwitra","given":"Ketut","non-dropping-particle":"","parse-names":false,"suffix":""}],"chapter-number":"310","container-title":"Buku Ajar Ilmu Penyakit Dalam","edition":"6","editor":[{"dropping-particle":"","family":"Sudoyo","given":"Aru W","non-dropping-particle":"","parse-names":false,"suffix":""},{"dropping-particle":"","family":"Setiyohadi","given":"Bambang","non-dropping-particle":"","parse-names":false,"suffix":""},{"dropping-particle":"","family":"Alwi","given":"Idrus","non-dropping-particle":"","parse-names":false,"suffix":""},{"dropping-particle":"","family":"Simadibrata","given":"Marcellus","non-dropping-particle":"","parse-names":false,"suffix":""},{"dropping-particle":"","family":"Setiati","given":"Siti","non-dropping-particle":"","parse-names":false,"suffix":""}],"id":"ITEM-1","issued":{"date-parts":[["2014"]]},"page":"1973-1983","publisher":"Interna Publishing","publisher-place":"Jakarta","title":"Penyakit Ginjal Kronik","type":"chapter"},"uris":["http://www.mendeley.com/documents/?uuid=7ffc0944-aa84-4fcf-b68e-6a37f88341a3","http://www.mendeley.com/documents/?uuid=1fb8e845-ebd3-4a11-adc1-edfe40089742"]}],"mendeley":{"formattedCitation":"(Suwitra, 2014)","plainTextFormattedCitation":"(Suwitra, 2014)","previouslyFormattedCitation":"(Suwitra, 2014)"},"properties":{"noteIndex":0},"schema":"https://github.com/citation-style-language/schema/raw/master/csl-citation.json"}</w:instrText>
      </w:r>
      <w:r w:rsidR="007757AB" w:rsidRPr="0035519F">
        <w:rPr>
          <w:rFonts w:ascii="Arial" w:hAnsi="Arial" w:cs="Arial"/>
          <w:sz w:val="24"/>
          <w:szCs w:val="24"/>
        </w:rPr>
        <w:fldChar w:fldCharType="separate"/>
      </w:r>
      <w:r w:rsidR="00BA51F5" w:rsidRPr="0035519F">
        <w:rPr>
          <w:rFonts w:ascii="Arial" w:hAnsi="Arial" w:cs="Arial"/>
          <w:noProof/>
          <w:sz w:val="24"/>
          <w:szCs w:val="24"/>
        </w:rPr>
        <w:t>(Suwitra, 2014)</w:t>
      </w:r>
      <w:r w:rsidR="007757AB" w:rsidRPr="0035519F">
        <w:rPr>
          <w:rFonts w:ascii="Arial" w:hAnsi="Arial" w:cs="Arial"/>
          <w:sz w:val="24"/>
          <w:szCs w:val="24"/>
        </w:rPr>
        <w:fldChar w:fldCharType="end"/>
      </w:r>
      <w:r w:rsidRPr="0035519F">
        <w:rPr>
          <w:rFonts w:ascii="Arial" w:hAnsi="Arial" w:cs="Arial"/>
          <w:sz w:val="24"/>
          <w:szCs w:val="24"/>
        </w:rPr>
        <w:t>.</w:t>
      </w:r>
    </w:p>
    <w:p w14:paraId="1CCCD0E5" w14:textId="77777777" w:rsidR="0049701C" w:rsidRPr="0035519F" w:rsidRDefault="0049701C" w:rsidP="00BA23FD">
      <w:pPr>
        <w:spacing w:after="0" w:line="480" w:lineRule="auto"/>
        <w:ind w:left="426" w:firstLine="425"/>
        <w:jc w:val="both"/>
        <w:rPr>
          <w:rFonts w:ascii="Arial" w:hAnsi="Arial" w:cs="Arial"/>
          <w:sz w:val="24"/>
          <w:szCs w:val="24"/>
        </w:rPr>
      </w:pPr>
      <w:r w:rsidRPr="0035519F">
        <w:rPr>
          <w:rFonts w:ascii="Arial" w:hAnsi="Arial" w:cs="Arial"/>
          <w:sz w:val="24"/>
          <w:szCs w:val="24"/>
        </w:rPr>
        <w:t xml:space="preserve">Keseimbangan antara lipogenesis dan </w:t>
      </w:r>
      <w:r w:rsidR="00FA24F1" w:rsidRPr="0035519F">
        <w:rPr>
          <w:rFonts w:ascii="Arial" w:hAnsi="Arial" w:cs="Arial"/>
          <w:sz w:val="24"/>
          <w:szCs w:val="24"/>
        </w:rPr>
        <w:t>lipolisis</w:t>
      </w:r>
      <w:r w:rsidRPr="0035519F">
        <w:rPr>
          <w:rFonts w:ascii="Arial" w:hAnsi="Arial" w:cs="Arial"/>
          <w:sz w:val="24"/>
          <w:szCs w:val="24"/>
        </w:rPr>
        <w:t xml:space="preserve"> menjadi penentu akumulasi lemak tubuh.</w:t>
      </w:r>
      <w:r w:rsidR="007757AB" w:rsidRPr="0035519F">
        <w:rPr>
          <w:rFonts w:ascii="Arial" w:hAnsi="Arial" w:cs="Arial"/>
          <w:sz w:val="24"/>
          <w:szCs w:val="24"/>
        </w:rPr>
        <w:t xml:space="preserve"> </w:t>
      </w:r>
      <w:r w:rsidRPr="0035519F">
        <w:rPr>
          <w:rFonts w:ascii="Arial" w:hAnsi="Arial" w:cs="Arial"/>
          <w:sz w:val="24"/>
          <w:szCs w:val="24"/>
          <w:shd w:val="clear" w:color="auto" w:fill="FFFFFF"/>
        </w:rPr>
        <w:t xml:space="preserve">Lipogenesis </w:t>
      </w:r>
      <w:r w:rsidR="00FA24F1" w:rsidRPr="0035519F">
        <w:rPr>
          <w:rFonts w:ascii="Arial" w:hAnsi="Arial" w:cs="Arial"/>
          <w:sz w:val="24"/>
          <w:szCs w:val="24"/>
          <w:shd w:val="clear" w:color="auto" w:fill="FFFFFF"/>
        </w:rPr>
        <w:t>adalah proses deposisi lemak</w:t>
      </w:r>
      <w:r w:rsidRPr="0035519F">
        <w:rPr>
          <w:rFonts w:ascii="Arial" w:hAnsi="Arial" w:cs="Arial"/>
          <w:sz w:val="24"/>
          <w:szCs w:val="24"/>
          <w:shd w:val="clear" w:color="auto" w:fill="FFFFFF"/>
        </w:rPr>
        <w:t xml:space="preserve"> meliputi proses sintesis asam lemak dan kemudian sintesis trigliserida yang terjadi pada daerah sitoplasma dan mitokondria </w:t>
      </w:r>
      <w:r w:rsidR="00FA24F1" w:rsidRPr="0035519F">
        <w:rPr>
          <w:rFonts w:ascii="Arial" w:hAnsi="Arial" w:cs="Arial"/>
          <w:sz w:val="24"/>
          <w:szCs w:val="24"/>
          <w:shd w:val="clear" w:color="auto" w:fill="FFFFFF"/>
        </w:rPr>
        <w:t>di hati serta</w:t>
      </w:r>
      <w:r w:rsidRPr="0035519F">
        <w:rPr>
          <w:rFonts w:ascii="Arial" w:hAnsi="Arial" w:cs="Arial"/>
          <w:sz w:val="24"/>
          <w:szCs w:val="24"/>
          <w:shd w:val="clear" w:color="auto" w:fill="FFFFFF"/>
        </w:rPr>
        <w:t xml:space="preserve"> </w:t>
      </w:r>
      <w:r w:rsidR="00FA24F1" w:rsidRPr="0035519F">
        <w:rPr>
          <w:rFonts w:ascii="Arial" w:hAnsi="Arial" w:cs="Arial"/>
          <w:sz w:val="24"/>
          <w:szCs w:val="24"/>
          <w:shd w:val="clear" w:color="auto" w:fill="FFFFFF"/>
        </w:rPr>
        <w:t xml:space="preserve">di </w:t>
      </w:r>
      <w:r w:rsidRPr="0035519F">
        <w:rPr>
          <w:rFonts w:ascii="Arial" w:hAnsi="Arial" w:cs="Arial"/>
          <w:sz w:val="24"/>
          <w:szCs w:val="24"/>
          <w:shd w:val="clear" w:color="auto" w:fill="FFFFFF"/>
        </w:rPr>
        <w:lastRenderedPageBreak/>
        <w:t>jaringan adiposa. Energi yang berasal dari lemak dan melebihi kebutuhan tubuh akan disimpan dalam jaringan lemak. Demikian pula dengan energi yang berasal dari karbohidrat dan protein yang berasal dari makanan dapat disimpan dalam jaringan lemak</w:t>
      </w:r>
      <w:r w:rsidR="0019588C" w:rsidRPr="0035519F">
        <w:rPr>
          <w:rFonts w:ascii="Tahoma" w:hAnsi="Tahoma" w:cs="Tahoma"/>
          <w:sz w:val="20"/>
          <w:szCs w:val="20"/>
          <w:shd w:val="clear" w:color="auto" w:fill="FFFFFF"/>
        </w:rPr>
        <w:t>.</w:t>
      </w:r>
      <w:r w:rsidR="007757AB" w:rsidRPr="0035519F">
        <w:rPr>
          <w:rFonts w:ascii="Arial" w:hAnsi="Arial" w:cs="Arial"/>
          <w:sz w:val="24"/>
          <w:szCs w:val="24"/>
        </w:rPr>
        <w:t xml:space="preserve"> </w:t>
      </w:r>
      <w:r w:rsidRPr="0035519F">
        <w:rPr>
          <w:rFonts w:ascii="Arial" w:hAnsi="Arial" w:cs="Arial"/>
          <w:sz w:val="24"/>
          <w:szCs w:val="24"/>
          <w:shd w:val="clear" w:color="auto" w:fill="FFFFFF"/>
        </w:rPr>
        <w:t>Lipolisis merupakan suatu pro</w:t>
      </w:r>
      <w:r w:rsidR="00FA24F1" w:rsidRPr="0035519F">
        <w:rPr>
          <w:rFonts w:ascii="Arial" w:hAnsi="Arial" w:cs="Arial"/>
          <w:sz w:val="24"/>
          <w:szCs w:val="24"/>
          <w:shd w:val="clear" w:color="auto" w:fill="FFFFFF"/>
        </w:rPr>
        <w:t>ses dekomposisi kimiawi dan pe</w:t>
      </w:r>
      <w:r w:rsidRPr="0035519F">
        <w:rPr>
          <w:rFonts w:ascii="Arial" w:hAnsi="Arial" w:cs="Arial"/>
          <w:sz w:val="24"/>
          <w:szCs w:val="24"/>
          <w:shd w:val="clear" w:color="auto" w:fill="FFFFFF"/>
        </w:rPr>
        <w:t xml:space="preserve">lepasan lemak dari jaringan lemak. </w:t>
      </w:r>
      <w:r w:rsidR="0003017A" w:rsidRPr="0035519F">
        <w:rPr>
          <w:rFonts w:ascii="Arial" w:hAnsi="Arial" w:cs="Arial"/>
          <w:sz w:val="24"/>
          <w:szCs w:val="24"/>
          <w:shd w:val="clear" w:color="auto" w:fill="FFFFFF"/>
        </w:rPr>
        <w:t>Apabila</w:t>
      </w:r>
      <w:r w:rsidRPr="0035519F">
        <w:rPr>
          <w:rFonts w:ascii="Arial" w:hAnsi="Arial" w:cs="Arial"/>
          <w:sz w:val="24"/>
          <w:szCs w:val="24"/>
          <w:shd w:val="clear" w:color="auto" w:fill="FFFFFF"/>
        </w:rPr>
        <w:t xml:space="preserve"> diperlukan energi tambahan maka lipolisis merupakan proses yang predomin</w:t>
      </w:r>
      <w:r w:rsidR="0003017A" w:rsidRPr="0035519F">
        <w:rPr>
          <w:rFonts w:ascii="Arial" w:hAnsi="Arial" w:cs="Arial"/>
          <w:sz w:val="24"/>
          <w:szCs w:val="24"/>
          <w:shd w:val="clear" w:color="auto" w:fill="FFFFFF"/>
        </w:rPr>
        <w:t>an terhadap proses lipo</w:t>
      </w:r>
      <w:r w:rsidR="0003017A" w:rsidRPr="0035519F">
        <w:rPr>
          <w:rFonts w:ascii="Arial" w:hAnsi="Arial" w:cs="Arial"/>
          <w:sz w:val="24"/>
          <w:szCs w:val="24"/>
          <w:shd w:val="clear" w:color="auto" w:fill="FFFFFF"/>
        </w:rPr>
        <w:softHyphen/>
        <w:t>genesis</w:t>
      </w:r>
      <w:r w:rsidR="00D11F03" w:rsidRPr="0035519F">
        <w:rPr>
          <w:rFonts w:ascii="Arial" w:hAnsi="Arial" w:cs="Arial"/>
          <w:sz w:val="24"/>
          <w:szCs w:val="24"/>
          <w:shd w:val="clear" w:color="auto" w:fill="FFFFFF"/>
        </w:rPr>
        <w:t xml:space="preserve"> </w:t>
      </w:r>
      <w:r w:rsidR="00101FF8" w:rsidRPr="0035519F">
        <w:rPr>
          <w:rFonts w:ascii="Arial" w:hAnsi="Arial" w:cs="Arial"/>
          <w:sz w:val="24"/>
          <w:szCs w:val="24"/>
          <w:shd w:val="clear" w:color="auto" w:fill="FFFFFF"/>
        </w:rPr>
        <w:fldChar w:fldCharType="begin" w:fldLock="1"/>
      </w:r>
      <w:r w:rsidR="003B14CE" w:rsidRPr="0035519F">
        <w:rPr>
          <w:rFonts w:ascii="Arial" w:hAnsi="Arial" w:cs="Arial"/>
          <w:sz w:val="24"/>
          <w:szCs w:val="24"/>
          <w:shd w:val="clear" w:color="auto" w:fill="FFFFFF"/>
        </w:rPr>
        <w:instrText>ADDIN CSL_CITATION {"citationItems":[{"id":"ITEM-1","itemData":{"DOI":"10.1093/embo-reports/kve071","ISSN":"1469221X","PMID":"11306547","abstract":"Fat build-up is determined by the balance between lipogenesis and lipolysis/fatty acid oxidation. In the past few years, our understanding of the nutritional, hormonal and particularly transcriptional regulation of lipogenesis has expanded greatly. Lipogenesis is stimulated by a high carbohydrate diet, whereas it is inhibited by polyunsaturated fatty acids and by fasting. These effects are partly mediated by hormones, which inhibit (growth hormone, leptin) or stimulate (insulin) lipogenesis. Recent research has established that sterol regulatory element binding protein-1 is a critical intermediate in the pro- or anti-lipogenic action of several hormones and nutrients. Another transcription factor implicated in lipogenesis is the peroxisome proliferator activated receptor γ. Both transcription factors are attractive targets for pharmaceutical intervention of disorders such as hypertriglyceridemia and obesity.","author":[{"dropping-particle":"","family":"Kersten","given":"S.","non-dropping-particle":"","parse-names":false,"suffix":""}],"container-title":"EMBO Reports","id":"ITEM-1","issue":"4","issued":{"date-parts":[["2001"]]},"page":"282-286","publisher":"European Molecular Biology Organization","title":"Mechanisms of nutritional and hormonal regulation of lipogenesis","type":"article","volume":"2"},"uris":["http://www.mendeley.com/documents/?uuid=69e8f000-61d6-3088-abc1-306b9a33675c"]}],"mendeley":{"formattedCitation":"(Kersten, 2001)","plainTextFormattedCitation":"(Kersten, 2001)","previouslyFormattedCitation":"(Kersten, 2001)"},"properties":{"noteIndex":0},"schema":"https://github.com/citation-style-language/schema/raw/master/csl-citation.json"}</w:instrText>
      </w:r>
      <w:r w:rsidR="00101FF8" w:rsidRPr="0035519F">
        <w:rPr>
          <w:rFonts w:ascii="Arial" w:hAnsi="Arial" w:cs="Arial"/>
          <w:sz w:val="24"/>
          <w:szCs w:val="24"/>
          <w:shd w:val="clear" w:color="auto" w:fill="FFFFFF"/>
        </w:rPr>
        <w:fldChar w:fldCharType="separate"/>
      </w:r>
      <w:r w:rsidR="00D11F03" w:rsidRPr="0035519F">
        <w:rPr>
          <w:rFonts w:ascii="Arial" w:hAnsi="Arial" w:cs="Arial"/>
          <w:noProof/>
          <w:sz w:val="24"/>
          <w:szCs w:val="24"/>
          <w:shd w:val="clear" w:color="auto" w:fill="FFFFFF"/>
        </w:rPr>
        <w:t>(Kersten, 2001)</w:t>
      </w:r>
      <w:r w:rsidR="00101FF8" w:rsidRPr="0035519F">
        <w:rPr>
          <w:rFonts w:ascii="Arial" w:hAnsi="Arial" w:cs="Arial"/>
          <w:sz w:val="24"/>
          <w:szCs w:val="24"/>
          <w:shd w:val="clear" w:color="auto" w:fill="FFFFFF"/>
        </w:rPr>
        <w:fldChar w:fldCharType="end"/>
      </w:r>
      <w:r w:rsidR="0003017A" w:rsidRPr="0035519F">
        <w:rPr>
          <w:rFonts w:ascii="Arial" w:hAnsi="Arial" w:cs="Arial"/>
          <w:sz w:val="24"/>
          <w:szCs w:val="24"/>
          <w:shd w:val="clear" w:color="auto" w:fill="FFFFFF"/>
        </w:rPr>
        <w:t>.</w:t>
      </w:r>
      <w:r w:rsidRPr="0035519F">
        <w:rPr>
          <w:rFonts w:ascii="Tahoma" w:hAnsi="Tahoma" w:cs="Tahoma"/>
          <w:sz w:val="20"/>
          <w:szCs w:val="20"/>
          <w:shd w:val="clear" w:color="auto" w:fill="FFFFFF"/>
        </w:rPr>
        <w:t xml:space="preserve"> </w:t>
      </w:r>
    </w:p>
    <w:p w14:paraId="7876A260" w14:textId="77777777" w:rsidR="007757AB" w:rsidRPr="0035519F" w:rsidRDefault="00E14CC8" w:rsidP="00BA23FD">
      <w:pPr>
        <w:spacing w:after="0" w:line="480" w:lineRule="auto"/>
        <w:ind w:left="450" w:firstLine="426"/>
        <w:jc w:val="both"/>
        <w:rPr>
          <w:rFonts w:ascii="Arial" w:hAnsi="Arial" w:cs="Arial"/>
          <w:sz w:val="24"/>
          <w:szCs w:val="24"/>
        </w:rPr>
      </w:pPr>
      <w:r w:rsidRPr="0035519F">
        <w:rPr>
          <w:rFonts w:ascii="Arial" w:hAnsi="Arial" w:cs="Arial"/>
          <w:sz w:val="24"/>
          <w:szCs w:val="24"/>
        </w:rPr>
        <w:t>Jaringan</w:t>
      </w:r>
      <w:r w:rsidR="00101FF8" w:rsidRPr="0035519F">
        <w:rPr>
          <w:rFonts w:ascii="Arial" w:hAnsi="Arial" w:cs="Arial"/>
          <w:sz w:val="24"/>
          <w:szCs w:val="24"/>
        </w:rPr>
        <w:t xml:space="preserve"> adiposa </w:t>
      </w:r>
      <w:r w:rsidRPr="0035519F">
        <w:rPr>
          <w:rFonts w:ascii="Arial" w:hAnsi="Arial" w:cs="Arial"/>
          <w:sz w:val="24"/>
          <w:szCs w:val="24"/>
        </w:rPr>
        <w:t>diklasifikasikan menjadi</w:t>
      </w:r>
      <w:r w:rsidR="00E900FD" w:rsidRPr="0035519F">
        <w:rPr>
          <w:rFonts w:ascii="Arial" w:hAnsi="Arial" w:cs="Arial"/>
          <w:i/>
          <w:sz w:val="24"/>
          <w:szCs w:val="24"/>
        </w:rPr>
        <w:t xml:space="preserve"> White Adipose Tissue</w:t>
      </w:r>
      <w:r w:rsidRPr="0035519F">
        <w:rPr>
          <w:rFonts w:ascii="Arial" w:hAnsi="Arial" w:cs="Arial"/>
          <w:sz w:val="24"/>
          <w:szCs w:val="24"/>
        </w:rPr>
        <w:t xml:space="preserve"> </w:t>
      </w:r>
      <w:r w:rsidR="00101FF8" w:rsidRPr="0035519F">
        <w:rPr>
          <w:rFonts w:ascii="Arial" w:hAnsi="Arial" w:cs="Arial"/>
          <w:sz w:val="24"/>
          <w:szCs w:val="24"/>
        </w:rPr>
        <w:t xml:space="preserve">(WAT) dan </w:t>
      </w:r>
      <w:r w:rsidRPr="0035519F">
        <w:rPr>
          <w:rFonts w:ascii="Arial" w:hAnsi="Arial" w:cs="Arial"/>
          <w:i/>
          <w:sz w:val="24"/>
          <w:szCs w:val="24"/>
        </w:rPr>
        <w:t>Brown Adipose Tissue</w:t>
      </w:r>
      <w:r w:rsidR="00FA6B2C" w:rsidRPr="0035519F">
        <w:rPr>
          <w:rFonts w:ascii="Arial" w:hAnsi="Arial" w:cs="Arial"/>
          <w:sz w:val="24"/>
          <w:szCs w:val="24"/>
        </w:rPr>
        <w:t xml:space="preserve"> (BAT).</w:t>
      </w:r>
      <w:r w:rsidRPr="0035519F">
        <w:rPr>
          <w:rFonts w:ascii="Arial" w:hAnsi="Arial" w:cs="Arial"/>
          <w:sz w:val="24"/>
          <w:szCs w:val="24"/>
        </w:rPr>
        <w:t xml:space="preserve"> </w:t>
      </w:r>
      <w:r w:rsidR="008D2A2E" w:rsidRPr="0035519F">
        <w:rPr>
          <w:rFonts w:ascii="Arial" w:hAnsi="Arial" w:cs="Arial"/>
          <w:i/>
          <w:sz w:val="24"/>
          <w:szCs w:val="24"/>
        </w:rPr>
        <w:t>White Adipose Tissue</w:t>
      </w:r>
      <w:r w:rsidR="00FA6B2C" w:rsidRPr="0035519F">
        <w:rPr>
          <w:rFonts w:ascii="Arial" w:hAnsi="Arial" w:cs="Arial"/>
          <w:sz w:val="24"/>
          <w:szCs w:val="24"/>
        </w:rPr>
        <w:t xml:space="preserve"> </w:t>
      </w:r>
      <w:r w:rsidRPr="0035519F">
        <w:rPr>
          <w:rFonts w:ascii="Arial" w:hAnsi="Arial" w:cs="Arial"/>
          <w:sz w:val="24"/>
          <w:szCs w:val="24"/>
        </w:rPr>
        <w:t>berfungsi m</w:t>
      </w:r>
      <w:r w:rsidR="00101FF8" w:rsidRPr="0035519F">
        <w:rPr>
          <w:rFonts w:ascii="Arial" w:hAnsi="Arial" w:cs="Arial"/>
          <w:sz w:val="24"/>
          <w:szCs w:val="24"/>
        </w:rPr>
        <w:t>enyimpan energi dalam bentuk lipid</w:t>
      </w:r>
      <w:r w:rsidR="00EC693B" w:rsidRPr="0035519F">
        <w:rPr>
          <w:rFonts w:ascii="Arial" w:hAnsi="Arial" w:cs="Arial"/>
          <w:sz w:val="24"/>
          <w:szCs w:val="24"/>
        </w:rPr>
        <w:t>, juga berfungsi sebagai bantalan untuk melindungi organ visceral</w:t>
      </w:r>
      <w:r w:rsidR="00DA04E8" w:rsidRPr="0035519F">
        <w:rPr>
          <w:rFonts w:ascii="Arial" w:hAnsi="Arial" w:cs="Arial"/>
          <w:sz w:val="24"/>
          <w:szCs w:val="24"/>
        </w:rPr>
        <w:t>.  Morfologi WAT berupa lipid berbentuk droplet yang tersusun secara unilokuler. Secara anatomi</w:t>
      </w:r>
      <w:r w:rsidR="00E900FD" w:rsidRPr="0035519F">
        <w:rPr>
          <w:rFonts w:ascii="Arial" w:hAnsi="Arial" w:cs="Arial"/>
          <w:sz w:val="24"/>
          <w:szCs w:val="24"/>
        </w:rPr>
        <w:t>s</w:t>
      </w:r>
      <w:r w:rsidR="00DA04E8" w:rsidRPr="0035519F">
        <w:rPr>
          <w:rFonts w:ascii="Arial" w:hAnsi="Arial" w:cs="Arial"/>
          <w:sz w:val="24"/>
          <w:szCs w:val="24"/>
        </w:rPr>
        <w:t xml:space="preserve"> WAT terbagi menjadi 2 kompartemen utama yaitu subkutan dan visceral. Jaringan adiposa subkutan (</w:t>
      </w:r>
      <w:r w:rsidR="00DA04E8" w:rsidRPr="0035519F">
        <w:rPr>
          <w:rFonts w:ascii="Arial" w:hAnsi="Arial" w:cs="Arial"/>
          <w:i/>
          <w:sz w:val="24"/>
          <w:szCs w:val="24"/>
        </w:rPr>
        <w:t>subcutaneous adipose tissue</w:t>
      </w:r>
      <w:r w:rsidR="00DA04E8" w:rsidRPr="0035519F">
        <w:rPr>
          <w:rFonts w:ascii="Arial" w:hAnsi="Arial" w:cs="Arial"/>
          <w:sz w:val="24"/>
          <w:szCs w:val="24"/>
        </w:rPr>
        <w:t>, SAT), terdistribusi sekitar &gt;80% dari lemak tubuh total dan berada tepat di bawah kulit sedangkan Jaringan adiposa viseral (</w:t>
      </w:r>
      <w:r w:rsidR="00DA04E8" w:rsidRPr="0035519F">
        <w:rPr>
          <w:rFonts w:ascii="Arial" w:hAnsi="Arial" w:cs="Arial"/>
          <w:i/>
          <w:sz w:val="24"/>
          <w:szCs w:val="24"/>
        </w:rPr>
        <w:t>visceral adipose tissue</w:t>
      </w:r>
      <w:r w:rsidR="00DA04E8" w:rsidRPr="0035519F">
        <w:rPr>
          <w:rFonts w:ascii="Arial" w:hAnsi="Arial" w:cs="Arial"/>
          <w:sz w:val="24"/>
          <w:szCs w:val="24"/>
        </w:rPr>
        <w:t xml:space="preserve">, VAT) terdistribusi sekitar 10-20% lemak tubuh total dan berada dalam kavum abdominal disekitar organ-organ internal, terutama organ digestif. Kelebihan VAT berhubungan erat dengan peningkatan risiko penyakit kardiovaskuler, sindrom metabolik (hipertensi, dislipidemia, dan </w:t>
      </w:r>
      <w:r w:rsidR="0003017A" w:rsidRPr="0035519F">
        <w:rPr>
          <w:rFonts w:ascii="Arial" w:hAnsi="Arial" w:cs="Arial"/>
          <w:sz w:val="24"/>
          <w:szCs w:val="24"/>
        </w:rPr>
        <w:t>DM</w:t>
      </w:r>
      <w:r w:rsidR="00DA04E8" w:rsidRPr="0035519F">
        <w:rPr>
          <w:rFonts w:ascii="Arial" w:hAnsi="Arial" w:cs="Arial"/>
          <w:sz w:val="24"/>
          <w:szCs w:val="24"/>
        </w:rPr>
        <w:t xml:space="preserve"> tip</w:t>
      </w:r>
      <w:r w:rsidR="005B0AB7" w:rsidRPr="0035519F">
        <w:rPr>
          <w:rFonts w:ascii="Arial" w:hAnsi="Arial" w:cs="Arial"/>
          <w:sz w:val="24"/>
          <w:szCs w:val="24"/>
        </w:rPr>
        <w:t>e</w:t>
      </w:r>
      <w:r w:rsidR="0003017A" w:rsidRPr="0035519F">
        <w:rPr>
          <w:rFonts w:ascii="Arial" w:hAnsi="Arial" w:cs="Arial"/>
          <w:sz w:val="24"/>
          <w:szCs w:val="24"/>
        </w:rPr>
        <w:t>-2</w:t>
      </w:r>
      <w:r w:rsidR="005B0AB7" w:rsidRPr="0035519F">
        <w:rPr>
          <w:rFonts w:ascii="Arial" w:hAnsi="Arial" w:cs="Arial"/>
          <w:sz w:val="24"/>
          <w:szCs w:val="24"/>
        </w:rPr>
        <w:t>), dan resistensi insulin</w:t>
      </w:r>
      <w:r w:rsidR="00DA04E8" w:rsidRPr="0035519F">
        <w:rPr>
          <w:rFonts w:ascii="Arial" w:hAnsi="Arial" w:cs="Arial"/>
          <w:sz w:val="24"/>
          <w:szCs w:val="24"/>
        </w:rPr>
        <w:t>. Suatu penelitian menyatakan bahwa seseorang yang mengalami obesitas cenderung memiliki lem</w:t>
      </w:r>
      <w:r w:rsidR="00FB5811" w:rsidRPr="0035519F">
        <w:rPr>
          <w:rFonts w:ascii="Arial" w:hAnsi="Arial" w:cs="Arial"/>
          <w:sz w:val="24"/>
          <w:szCs w:val="24"/>
        </w:rPr>
        <w:t xml:space="preserve">ak </w:t>
      </w:r>
      <w:r w:rsidR="00FB5811" w:rsidRPr="0035519F">
        <w:rPr>
          <w:rFonts w:ascii="Arial" w:hAnsi="Arial" w:cs="Arial"/>
          <w:sz w:val="24"/>
          <w:szCs w:val="24"/>
        </w:rPr>
        <w:lastRenderedPageBreak/>
        <w:t>viseral tubuh yang berlebih</w:t>
      </w:r>
      <w:r w:rsidR="005B0AB7" w:rsidRPr="0035519F">
        <w:rPr>
          <w:rFonts w:ascii="Arial" w:hAnsi="Arial" w:cs="Arial"/>
          <w:noProof/>
          <w:sz w:val="24"/>
          <w:szCs w:val="24"/>
          <w:vertAlign w:val="superscript"/>
        </w:rPr>
        <w:t xml:space="preserve"> </w:t>
      </w:r>
      <w:r w:rsidR="00B642D2" w:rsidRPr="0035519F">
        <w:rPr>
          <w:rFonts w:ascii="Arial" w:hAnsi="Arial" w:cs="Arial"/>
          <w:noProof/>
          <w:sz w:val="24"/>
          <w:szCs w:val="24"/>
          <w:vertAlign w:val="superscript"/>
        </w:rPr>
        <w:fldChar w:fldCharType="begin" w:fldLock="1"/>
      </w:r>
      <w:r w:rsidR="003B14CE" w:rsidRPr="0035519F">
        <w:rPr>
          <w:rFonts w:ascii="Arial" w:hAnsi="Arial" w:cs="Arial"/>
          <w:noProof/>
          <w:sz w:val="24"/>
          <w:szCs w:val="24"/>
          <w:vertAlign w:val="superscript"/>
        </w:rPr>
        <w:instrText>ADDIN CSL_CITATION {"citationItems":[{"id":"ITEM-1","itemData":{"DOI":"10.2473/amnt.v2i3.2018.228-236","abstract":"Background: Obesity, central obesity, and visceral fat is an excessive fat that can release various types of diseases such as cardiovascular disease, stroke and can increase the risk of bone damage in the elderly. Objectives: The purpose of this study was to analyze the risk factors of obesity, central obesity, and visceral fat in elderly women. Methods:This was an observational analytic study with cross sectional design. The samples of the study were 81 elderly women registered as member of Posyandu Lansia in the working area of Puskesmas Jagir, Wonokromo, Surabaya. The data collected using 3 times 24-hour food recall, anthropometry (body weight, body height, and waist circumference), visceral fat using Bio Impedance Analysis (BIA), and questionnaire related to subject’s characteristic. The data were analyzed using logistic regression analysis. Results: The results showed that the mean age of the subjects were 67.12±5.97 years old. Most of the subjects have low education (71.6%) and 87.7% of subjects didn’t work. The mean value of daily energy intake was 1074.31±298.67 kcal. There were 34.6% obese subjects, only 17.3% subjects didn’t experience central obesity, and 28.4% of subjects had excess body visceral fat. The statistical test showed significant correlation between age with obesi (p-value=0.042), age with central obesity (p-value=0.009) but age with visceral fat had no significant correlation (p-value=0.163). Daily food intake, education, and occupation did not show significant correlation with obesity, central obesity, or visceral fat (p-value&gt;0.05). Conclusions: The risk for obesity and central obesity was decreased with aging in elderly but not with visceral fat.","author":[{"dropping-particle":"","family":"Ira Maya Sofa","given":"","non-dropping-particle":"","parse-names":false,"suffix":""}],"container-title":"Amerta Nutrition","id":"ITEM-1","issue":"3","issued":{"date-parts":[["2018"]]},"page":"228-236","title":"Kejadian Obesitas, Obesitas Sentral, dan Kelebihan Lemak Viseral pada Lansia Wanita","type":"article-journal","volume":"2"},"uris":["http://www.mendeley.com/documents/?uuid=22481779-2c2e-3b76-a916-22e57b5f9ac9"]},{"id":"ITEM-2","itemData":{"DOI":"10.1097/MCO.0B013E32833CF0F4","ISSN":"1473-6519","PMID":"20625283","abstract":"Purpose of review: Increasing evidence indicates that adipose tissue is an active endocrine organ involved in metabolic syndrome and regulation of inflammation. Visceral fat accumulation is a hallmark of both obesity and Crohn's disease. Here, we present recent data describing the immune properties of intra-abdominal adipose tissue that could link the innate immune response to obesity-related disorders and gut inflammation. Recent findings: Innate immune properties of adipocytes have become well characterized since recent studies described the Toll-like receptor (TLR) expression repertoire and specific TLR ligand responses of adipocytes. Adipokine secretion profiles have also been elucidated both in obese patients, when they may be involved in obesity-associated metabolic disease, and in Crohn's disease. Whereas mesenteric fat hypertrophy and fat wrapping of the bowel are characteristic of Crohn's disease, there exists a paucity of information concerning this important pathophysiological aspect. Our current classical animal models are of limited interest when investigating the role of mesenteric fat in gut inflammation. Recent new alternative disease paradigms could help to design more specific models for elucidating chronic transmural inflammation of the gut. Summary: Obesity and Crohn's disease share common features with the development of mesenteric fat that may be involved in gut inflammation. Further studies are required to clearly assess the origin and influence of intestinal fat deposits upon gut inflammation, notably during Crohn's disease development. © 2010 Wolters Kluwer Health | Lippincott Williams &amp; Wilkins.","author":[{"dropping-particle":"","family":"Bertin","given":"Benjamin","non-dropping-particle":"","parse-names":false,"suffix":""},{"dropping-particle":"","family":"Desreumaux","given":"Pierre","non-dropping-particle":"","parse-names":false,"suffix":""},{"dropping-particle":"","family":"Dubuquoy","given":"Laurent","non-dropping-particle":"","parse-names":false,"suffix":""}],"container-title":"Current opinion in clinical nutrition and metabolic care","id":"ITEM-2","issue":"5","issued":{"date-parts":[["2010"]]},"page":"574-580","publisher":"Curr Opin Clin Nutr Metab Care","title":"Obesity, visceral fat and Crohn's disease","type":"article-journal","volume":"13"},"uris":["http://www.mendeley.com/documents/?uuid=2efe67a2-6ffd-3474-aa69-c4466f96a400"]}],"mendeley":{"formattedCitation":"(Bertin, Desreumaux and Dubuquoy, 2010; Ira Maya Sofa, 2018)","plainTextFormattedCitation":"(Bertin, Desreumaux and Dubuquoy, 2010; Ira Maya Sofa, 2018)","previouslyFormattedCitation":"(Bertin, Desreumaux and Dubuquoy, 2010; Ira Maya Sofa, 2018)"},"properties":{"noteIndex":0},"schema":"https://github.com/citation-style-language/schema/raw/master/csl-citation.json"}</w:instrText>
      </w:r>
      <w:r w:rsidR="00B642D2" w:rsidRPr="0035519F">
        <w:rPr>
          <w:rFonts w:ascii="Arial" w:hAnsi="Arial" w:cs="Arial"/>
          <w:noProof/>
          <w:sz w:val="24"/>
          <w:szCs w:val="24"/>
          <w:vertAlign w:val="superscript"/>
        </w:rPr>
        <w:fldChar w:fldCharType="separate"/>
      </w:r>
      <w:r w:rsidR="003B14CE" w:rsidRPr="0035519F">
        <w:rPr>
          <w:rFonts w:ascii="Arial" w:hAnsi="Arial" w:cs="Arial"/>
          <w:noProof/>
          <w:sz w:val="24"/>
          <w:szCs w:val="24"/>
        </w:rPr>
        <w:t>(Bertin, Desreumaux and Dubuquoy, 2010; Ira Maya Sofa, 2018)</w:t>
      </w:r>
      <w:r w:rsidR="00B642D2" w:rsidRPr="0035519F">
        <w:rPr>
          <w:rFonts w:ascii="Arial" w:hAnsi="Arial" w:cs="Arial"/>
          <w:noProof/>
          <w:sz w:val="24"/>
          <w:szCs w:val="24"/>
          <w:vertAlign w:val="superscript"/>
        </w:rPr>
        <w:fldChar w:fldCharType="end"/>
      </w:r>
      <w:r w:rsidR="00FB5811" w:rsidRPr="0035519F">
        <w:rPr>
          <w:rFonts w:ascii="Arial" w:hAnsi="Arial" w:cs="Arial"/>
          <w:sz w:val="24"/>
          <w:szCs w:val="24"/>
        </w:rPr>
        <w:t xml:space="preserve">. </w:t>
      </w:r>
      <w:r w:rsidR="0003017A" w:rsidRPr="0035519F">
        <w:rPr>
          <w:rFonts w:ascii="Arial" w:hAnsi="Arial" w:cs="Arial"/>
          <w:i/>
          <w:sz w:val="24"/>
          <w:szCs w:val="24"/>
        </w:rPr>
        <w:t>Brown adipose tissue</w:t>
      </w:r>
      <w:r w:rsidR="0003017A" w:rsidRPr="0035519F">
        <w:rPr>
          <w:rFonts w:ascii="Arial" w:hAnsi="Arial" w:cs="Arial"/>
          <w:sz w:val="24"/>
          <w:szCs w:val="24"/>
        </w:rPr>
        <w:t xml:space="preserve"> </w:t>
      </w:r>
      <w:r w:rsidR="00DA04E8" w:rsidRPr="0035519F">
        <w:rPr>
          <w:rFonts w:ascii="Arial" w:hAnsi="Arial" w:cs="Arial"/>
          <w:sz w:val="24"/>
          <w:szCs w:val="24"/>
        </w:rPr>
        <w:t xml:space="preserve">adalah jaringan yang </w:t>
      </w:r>
      <w:r w:rsidRPr="0035519F">
        <w:rPr>
          <w:rFonts w:ascii="Arial" w:hAnsi="Arial" w:cs="Arial"/>
          <w:sz w:val="24"/>
          <w:szCs w:val="24"/>
        </w:rPr>
        <w:t>berfungsi</w:t>
      </w:r>
      <w:r w:rsidR="00101FF8" w:rsidRPr="0035519F">
        <w:rPr>
          <w:rFonts w:ascii="Arial" w:hAnsi="Arial" w:cs="Arial"/>
          <w:sz w:val="24"/>
          <w:szCs w:val="24"/>
        </w:rPr>
        <w:t xml:space="preserve"> mengatur suhu tubuh dengan memproduksi panas melalui </w:t>
      </w:r>
      <w:r w:rsidRPr="0035519F">
        <w:rPr>
          <w:rFonts w:ascii="Arial" w:hAnsi="Arial" w:cs="Arial"/>
          <w:sz w:val="24"/>
          <w:szCs w:val="24"/>
        </w:rPr>
        <w:t>pelepasan energi</w:t>
      </w:r>
      <w:r w:rsidR="00101FF8" w:rsidRPr="0035519F">
        <w:rPr>
          <w:rFonts w:ascii="Arial" w:hAnsi="Arial" w:cs="Arial"/>
          <w:sz w:val="24"/>
          <w:szCs w:val="24"/>
        </w:rPr>
        <w:t xml:space="preserve"> tersimpan.</w:t>
      </w:r>
      <w:r w:rsidR="0003017A" w:rsidRPr="0035519F">
        <w:rPr>
          <w:rFonts w:ascii="Arial" w:hAnsi="Arial" w:cs="Arial"/>
          <w:sz w:val="24"/>
          <w:szCs w:val="24"/>
        </w:rPr>
        <w:t xml:space="preserve"> </w:t>
      </w:r>
      <w:r w:rsidR="00DA04E8" w:rsidRPr="0035519F">
        <w:rPr>
          <w:rFonts w:ascii="Arial" w:hAnsi="Arial" w:cs="Arial"/>
          <w:sz w:val="24"/>
          <w:szCs w:val="24"/>
        </w:rPr>
        <w:t xml:space="preserve">Berbentuk droplet </w:t>
      </w:r>
      <w:r w:rsidR="0003017A" w:rsidRPr="0035519F">
        <w:rPr>
          <w:rFonts w:ascii="Arial" w:hAnsi="Arial" w:cs="Arial"/>
          <w:sz w:val="24"/>
          <w:szCs w:val="24"/>
        </w:rPr>
        <w:t xml:space="preserve">yang lebih </w:t>
      </w:r>
      <w:r w:rsidR="00DA04E8" w:rsidRPr="0035519F">
        <w:rPr>
          <w:rFonts w:ascii="Arial" w:hAnsi="Arial" w:cs="Arial"/>
          <w:sz w:val="24"/>
          <w:szCs w:val="24"/>
        </w:rPr>
        <w:t xml:space="preserve">lebih kecil dan </w:t>
      </w:r>
      <w:r w:rsidR="006614CB" w:rsidRPr="0035519F">
        <w:rPr>
          <w:rFonts w:ascii="Arial" w:hAnsi="Arial" w:cs="Arial"/>
          <w:sz w:val="24"/>
          <w:szCs w:val="24"/>
        </w:rPr>
        <w:t>tersusun secara</w:t>
      </w:r>
      <w:r w:rsidR="00E404AF" w:rsidRPr="0035519F">
        <w:rPr>
          <w:rFonts w:ascii="Arial" w:hAnsi="Arial" w:cs="Arial"/>
          <w:sz w:val="24"/>
          <w:szCs w:val="24"/>
        </w:rPr>
        <w:t xml:space="preserve"> multilokuler</w:t>
      </w:r>
      <w:r w:rsidR="00DA04E8" w:rsidRPr="0035519F">
        <w:rPr>
          <w:rFonts w:ascii="Arial" w:hAnsi="Arial" w:cs="Arial"/>
          <w:sz w:val="24"/>
          <w:szCs w:val="24"/>
        </w:rPr>
        <w:t>.</w:t>
      </w:r>
      <w:r w:rsidR="00101FF8" w:rsidRPr="0035519F">
        <w:rPr>
          <w:rFonts w:ascii="Arial" w:hAnsi="Arial" w:cs="Arial"/>
          <w:sz w:val="24"/>
          <w:szCs w:val="24"/>
        </w:rPr>
        <w:t xml:space="preserve"> </w:t>
      </w:r>
      <w:r w:rsidR="00DA04E8" w:rsidRPr="0035519F">
        <w:rPr>
          <w:rFonts w:ascii="Arial" w:hAnsi="Arial" w:cs="Arial"/>
          <w:sz w:val="24"/>
          <w:szCs w:val="24"/>
        </w:rPr>
        <w:t>J</w:t>
      </w:r>
      <w:r w:rsidR="00E404AF" w:rsidRPr="0035519F">
        <w:rPr>
          <w:rFonts w:ascii="Arial" w:hAnsi="Arial" w:cs="Arial"/>
          <w:sz w:val="24"/>
          <w:szCs w:val="24"/>
        </w:rPr>
        <w:t xml:space="preserve">umlah </w:t>
      </w:r>
      <w:r w:rsidR="00101FF8" w:rsidRPr="0035519F">
        <w:rPr>
          <w:rFonts w:ascii="Arial" w:hAnsi="Arial" w:cs="Arial"/>
          <w:sz w:val="24"/>
          <w:szCs w:val="24"/>
        </w:rPr>
        <w:t>mitokondria</w:t>
      </w:r>
      <w:r w:rsidR="00E404AF" w:rsidRPr="0035519F">
        <w:rPr>
          <w:rFonts w:ascii="Arial" w:hAnsi="Arial" w:cs="Arial"/>
          <w:sz w:val="24"/>
          <w:szCs w:val="24"/>
        </w:rPr>
        <w:t xml:space="preserve"> pada BAT lebih besar dibandingkan dengan WAT</w:t>
      </w:r>
      <w:r w:rsidR="00101FF8" w:rsidRPr="0035519F">
        <w:rPr>
          <w:rFonts w:ascii="Arial" w:hAnsi="Arial" w:cs="Arial"/>
          <w:sz w:val="24"/>
          <w:szCs w:val="24"/>
        </w:rPr>
        <w:t xml:space="preserve">. </w:t>
      </w:r>
      <w:r w:rsidR="008D2A2E" w:rsidRPr="0035519F">
        <w:rPr>
          <w:rFonts w:ascii="Arial" w:hAnsi="Arial" w:cs="Arial"/>
          <w:i/>
          <w:sz w:val="24"/>
          <w:szCs w:val="24"/>
        </w:rPr>
        <w:t>Brown adipose tissue</w:t>
      </w:r>
      <w:r w:rsidR="00101FF8" w:rsidRPr="0035519F">
        <w:rPr>
          <w:rFonts w:ascii="Arial" w:hAnsi="Arial" w:cs="Arial"/>
          <w:sz w:val="24"/>
          <w:szCs w:val="24"/>
        </w:rPr>
        <w:t xml:space="preserve"> juga dicirikan dengan ekspresi </w:t>
      </w:r>
      <w:r w:rsidR="00480F23" w:rsidRPr="0035519F">
        <w:rPr>
          <w:rFonts w:ascii="Arial" w:hAnsi="Arial" w:cs="Arial"/>
          <w:sz w:val="24"/>
          <w:szCs w:val="24"/>
        </w:rPr>
        <w:t xml:space="preserve">protein </w:t>
      </w:r>
      <w:r w:rsidR="00101FF8" w:rsidRPr="0035519F">
        <w:rPr>
          <w:rFonts w:ascii="Arial" w:hAnsi="Arial" w:cs="Arial"/>
          <w:i/>
          <w:sz w:val="24"/>
          <w:szCs w:val="24"/>
        </w:rPr>
        <w:t>uncoupling protein 1</w:t>
      </w:r>
      <w:r w:rsidR="00101FF8" w:rsidRPr="0035519F">
        <w:rPr>
          <w:rFonts w:ascii="Arial" w:hAnsi="Arial" w:cs="Arial"/>
          <w:sz w:val="24"/>
          <w:szCs w:val="24"/>
        </w:rPr>
        <w:t xml:space="preserve"> </w:t>
      </w:r>
      <w:r w:rsidR="00480F23" w:rsidRPr="0035519F">
        <w:rPr>
          <w:rFonts w:ascii="Arial" w:hAnsi="Arial" w:cs="Arial"/>
          <w:sz w:val="24"/>
          <w:szCs w:val="24"/>
        </w:rPr>
        <w:t>(UCP1)</w:t>
      </w:r>
      <w:r w:rsidR="00101FF8" w:rsidRPr="0035519F">
        <w:rPr>
          <w:rFonts w:ascii="Arial" w:hAnsi="Arial" w:cs="Arial"/>
          <w:sz w:val="24"/>
          <w:szCs w:val="24"/>
        </w:rPr>
        <w:t xml:space="preserve"> yang mampu memisahkan fosforila</w:t>
      </w:r>
      <w:r w:rsidR="00480F23" w:rsidRPr="0035519F">
        <w:rPr>
          <w:rFonts w:ascii="Arial" w:hAnsi="Arial" w:cs="Arial"/>
          <w:sz w:val="24"/>
          <w:szCs w:val="24"/>
        </w:rPr>
        <w:t>si oksidatif dari sintesis ATP sehingga mem</w:t>
      </w:r>
      <w:r w:rsidR="00101FF8" w:rsidRPr="0035519F">
        <w:rPr>
          <w:rFonts w:ascii="Arial" w:hAnsi="Arial" w:cs="Arial"/>
          <w:sz w:val="24"/>
          <w:szCs w:val="24"/>
        </w:rPr>
        <w:t>produksi panas</w:t>
      </w:r>
      <w:r w:rsidR="003B14CE" w:rsidRPr="0035519F">
        <w:rPr>
          <w:rFonts w:ascii="Arial" w:hAnsi="Arial" w:cs="Arial"/>
          <w:sz w:val="24"/>
          <w:szCs w:val="24"/>
        </w:rPr>
        <w:t xml:space="preserve"> </w:t>
      </w:r>
      <w:r w:rsidR="00766B07"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{"citationItems":[{"id":"ITEM-1","itemData":{"DOI":"10.1007/978-3-319-09045-0_1","ISBN":"9783319090450","abstract":"Adipose tissue is a specialized tissue formed by several depots located below the skin (subcutaneous depots) or in the trunk (visceral depots). It provides the survival of the body by storing/dispensing energy for metabolism and regulating thermogenesis, immune responses, and lactation. Two major types of adipose tissue exist in mammals, the white and brown fats, which are mainly composed of white and brown adipocytes, respectively. White adipocytes primarily act as storage cells for triacylglycerols. They have endocrine functions including the secretion of adipokines such as leptin, resistin, and adiponectin. Brown adipocytes are characterized by a cytoplasm composed of several small lipid droplets and a high amount of mitochondria. They mediate non-shivering thermogenesis, which is the major physiological function of brown adipose tissue. Marrow adipose tissue (MAT) is a third type of adipose tissue, functionally distinct from both white and brown adipose tissues. The development of marrow adipose tissue depends on the stage of life and greatly increases in pathological conditions. Recently, a growing body of evidence has finally confirmed that fully differentiated adipocytes retain the physiological ability to transdifferentiate, undergoing the reprogram of genome and turning into a different cell type with different physiological roles. This peculiar plasticity of adipose tissue ensures that certain physiologic stimuli can induce change of cell phenotype and, consequently, their function. In future, increasingly in-depth analysis of the observed phenomenon of transdifferentiation will contribute to further understanding the plasticity of adipose cells, improving knowledge of their biology and encouraging novel therapeutic strategies.","author":[{"dropping-particle":"","family":"Colaianni","given":"Graziana","non-dropping-particle":"","parse-names":false,"suffix":""},{"dropping-particle":"","family":"Colucci","given":"Silvia","non-dropping-particle":"","parse-names":false,"suffix":""},{"dropping-particle":"","family":"Grano","given":"Maria","non-dropping-particle":"","parse-names":false,"suffix":""}],"container-title":"Multidisciplinary Approach to Obesity: From Assessment to Treatment","id":"ITEM-1","issued":{"date-parts":[["2015","1","1"]]},"page":"3-12","publisher":"Springer International Publishing","title":"A natomy and physiology of adipose tissue","type":"chapter"},"uris":["http://www.mendeley.com/documents/?uuid=8b570487-45db-3c32-aa1d-fa10fa81be7e"]},{"id":"ITEM-2","itemData":{"DOI":"10.1016/j.coph.2020.04.003","ISSN":"14714973","PMID":"32387807","abstract":"White (WAT) and brown (BAT) adipose tissue communicate with skeletal muscle and heart through the secretion of adipokines (adiponectin, leptin, omentin, osteopontin or cardiotrophin-1) and batokines (BMP8b, FGF-21, endothelin-1 or IL-6), respectively. Furthermore, several bioactive lipids termed lipokines [palmitoleate (C16:1n7) or 12,13-diHOME] and microRNAs capsuled in exosomes (miR-27a, miR122, miR-130b, miR-155, miR-200a or miR-320d) secreted from white and brown adipocytes also influence the skeletal and cardiac muscle function. The review focuses on the depot-related differences in adipose tissue-derived signals (adipokines, batokines, lipokines and exosomal miRNAs) and their impact on skeletal muscle under physiological conditions as well as in obesity. The relevance of regular physical activity and exercise on fat depot-specific adaptations to improve metabolic health will also be addressed.","author":[{"dropping-particle":"","family":"Rodríguez","given":"Amaia","non-dropping-particle":"","parse-names":false,"suffix":""},{"dropping-particle":"","family":"Becerril","given":"Sara","non-dropping-particle":"","parse-names":false,"suffix":""},{"dropping-particle":"","family":"Hernández-Pardos","given":"Ana Wenting","non-dropping-particle":"","parse-names":false,"suffix":""},{"dropping-particle":"","family":"Frühbeck","given":"Gema","non-dropping-particle":"","parse-names":false,"suffix":""}],"container-title":"Current Opinion in Pharmacology","id":"ITEM-2","issued":{"date-parts":[["2020","6","1"]]},"page":"1-8","publisher":"Elsevier","title":"Adipose tissue depot differences in adipokines and effects on skeletal and cardiac muscle","type":"article","volume":"52"},"uris":["http://www.mendeley.com/documents/?uuid=f7445768-567e-3bbc-b3e8-c86f96f5e061"]}],"mendeley":{"formattedCitation":"(Colaianni, Colucci and Grano, 2015; Rodríguez &lt;i&gt;et al.&lt;/i&gt;, 2020)","plainTextFormattedCitation":"(Colaianni, Colucci and Grano, 2015; Rodríguez et al., 2020)","previouslyFormattedCitation":"(Colaianni, Colucci and Grano, 2015; Rodríguez &lt;i&gt;et al.&lt;/i&gt;, 2020)"},"properties":{"noteIndex":0},"schema":"https://github.com/citation-style-language/schema/raw/master/csl-citation.json"}</w:instrText>
      </w:r>
      <w:r w:rsidR="00766B07" w:rsidRPr="0035519F">
        <w:rPr>
          <w:rFonts w:ascii="Arial" w:hAnsi="Arial" w:cs="Arial"/>
          <w:sz w:val="24"/>
          <w:szCs w:val="24"/>
        </w:rPr>
        <w:fldChar w:fldCharType="separate"/>
      </w:r>
      <w:r w:rsidR="00D11F03" w:rsidRPr="0035519F">
        <w:rPr>
          <w:rFonts w:ascii="Arial" w:hAnsi="Arial" w:cs="Arial"/>
          <w:noProof/>
          <w:sz w:val="24"/>
          <w:szCs w:val="24"/>
        </w:rPr>
        <w:t xml:space="preserve">(Colaianni, Colucci and Grano, 2015; Rodríguez </w:t>
      </w:r>
      <w:r w:rsidR="00D11F03" w:rsidRPr="0035519F">
        <w:rPr>
          <w:rFonts w:ascii="Arial" w:hAnsi="Arial" w:cs="Arial"/>
          <w:i/>
          <w:noProof/>
          <w:sz w:val="24"/>
          <w:szCs w:val="24"/>
        </w:rPr>
        <w:t>et al.</w:t>
      </w:r>
      <w:r w:rsidR="00D11F03" w:rsidRPr="0035519F">
        <w:rPr>
          <w:rFonts w:ascii="Arial" w:hAnsi="Arial" w:cs="Arial"/>
          <w:noProof/>
          <w:sz w:val="24"/>
          <w:szCs w:val="24"/>
        </w:rPr>
        <w:t>, 2020)</w:t>
      </w:r>
      <w:r w:rsidR="00766B07" w:rsidRPr="0035519F">
        <w:rPr>
          <w:rFonts w:ascii="Arial" w:hAnsi="Arial" w:cs="Arial"/>
          <w:sz w:val="24"/>
          <w:szCs w:val="24"/>
        </w:rPr>
        <w:fldChar w:fldCharType="end"/>
      </w:r>
      <w:r w:rsidR="00EC693B" w:rsidRPr="0035519F">
        <w:rPr>
          <w:rFonts w:ascii="Arial" w:hAnsi="Arial" w:cs="Arial"/>
          <w:sz w:val="24"/>
          <w:szCs w:val="24"/>
        </w:rPr>
        <w:t xml:space="preserve">. </w:t>
      </w:r>
      <w:r w:rsidR="00DA04E8" w:rsidRPr="0035519F">
        <w:rPr>
          <w:rFonts w:ascii="Arial" w:hAnsi="Arial" w:cs="Arial"/>
          <w:sz w:val="24"/>
          <w:szCs w:val="24"/>
        </w:rPr>
        <w:t>D</w:t>
      </w:r>
      <w:r w:rsidR="00766B07" w:rsidRPr="0035519F">
        <w:rPr>
          <w:rFonts w:ascii="Arial" w:hAnsi="Arial" w:cs="Arial"/>
          <w:sz w:val="24"/>
          <w:szCs w:val="24"/>
        </w:rPr>
        <w:t>epot utama BAT terletak di daerah da</w:t>
      </w:r>
      <w:r w:rsidR="00E900FD" w:rsidRPr="0035519F">
        <w:rPr>
          <w:rFonts w:ascii="Arial" w:hAnsi="Arial" w:cs="Arial"/>
          <w:sz w:val="24"/>
          <w:szCs w:val="24"/>
        </w:rPr>
        <w:t>lam interscapular kemudian berekstensi ke subsk</w:t>
      </w:r>
      <w:r w:rsidR="00766B07" w:rsidRPr="0035519F">
        <w:rPr>
          <w:rFonts w:ascii="Arial" w:hAnsi="Arial" w:cs="Arial"/>
          <w:sz w:val="24"/>
          <w:szCs w:val="24"/>
        </w:rPr>
        <w:t>apular, serviks, dan aksila. BAT juga ditemukan di aorta, paravertebral dan suprarenal (Gambar 1)</w:t>
      </w:r>
      <w:r w:rsidR="00AC412A" w:rsidRPr="0035519F">
        <w:rPr>
          <w:rFonts w:ascii="Arial" w:hAnsi="Arial" w:cs="Arial"/>
          <w:sz w:val="24"/>
          <w:szCs w:val="24"/>
        </w:rPr>
        <w:t xml:space="preserve">, </w:t>
      </w:r>
      <w:r w:rsidR="00AC412A" w:rsidRPr="0035519F">
        <w:rPr>
          <w:rFonts w:ascii="Arial" w:hAnsi="Arial" w:cs="Arial"/>
          <w:sz w:val="24"/>
          <w:szCs w:val="24"/>
        </w:rPr>
        <w:fldChar w:fldCharType="begin" w:fldLock="1"/>
      </w:r>
      <w:r w:rsidR="004F465C" w:rsidRPr="0035519F">
        <w:rPr>
          <w:rFonts w:ascii="Arial" w:hAnsi="Arial" w:cs="Arial"/>
          <w:sz w:val="24"/>
          <w:szCs w:val="24"/>
        </w:rPr>
        <w:instrText>ADDIN CSL_CITATION {"citationItems":[{"id":"ITEM-1","itemData":{"DOI":"10.1016/j.coph.2020.04.003","ISSN":"14714973","PMID":"32387807","abstract":"White (WAT) and brown (BAT) adipose tissue communicate with skeletal muscle and heart through the secretion of adipokines (adiponectin, leptin, omentin, osteopontin or cardiotrophin-1) and batokines (BMP8b, FGF-21, endothelin-1 or IL-6), respectively. Furthermore, several bioactive lipids termed lipokines [palmitoleate (C16:1n7) or 12,13-diHOME] and microRNAs capsuled in exosomes (miR-27a, miR122, miR-130b, miR-155, miR-200a or miR-320d) secreted from white and brown adipocytes also influence the skeletal and cardiac muscle function. The review focuses on the depot-related differences in adipose tissue-derived signals (adipokines, batokines, lipokines and exosomal miRNAs) and their impact on skeletal muscle under physiological conditions as well as in obesity. The relevance of regular physical activity and exercise on fat depot-specific adaptations to improve metabolic health will also be addressed.","author":[{"dropping-particle":"","family":"Rodríguez","given":"Amaia","non-dropping-particle":"","parse-names":false,"suffix":""},{"dropping-particle":"","family":"Becerril","given":"Sara","non-dropping-particle":"","parse-names":false,"suffix":""},{"dropping-particle":"","family":"Hernández-Pardos","given":"Ana Wenting","non-dropping-particle":"","parse-names":false,"suffix":""},{"dropping-particle":"","family":"Frühbeck","given":"Gema","non-dropping-particle":"","parse-names":false,"suffix":""}],"container-title":"Current Opinion in Pharmacology","id":"ITEM-1","issued":{"date-parts":[["2020","6","1"]]},"page":"1-8","publisher":"Elsevier","title":"Adipose tissue depot differences in adipokines and effects on skeletal and cardiac muscle","type":"article","volume":"52"},"uris":["http://www.mendeley.com/documents/?uuid=5a3ea1a5-83f7-3d89-8abb-284489149b6b"]}],"mendeley":{"formattedCitation":"(Rodríguez &lt;i&gt;et al.&lt;/i&gt;, 2020)","plainTextFormattedCitation":"(Rodríguez et al., 2020)","previouslyFormattedCitation":"(Rodríguez &lt;i&gt;et al.&lt;/i&gt;, 2020)"},"properties":{"noteIndex":0},"schema":"https://github.com/citation-style-language/schema/raw/master/csl-citation.json"}</w:instrText>
      </w:r>
      <w:r w:rsidR="00AC412A" w:rsidRPr="0035519F">
        <w:rPr>
          <w:rFonts w:ascii="Arial" w:hAnsi="Arial" w:cs="Arial"/>
          <w:sz w:val="24"/>
          <w:szCs w:val="24"/>
        </w:rPr>
        <w:fldChar w:fldCharType="separate"/>
      </w:r>
      <w:r w:rsidR="00AC412A" w:rsidRPr="0035519F">
        <w:rPr>
          <w:rFonts w:ascii="Arial" w:hAnsi="Arial" w:cs="Arial"/>
          <w:noProof/>
          <w:sz w:val="24"/>
          <w:szCs w:val="24"/>
        </w:rPr>
        <w:t xml:space="preserve">(Rodríguez </w:t>
      </w:r>
      <w:r w:rsidR="00AC412A" w:rsidRPr="0035519F">
        <w:rPr>
          <w:rFonts w:ascii="Arial" w:hAnsi="Arial" w:cs="Arial"/>
          <w:i/>
          <w:noProof/>
          <w:sz w:val="24"/>
          <w:szCs w:val="24"/>
        </w:rPr>
        <w:t>et al.</w:t>
      </w:r>
      <w:r w:rsidR="00AC412A" w:rsidRPr="0035519F">
        <w:rPr>
          <w:rFonts w:ascii="Arial" w:hAnsi="Arial" w:cs="Arial"/>
          <w:noProof/>
          <w:sz w:val="24"/>
          <w:szCs w:val="24"/>
        </w:rPr>
        <w:t>, 2020)</w:t>
      </w:r>
      <w:r w:rsidR="00AC412A" w:rsidRPr="0035519F">
        <w:rPr>
          <w:rFonts w:ascii="Arial" w:hAnsi="Arial" w:cs="Arial"/>
          <w:sz w:val="24"/>
          <w:szCs w:val="24"/>
        </w:rPr>
        <w:fldChar w:fldCharType="end"/>
      </w:r>
      <w:r w:rsidR="0003017A" w:rsidRPr="0035519F">
        <w:rPr>
          <w:rFonts w:ascii="Arial" w:hAnsi="Arial" w:cs="Arial"/>
          <w:sz w:val="24"/>
          <w:szCs w:val="24"/>
        </w:rPr>
        <w:t>.</w:t>
      </w:r>
      <w:r w:rsidR="00766B07" w:rsidRPr="0035519F">
        <w:rPr>
          <w:rFonts w:ascii="Arial" w:hAnsi="Arial" w:cs="Arial"/>
          <w:sz w:val="24"/>
          <w:szCs w:val="24"/>
        </w:rPr>
        <w:t xml:space="preserve"> </w:t>
      </w:r>
    </w:p>
    <w:p w14:paraId="7A403E20" w14:textId="618800DB" w:rsidR="00766B07" w:rsidRPr="0035519F" w:rsidRDefault="00766B07" w:rsidP="00BA23FD">
      <w:pPr>
        <w:spacing w:after="0" w:line="240" w:lineRule="auto"/>
        <w:ind w:left="426" w:firstLine="29"/>
        <w:jc w:val="center"/>
        <w:rPr>
          <w:rFonts w:ascii="Arial" w:hAnsi="Arial" w:cs="Arial"/>
          <w:sz w:val="24"/>
          <w:szCs w:val="24"/>
        </w:rPr>
      </w:pPr>
      <w:r w:rsidRPr="0035519F">
        <w:rPr>
          <w:noProof/>
        </w:rPr>
        <w:drawing>
          <wp:inline distT="0" distB="0" distL="0" distR="0" wp14:anchorId="429257C4" wp14:editId="033DC942">
            <wp:extent cx="3981450" cy="3036698"/>
            <wp:effectExtent l="19050" t="19050" r="1905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494" t="24983" r="18451" b="16613"/>
                    <a:stretch/>
                  </pic:blipFill>
                  <pic:spPr bwMode="auto">
                    <a:xfrm>
                      <a:off x="0" y="0"/>
                      <a:ext cx="4004550" cy="3054317"/>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3995AD32" w14:textId="77777777" w:rsidR="005C54E1" w:rsidRPr="0035519F" w:rsidRDefault="005C54E1" w:rsidP="00BA23FD">
      <w:pPr>
        <w:spacing w:after="0" w:line="240" w:lineRule="auto"/>
        <w:ind w:left="426" w:firstLine="29"/>
        <w:jc w:val="center"/>
        <w:rPr>
          <w:rFonts w:ascii="Arial" w:hAnsi="Arial" w:cs="Arial"/>
          <w:sz w:val="24"/>
          <w:szCs w:val="24"/>
        </w:rPr>
      </w:pPr>
    </w:p>
    <w:p w14:paraId="0D9C3835" w14:textId="393955E4" w:rsidR="00766B07" w:rsidRPr="0035519F" w:rsidRDefault="001C440B" w:rsidP="006E0438">
      <w:pPr>
        <w:pStyle w:val="Caption"/>
        <w:ind w:left="2430" w:right="561" w:hanging="1440"/>
        <w:jc w:val="both"/>
        <w:rPr>
          <w:rFonts w:ascii="Arial" w:hAnsi="Arial" w:cs="Arial"/>
          <w:i w:val="0"/>
          <w:noProof/>
          <w:color w:val="auto"/>
          <w:sz w:val="24"/>
          <w:szCs w:val="20"/>
        </w:rPr>
      </w:pPr>
      <w:bookmarkStart w:id="25" w:name="_Toc111873689"/>
      <w:r w:rsidRPr="0035519F">
        <w:rPr>
          <w:rFonts w:ascii="Arial" w:hAnsi="Arial" w:cs="Arial"/>
          <w:i w:val="0"/>
          <w:color w:val="auto"/>
          <w:sz w:val="24"/>
          <w:szCs w:val="20"/>
        </w:rPr>
        <w:t xml:space="preserve">Gambar </w:t>
      </w:r>
      <w:r w:rsidRPr="0035519F">
        <w:rPr>
          <w:rFonts w:ascii="Arial" w:hAnsi="Arial" w:cs="Arial"/>
          <w:i w:val="0"/>
          <w:color w:val="auto"/>
          <w:sz w:val="24"/>
          <w:szCs w:val="20"/>
        </w:rPr>
        <w:fldChar w:fldCharType="begin"/>
      </w:r>
      <w:r w:rsidRPr="0035519F">
        <w:rPr>
          <w:rFonts w:ascii="Arial" w:hAnsi="Arial" w:cs="Arial"/>
          <w:i w:val="0"/>
          <w:color w:val="auto"/>
          <w:sz w:val="24"/>
          <w:szCs w:val="20"/>
        </w:rPr>
        <w:instrText xml:space="preserve"> SEQ Gambar \* ARABIC </w:instrText>
      </w:r>
      <w:r w:rsidRPr="0035519F">
        <w:rPr>
          <w:rFonts w:ascii="Arial" w:hAnsi="Arial" w:cs="Arial"/>
          <w:i w:val="0"/>
          <w:color w:val="auto"/>
          <w:sz w:val="24"/>
          <w:szCs w:val="20"/>
        </w:rPr>
        <w:fldChar w:fldCharType="separate"/>
      </w:r>
      <w:r w:rsidR="005B4074">
        <w:rPr>
          <w:rFonts w:ascii="Arial" w:hAnsi="Arial" w:cs="Arial"/>
          <w:i w:val="0"/>
          <w:noProof/>
          <w:color w:val="auto"/>
          <w:sz w:val="24"/>
          <w:szCs w:val="20"/>
        </w:rPr>
        <w:t>1</w:t>
      </w:r>
      <w:r w:rsidRPr="0035519F">
        <w:rPr>
          <w:rFonts w:ascii="Arial" w:hAnsi="Arial" w:cs="Arial"/>
          <w:i w:val="0"/>
          <w:color w:val="auto"/>
          <w:sz w:val="24"/>
          <w:szCs w:val="20"/>
        </w:rPr>
        <w:fldChar w:fldCharType="end"/>
      </w:r>
      <w:r w:rsidR="00766B07" w:rsidRPr="0035519F">
        <w:rPr>
          <w:rFonts w:ascii="Arial" w:hAnsi="Arial" w:cs="Arial"/>
          <w:i w:val="0"/>
          <w:color w:val="auto"/>
          <w:sz w:val="24"/>
          <w:szCs w:val="20"/>
        </w:rPr>
        <w:t>. Skema a</w:t>
      </w:r>
      <w:r w:rsidR="0003017A" w:rsidRPr="0035519F">
        <w:rPr>
          <w:rFonts w:ascii="Arial" w:hAnsi="Arial" w:cs="Arial"/>
          <w:i w:val="0"/>
          <w:color w:val="auto"/>
          <w:sz w:val="24"/>
          <w:szCs w:val="20"/>
        </w:rPr>
        <w:t>natomi jaringan adiposa manusia</w:t>
      </w:r>
      <w:r w:rsidR="00AC412A" w:rsidRPr="0035519F">
        <w:rPr>
          <w:rFonts w:ascii="Arial" w:hAnsi="Arial" w:cs="Arial"/>
          <w:i w:val="0"/>
          <w:color w:val="auto"/>
          <w:sz w:val="24"/>
          <w:szCs w:val="20"/>
        </w:rPr>
        <w:t xml:space="preserve"> </w:t>
      </w:r>
      <w:r w:rsidR="00AC412A" w:rsidRPr="0035519F">
        <w:rPr>
          <w:rFonts w:ascii="Arial" w:hAnsi="Arial" w:cs="Arial"/>
          <w:i w:val="0"/>
          <w:color w:val="auto"/>
          <w:sz w:val="24"/>
          <w:szCs w:val="20"/>
        </w:rPr>
        <w:fldChar w:fldCharType="begin" w:fldLock="1"/>
      </w:r>
      <w:r w:rsidR="00AC412A" w:rsidRPr="0035519F">
        <w:rPr>
          <w:rFonts w:ascii="Arial" w:hAnsi="Arial" w:cs="Arial"/>
          <w:i w:val="0"/>
          <w:color w:val="auto"/>
          <w:sz w:val="24"/>
          <w:szCs w:val="20"/>
        </w:rPr>
        <w:instrText>ADDIN CSL_CITATION {"citationItems":[{"id":"ITEM-1","itemData":{"DOI":"10.1016/j.coph.2020.04.003","ISSN":"14714973","PMID":"32387807","abstract":"White (WAT) and brown (BAT) adipose tissue communicate with skeletal muscle and heart through the secretion of adipokines (adiponectin, leptin, omentin, osteopontin or cardiotrophin-1) and batokines (BMP8b, FGF-21, endothelin-1 or IL-6), respectively. Furthermore, several bioactive lipids termed lipokines [palmitoleate (C16:1n7) or 12,13-diHOME] and microRNAs capsuled in exosomes (miR-27a, miR122, miR-130b, miR-155, miR-200a or miR-320d) secreted from white and brown adipocytes also influence the skeletal and cardiac muscle function. The review focuses on the depot-related differences in adipose tissue-derived signals (adipokines, batokines, lipokines and exosomal miRNAs) and their impact on skeletal muscle under physiological conditions as well as in obesity. The relevance of regular physical activity and exercise on fat depot-specific adaptations to improve metabolic health will also be addressed.","author":[{"dropping-particle":"","family":"Rodríguez","given":"Amaia","non-dropping-particle":"","parse-names":false,"suffix":""},{"dropping-particle":"","family":"Becerril","given":"Sara","non-dropping-particle":"","parse-names":false,"suffix":""},{"dropping-particle":"","family":"Hernández-Pardos","given":"Ana Wenting","non-dropping-particle":"","parse-names":false,"suffix":""},{"dropping-particle":"","family":"Frühbeck","given":"Gema","non-dropping-particle":"","parse-names":false,"suffix":""}],"container-title":"Current Opinion in Pharmacology","id":"ITEM-1","issued":{"date-parts":[["2020","6","1"]]},"page":"1-8","publisher":"Elsevier","title":"Adipose tissue depot differences in adipokines and effects on skeletal and cardiac muscle","type":"article","volume":"52"},"uris":["http://www.mendeley.com/documents/?uuid=5a3ea1a5-83f7-3d89-8abb-284489149b6b"]}],"mendeley":{"formattedCitation":"(Rodríguez &lt;i&gt;et al.&lt;/i&gt;, 2020)","plainTextFormattedCitation":"(Rodríguez et al., 2020)","previouslyFormattedCitation":"(Rodríguez &lt;i&gt;et al.&lt;/i&gt;, 2020)"},"properties":{"noteIndex":0},"schema":"https://github.com/citation-style-language/schema/raw/master/csl-citation.json"}</w:instrText>
      </w:r>
      <w:r w:rsidR="00AC412A" w:rsidRPr="0035519F">
        <w:rPr>
          <w:rFonts w:ascii="Arial" w:hAnsi="Arial" w:cs="Arial"/>
          <w:i w:val="0"/>
          <w:color w:val="auto"/>
          <w:sz w:val="24"/>
          <w:szCs w:val="20"/>
        </w:rPr>
        <w:fldChar w:fldCharType="separate"/>
      </w:r>
      <w:r w:rsidR="00AC412A" w:rsidRPr="0035519F">
        <w:rPr>
          <w:rFonts w:ascii="Arial" w:hAnsi="Arial" w:cs="Arial"/>
          <w:i w:val="0"/>
          <w:noProof/>
          <w:color w:val="auto"/>
          <w:sz w:val="24"/>
          <w:szCs w:val="20"/>
        </w:rPr>
        <w:t>(Rodríguez et al., 2020)</w:t>
      </w:r>
      <w:r w:rsidR="00AC412A" w:rsidRPr="0035519F">
        <w:rPr>
          <w:rFonts w:ascii="Arial" w:hAnsi="Arial" w:cs="Arial"/>
          <w:i w:val="0"/>
          <w:color w:val="auto"/>
          <w:sz w:val="24"/>
          <w:szCs w:val="20"/>
        </w:rPr>
        <w:fldChar w:fldCharType="end"/>
      </w:r>
      <w:r w:rsidR="0003017A" w:rsidRPr="0035519F">
        <w:rPr>
          <w:rFonts w:ascii="Arial" w:hAnsi="Arial" w:cs="Arial"/>
          <w:i w:val="0"/>
          <w:noProof/>
          <w:color w:val="auto"/>
          <w:sz w:val="24"/>
          <w:szCs w:val="20"/>
        </w:rPr>
        <w:t>.</w:t>
      </w:r>
      <w:bookmarkEnd w:id="25"/>
    </w:p>
    <w:p w14:paraId="4D17B997" w14:textId="77777777" w:rsidR="00FB5811" w:rsidRPr="0035519F" w:rsidRDefault="00FB5811" w:rsidP="00BA23FD">
      <w:pPr>
        <w:spacing w:after="0" w:line="480" w:lineRule="auto"/>
        <w:ind w:left="425" w:firstLine="425"/>
        <w:jc w:val="both"/>
        <w:rPr>
          <w:rFonts w:ascii="Arial" w:hAnsi="Arial" w:cs="Arial"/>
          <w:sz w:val="24"/>
          <w:szCs w:val="24"/>
        </w:rPr>
      </w:pPr>
      <w:r w:rsidRPr="0035519F">
        <w:rPr>
          <w:rFonts w:ascii="Arial" w:hAnsi="Arial" w:cs="Arial"/>
          <w:sz w:val="24"/>
          <w:szCs w:val="24"/>
        </w:rPr>
        <w:lastRenderedPageBreak/>
        <w:t xml:space="preserve">Berdasarkan distribusi lemak, obesitas dibagi menjadi obesitas sentral, perifer dan kombinasi dari keduanya. Akumulasi lemak pada obesitas perifer biasa ditemukan pada bokong, pinggul dan paha, sedangkan pada obesitas sentral ditemukan di daerah perut. </w:t>
      </w:r>
      <w:r w:rsidR="00E900FD" w:rsidRPr="0035519F">
        <w:rPr>
          <w:rFonts w:ascii="Arial" w:hAnsi="Arial" w:cs="Arial"/>
          <w:sz w:val="24"/>
          <w:szCs w:val="24"/>
        </w:rPr>
        <w:t xml:space="preserve">Pada </w:t>
      </w:r>
      <w:r w:rsidRPr="0035519F">
        <w:rPr>
          <w:rFonts w:ascii="Arial" w:hAnsi="Arial" w:cs="Arial"/>
          <w:sz w:val="24"/>
          <w:szCs w:val="24"/>
        </w:rPr>
        <w:t>wanita premenopouse</w:t>
      </w:r>
      <w:r w:rsidR="00E900FD" w:rsidRPr="0035519F">
        <w:rPr>
          <w:rFonts w:ascii="Arial" w:hAnsi="Arial" w:cs="Arial"/>
          <w:sz w:val="24"/>
          <w:szCs w:val="24"/>
        </w:rPr>
        <w:t>, sekitar</w:t>
      </w:r>
      <w:r w:rsidRPr="0035519F">
        <w:rPr>
          <w:rFonts w:ascii="Arial" w:hAnsi="Arial" w:cs="Arial"/>
          <w:sz w:val="24"/>
          <w:szCs w:val="24"/>
        </w:rPr>
        <w:t xml:space="preserve"> setengah dari total lemak</w:t>
      </w:r>
      <w:r w:rsidR="00D0138A" w:rsidRPr="0035519F">
        <w:rPr>
          <w:rFonts w:ascii="Arial" w:hAnsi="Arial" w:cs="Arial"/>
          <w:sz w:val="24"/>
          <w:szCs w:val="24"/>
        </w:rPr>
        <w:t>nya terdistribusi pada daerah perut,</w:t>
      </w:r>
      <w:r w:rsidRPr="0035519F">
        <w:rPr>
          <w:rFonts w:ascii="Arial" w:hAnsi="Arial" w:cs="Arial"/>
          <w:sz w:val="24"/>
          <w:szCs w:val="24"/>
        </w:rPr>
        <w:t xml:space="preserve"> selebihnya ke da</w:t>
      </w:r>
      <w:r w:rsidR="00D0138A" w:rsidRPr="0035519F">
        <w:rPr>
          <w:rFonts w:ascii="Arial" w:hAnsi="Arial" w:cs="Arial"/>
          <w:sz w:val="24"/>
          <w:szCs w:val="24"/>
        </w:rPr>
        <w:t>e</w:t>
      </w:r>
      <w:r w:rsidRPr="0035519F">
        <w:rPr>
          <w:rFonts w:ascii="Arial" w:hAnsi="Arial" w:cs="Arial"/>
          <w:sz w:val="24"/>
          <w:szCs w:val="24"/>
        </w:rPr>
        <w:t>r</w:t>
      </w:r>
      <w:r w:rsidR="00D0138A" w:rsidRPr="0035519F">
        <w:rPr>
          <w:rFonts w:ascii="Arial" w:hAnsi="Arial" w:cs="Arial"/>
          <w:sz w:val="24"/>
          <w:szCs w:val="24"/>
        </w:rPr>
        <w:t>a</w:t>
      </w:r>
      <w:r w:rsidRPr="0035519F">
        <w:rPr>
          <w:rFonts w:ascii="Arial" w:hAnsi="Arial" w:cs="Arial"/>
          <w:sz w:val="24"/>
          <w:szCs w:val="24"/>
        </w:rPr>
        <w:t xml:space="preserve">h paha dan pinggul sehingga membentuk buah pir </w:t>
      </w:r>
      <w:r w:rsidR="0003017A" w:rsidRPr="0035519F">
        <w:rPr>
          <w:rFonts w:ascii="Arial" w:hAnsi="Arial" w:cs="Arial"/>
          <w:sz w:val="24"/>
          <w:szCs w:val="24"/>
        </w:rPr>
        <w:t>yang selanjutnya disebut sebagai</w:t>
      </w:r>
      <w:r w:rsidRPr="0035519F">
        <w:rPr>
          <w:rFonts w:ascii="Arial" w:hAnsi="Arial" w:cs="Arial"/>
          <w:sz w:val="24"/>
          <w:szCs w:val="24"/>
        </w:rPr>
        <w:t xml:space="preserve"> tipe obesitas perifer, sedangkan pada pria hampir seluruh total lemak didistribusikan pada perut sehingga membentuk buah apel </w:t>
      </w:r>
      <w:r w:rsidR="0003017A" w:rsidRPr="0035519F">
        <w:rPr>
          <w:rFonts w:ascii="Arial" w:hAnsi="Arial" w:cs="Arial"/>
          <w:sz w:val="24"/>
          <w:szCs w:val="24"/>
        </w:rPr>
        <w:t>yang kemudian dikenal sebagai</w:t>
      </w:r>
      <w:r w:rsidRPr="0035519F">
        <w:rPr>
          <w:rFonts w:ascii="Arial" w:hAnsi="Arial" w:cs="Arial"/>
          <w:sz w:val="24"/>
          <w:szCs w:val="24"/>
        </w:rPr>
        <w:t xml:space="preserve"> tipe obesitas sentral</w:t>
      </w:r>
      <w:r w:rsidR="00AC412A" w:rsidRPr="0035519F">
        <w:rPr>
          <w:rFonts w:ascii="Arial" w:hAnsi="Arial" w:cs="Arial"/>
          <w:sz w:val="24"/>
          <w:szCs w:val="24"/>
        </w:rPr>
        <w:t xml:space="preserve"> </w:t>
      </w:r>
      <w:r w:rsidR="00AF4F48"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 © 2013 the American Physiological Society.","author":[{"dropping-particle":"","family":"Tchernof","given":"André","non-dropping-particle":"","parse-names":false,"suffix":""},{"dropping-particle":"","family":"Després","given":"Jean Pierre","non-dropping-particle":"","parse-names":false,"suffix":""}],"container-title":"Physiological Reviews","id":"ITEM-1","issue":"1","issued":{"date-parts":[["2013","1","1"]]},"page":"359-404","publisher":"Physiol Rev","title":"Pathophysiology of human visceral obesity: An update","type":"article-journal","volume":"93"},"uris":["http://www.mendeley.com/documents/?uuid=ff6fec5e-f736-38aa-b699-8bf799fe1902"]}],"mendeley":{"formattedCitation":"(Tchernof and J. P. Després, 2013)","plainTextFormattedCitation":"(Tchernof and J. P. Després, 2013)","previouslyFormattedCitation":"(Tchernof and J. P. Després, 2013)"},"properties":{"noteIndex":0},"schema":"https://github.com/citation-style-language/schema/raw/master/csl-citation.json"}</w:instrText>
      </w:r>
      <w:r w:rsidR="00AF4F48" w:rsidRPr="0035519F">
        <w:rPr>
          <w:rFonts w:ascii="Arial" w:hAnsi="Arial" w:cs="Arial"/>
          <w:sz w:val="24"/>
          <w:szCs w:val="24"/>
        </w:rPr>
        <w:fldChar w:fldCharType="separate"/>
      </w:r>
      <w:r w:rsidR="00D11F03" w:rsidRPr="0035519F">
        <w:rPr>
          <w:rFonts w:ascii="Arial" w:hAnsi="Arial" w:cs="Arial"/>
          <w:noProof/>
          <w:sz w:val="24"/>
          <w:szCs w:val="24"/>
        </w:rPr>
        <w:t>(Tchernof and J. P. Després, 2013)</w:t>
      </w:r>
      <w:r w:rsidR="00AF4F48" w:rsidRPr="0035519F">
        <w:rPr>
          <w:rFonts w:ascii="Arial" w:hAnsi="Arial" w:cs="Arial"/>
          <w:sz w:val="24"/>
          <w:szCs w:val="24"/>
        </w:rPr>
        <w:fldChar w:fldCharType="end"/>
      </w:r>
      <w:r w:rsidR="0003017A" w:rsidRPr="0035519F">
        <w:rPr>
          <w:rFonts w:ascii="Arial" w:hAnsi="Arial" w:cs="Arial"/>
          <w:sz w:val="24"/>
          <w:szCs w:val="24"/>
        </w:rPr>
        <w:t>.</w:t>
      </w:r>
    </w:p>
    <w:p w14:paraId="2237B94A" w14:textId="77777777" w:rsidR="007757AB" w:rsidRPr="0035519F" w:rsidRDefault="007757AB" w:rsidP="00BA23FD">
      <w:pPr>
        <w:spacing w:after="0" w:line="480" w:lineRule="auto"/>
        <w:jc w:val="both"/>
        <w:rPr>
          <w:rFonts w:ascii="Arial" w:hAnsi="Arial" w:cs="Arial"/>
          <w:sz w:val="24"/>
          <w:szCs w:val="24"/>
        </w:rPr>
      </w:pPr>
    </w:p>
    <w:p w14:paraId="4ECC00C8" w14:textId="77777777" w:rsidR="007757AB" w:rsidRPr="0035519F" w:rsidRDefault="007757AB" w:rsidP="00B124CB">
      <w:pPr>
        <w:pStyle w:val="ListParagraph"/>
        <w:numPr>
          <w:ilvl w:val="0"/>
          <w:numId w:val="25"/>
        </w:numPr>
        <w:spacing w:after="0" w:line="480" w:lineRule="auto"/>
        <w:ind w:left="425" w:hanging="426"/>
        <w:outlineLvl w:val="2"/>
        <w:rPr>
          <w:rFonts w:ascii="Arial" w:hAnsi="Arial" w:cs="Arial"/>
          <w:b/>
          <w:sz w:val="24"/>
          <w:szCs w:val="24"/>
        </w:rPr>
      </w:pPr>
      <w:bookmarkStart w:id="26" w:name="_Toc111022760"/>
      <w:r w:rsidRPr="0035519F">
        <w:rPr>
          <w:rFonts w:ascii="Arial" w:hAnsi="Arial" w:cs="Arial"/>
          <w:b/>
          <w:sz w:val="24"/>
          <w:szCs w:val="24"/>
        </w:rPr>
        <w:t>Epidemiologi</w:t>
      </w:r>
      <w:bookmarkEnd w:id="26"/>
      <w:r w:rsidRPr="0035519F">
        <w:rPr>
          <w:rFonts w:ascii="Arial" w:hAnsi="Arial" w:cs="Arial"/>
          <w:b/>
          <w:sz w:val="24"/>
          <w:szCs w:val="24"/>
        </w:rPr>
        <w:t xml:space="preserve"> </w:t>
      </w:r>
    </w:p>
    <w:p w14:paraId="0346DBA4" w14:textId="77777777" w:rsidR="007757AB" w:rsidRPr="0035519F" w:rsidRDefault="0003017A" w:rsidP="007757AB">
      <w:pPr>
        <w:pStyle w:val="ListParagraph"/>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5" w:firstLine="425"/>
        <w:jc w:val="both"/>
        <w:rPr>
          <w:rFonts w:ascii="Arial" w:hAnsi="Arial" w:cs="Arial"/>
          <w:sz w:val="24"/>
          <w:szCs w:val="24"/>
        </w:rPr>
      </w:pPr>
      <w:r w:rsidRPr="0035519F">
        <w:rPr>
          <w:rFonts w:ascii="Arial" w:hAnsi="Arial" w:cs="Arial"/>
          <w:sz w:val="24"/>
          <w:szCs w:val="24"/>
        </w:rPr>
        <w:t>Obesitas merupakan suatu epidemi</w:t>
      </w:r>
      <w:r w:rsidR="000A5835" w:rsidRPr="0035519F">
        <w:rPr>
          <w:rFonts w:ascii="Arial" w:hAnsi="Arial" w:cs="Arial"/>
          <w:sz w:val="24"/>
          <w:szCs w:val="24"/>
        </w:rPr>
        <w:t xml:space="preserve"> global sehing</w:t>
      </w:r>
      <w:r w:rsidR="00F15B9C" w:rsidRPr="0035519F">
        <w:rPr>
          <w:rFonts w:ascii="Arial" w:hAnsi="Arial" w:cs="Arial"/>
          <w:sz w:val="24"/>
          <w:szCs w:val="24"/>
        </w:rPr>
        <w:t>g</w:t>
      </w:r>
      <w:r w:rsidR="000A5835" w:rsidRPr="0035519F">
        <w:rPr>
          <w:rFonts w:ascii="Arial" w:hAnsi="Arial" w:cs="Arial"/>
          <w:sz w:val="24"/>
          <w:szCs w:val="24"/>
        </w:rPr>
        <w:t>a menjadi masalah kesehatan yang harus segera ditangani. Pencegahan dan pengendalian obesitas dilakukan dengan berfokus pada faktor risiko dan determinan so</w:t>
      </w:r>
      <w:r w:rsidRPr="0035519F">
        <w:rPr>
          <w:rFonts w:ascii="Arial" w:hAnsi="Arial" w:cs="Arial"/>
          <w:sz w:val="24"/>
          <w:szCs w:val="24"/>
        </w:rPr>
        <w:t>s</w:t>
      </w:r>
      <w:r w:rsidR="000A5835" w:rsidRPr="0035519F">
        <w:rPr>
          <w:rFonts w:ascii="Arial" w:hAnsi="Arial" w:cs="Arial"/>
          <w:sz w:val="24"/>
          <w:szCs w:val="24"/>
        </w:rPr>
        <w:t>ial. Melihat besarnya masalah obesitas yang mengancam kesehatan masyarakat bila tidak segera ditanggulangi maka obesitas akan selalu menjadi faktor risiko terjadinya berbagai penyakit meta</w:t>
      </w:r>
      <w:r w:rsidR="00D0138A" w:rsidRPr="0035519F">
        <w:rPr>
          <w:rFonts w:ascii="Arial" w:hAnsi="Arial" w:cs="Arial"/>
          <w:sz w:val="24"/>
          <w:szCs w:val="24"/>
        </w:rPr>
        <w:t>bolik dan degeneratif</w:t>
      </w:r>
      <w:r w:rsidRPr="0035519F">
        <w:rPr>
          <w:rFonts w:ascii="Arial" w:hAnsi="Arial" w:cs="Arial"/>
          <w:sz w:val="24"/>
          <w:szCs w:val="24"/>
        </w:rPr>
        <w:t xml:space="preserve"> seperti p</w:t>
      </w:r>
      <w:r w:rsidR="000A5835" w:rsidRPr="0035519F">
        <w:rPr>
          <w:rFonts w:ascii="Arial" w:hAnsi="Arial" w:cs="Arial"/>
          <w:sz w:val="24"/>
          <w:szCs w:val="24"/>
        </w:rPr>
        <w:t>enyakit kardiovaskular, DM, kanker, osteoarthritis dan lai</w:t>
      </w:r>
      <w:r w:rsidRPr="0035519F">
        <w:rPr>
          <w:rFonts w:ascii="Arial" w:hAnsi="Arial" w:cs="Arial"/>
          <w:sz w:val="24"/>
          <w:szCs w:val="24"/>
        </w:rPr>
        <w:t>n-lain</w:t>
      </w:r>
      <w:r w:rsidR="004F465C" w:rsidRPr="0035519F">
        <w:rPr>
          <w:rFonts w:ascii="Arial" w:hAnsi="Arial" w:cs="Arial"/>
          <w:sz w:val="24"/>
          <w:szCs w:val="24"/>
        </w:rPr>
        <w:t xml:space="preserve"> </w:t>
      </w:r>
      <w:r w:rsidR="000A5835"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{"citationItems":[{"id":"ITEM-1","itemData":{"URL":"http://p2ptm.kemkes.go.id/dokumen-ptm/pedoman-umum-gentas-gerakan-berantas-obesitas","accessed":{"date-parts":[["2021","12","27"]]},"author":[{"dropping-particle":"","family":"Kementerian Kesehatan RI","given":"","non-dropping-particle":"","parse-names":false,"suffix":""}],"id":"ITEM-1","issued":{"date-parts":[["2017"]]},"title":"Pedoman Umum Gentas (Gerakan berantas obesitas) - Direktorat P2PTM","type":"webpage"},"uris":["http://www.mendeley.com/documents/?uuid=70b7c74c-a46d-34f2-bae0-b976fbac9436"]}],"mendeley":{"formattedCitation":"(Kementerian Kesehatan RI, 2017)","plainTextFormattedCitation":"(Kementerian Kesehatan RI, 2017)","previouslyFormattedCitation":"(Kementerian Kesehatan RI, 2017)"},"properties":{"noteIndex":0},"schema":"https://github.com/citation-style-language/schema/raw/master/csl-citation.json"}</w:instrText>
      </w:r>
      <w:r w:rsidR="000A5835" w:rsidRPr="0035519F">
        <w:rPr>
          <w:rFonts w:ascii="Arial" w:hAnsi="Arial" w:cs="Arial"/>
          <w:sz w:val="24"/>
          <w:szCs w:val="24"/>
        </w:rPr>
        <w:fldChar w:fldCharType="separate"/>
      </w:r>
      <w:r w:rsidR="00D11F03" w:rsidRPr="0035519F">
        <w:rPr>
          <w:rFonts w:ascii="Arial" w:hAnsi="Arial" w:cs="Arial"/>
          <w:noProof/>
          <w:sz w:val="24"/>
          <w:szCs w:val="24"/>
        </w:rPr>
        <w:t>(Kementerian Kesehatan RI, 2017)</w:t>
      </w:r>
      <w:r w:rsidR="000A5835" w:rsidRPr="0035519F">
        <w:rPr>
          <w:rFonts w:ascii="Arial" w:hAnsi="Arial" w:cs="Arial"/>
          <w:sz w:val="24"/>
          <w:szCs w:val="24"/>
        </w:rPr>
        <w:fldChar w:fldCharType="end"/>
      </w:r>
      <w:r w:rsidRPr="0035519F">
        <w:rPr>
          <w:rFonts w:ascii="Arial" w:hAnsi="Arial" w:cs="Arial"/>
          <w:sz w:val="24"/>
          <w:szCs w:val="24"/>
        </w:rPr>
        <w:t>.</w:t>
      </w:r>
    </w:p>
    <w:p w14:paraId="5064D408" w14:textId="77777777" w:rsidR="00E73C55" w:rsidRPr="0035519F" w:rsidRDefault="00E73C55" w:rsidP="007757AB">
      <w:pPr>
        <w:pStyle w:val="ListParagraph"/>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5" w:firstLine="425"/>
        <w:jc w:val="both"/>
        <w:rPr>
          <w:rFonts w:ascii="Arial" w:hAnsi="Arial" w:cs="Arial"/>
          <w:sz w:val="24"/>
          <w:szCs w:val="24"/>
        </w:rPr>
      </w:pPr>
      <w:r w:rsidRPr="0035519F">
        <w:rPr>
          <w:rFonts w:ascii="Arial" w:hAnsi="Arial" w:cs="Arial"/>
          <w:sz w:val="24"/>
          <w:szCs w:val="24"/>
        </w:rPr>
        <w:t xml:space="preserve">Prevalensi obesitas di seluruh dunia makin meningkat, sejak tahun 1975 sampai 2016 diperkirakan terjadi kenaikan hampir tiga kali lipat. </w:t>
      </w:r>
      <w:r w:rsidRPr="0035519F">
        <w:rPr>
          <w:rFonts w:ascii="Arial" w:hAnsi="Arial" w:cs="Arial"/>
          <w:sz w:val="24"/>
          <w:szCs w:val="24"/>
        </w:rPr>
        <w:lastRenderedPageBreak/>
        <w:t xml:space="preserve">Pada </w:t>
      </w:r>
      <w:r w:rsidR="0003017A" w:rsidRPr="0035519F">
        <w:rPr>
          <w:rFonts w:ascii="Arial" w:hAnsi="Arial" w:cs="Arial"/>
          <w:sz w:val="24"/>
          <w:szCs w:val="24"/>
        </w:rPr>
        <w:t xml:space="preserve">tahun </w:t>
      </w:r>
      <w:r w:rsidRPr="0035519F">
        <w:rPr>
          <w:rFonts w:ascii="Arial" w:hAnsi="Arial" w:cs="Arial"/>
          <w:sz w:val="24"/>
          <w:szCs w:val="24"/>
        </w:rPr>
        <w:t xml:space="preserve">2016, lebih dari 1,9 miliar orang dewasa berusia di atas 18 tahun mengalami </w:t>
      </w:r>
      <w:r w:rsidR="0003017A" w:rsidRPr="0035519F">
        <w:rPr>
          <w:rFonts w:ascii="Arial" w:hAnsi="Arial" w:cs="Arial"/>
          <w:i/>
          <w:sz w:val="24"/>
          <w:szCs w:val="24"/>
        </w:rPr>
        <w:t>overweight</w:t>
      </w:r>
      <w:r w:rsidRPr="0035519F">
        <w:rPr>
          <w:rFonts w:ascii="Arial" w:hAnsi="Arial" w:cs="Arial"/>
          <w:sz w:val="24"/>
          <w:szCs w:val="24"/>
        </w:rPr>
        <w:t xml:space="preserve"> dan lebih dari 650 juta </w:t>
      </w:r>
      <w:r w:rsidR="0003017A" w:rsidRPr="0035519F">
        <w:rPr>
          <w:rFonts w:ascii="Arial" w:hAnsi="Arial" w:cs="Arial"/>
          <w:sz w:val="24"/>
          <w:szCs w:val="24"/>
        </w:rPr>
        <w:t>di antaranya mengalami obesitas</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{"citationItems":[{"id":"ITEM-1","itemData":{"URL":"https://www.who.int/news-room/fact-sheets/detail/obesity-and-overweight","abstract":"Worldwide obesity has nearly tripled since 1975. In 2016, more than 1.9 billion adults, 18 years and older, were overweight. Of these over 650 million were obese. 39% of adults aged 18 years and over were overweight in 2016, and 13% were obese. Most of the world's population live in countries where overweight and obesity kills more people than underweight. 39 million children under the age of 5 were overweight or obese in 2020. Over 340 million children and adolescents aged 5-19 were overweight or obese in 2016. Obesity is preventable.","accessed":{"date-parts":[["2021","12","15"]]},"author":[{"dropping-particle":"","family":"WHO","given":"","non-dropping-particle":"","parse-names":false,"suffix":""}],"id":"ITEM-1","issued":{"date-parts":[["2021"]]},"page":"1","title":"Obesity and Overweight","type":"webpage"},"uris":["http://www.mendeley.com/documents/?uuid=88a16d3a-e4cd-37c9-8707-89df6e17496a"]}],"mendeley":{"formattedCitation":"(WHO, 2021)","plainTextFormattedCitation":"(WHO, 2021)","previouslyFormattedCitation":"(WHO, 2021)"},"properties":{"noteIndex":0},"schema":"https://github.com/citation-style-language/schema/raw/master/csl-citation.json"}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(WHO, 2021)</w:t>
      </w:r>
      <w:r w:rsidRPr="0035519F">
        <w:rPr>
          <w:rFonts w:ascii="Arial" w:hAnsi="Arial" w:cs="Arial"/>
          <w:sz w:val="24"/>
          <w:szCs w:val="24"/>
        </w:rPr>
        <w:fldChar w:fldCharType="end"/>
      </w:r>
      <w:r w:rsidR="0003017A" w:rsidRPr="0035519F">
        <w:rPr>
          <w:rFonts w:ascii="Arial" w:hAnsi="Arial" w:cs="Arial"/>
          <w:sz w:val="24"/>
          <w:szCs w:val="24"/>
        </w:rPr>
        <w:t>.</w:t>
      </w:r>
      <w:r w:rsidRPr="0035519F">
        <w:t xml:space="preserve"> </w:t>
      </w:r>
      <w:r w:rsidRPr="0035519F">
        <w:rPr>
          <w:rFonts w:ascii="Arial" w:hAnsi="Arial" w:cs="Arial"/>
          <w:sz w:val="24"/>
          <w:szCs w:val="24"/>
        </w:rPr>
        <w:t xml:space="preserve">Prevalensi </w:t>
      </w:r>
      <w:r w:rsidR="0003017A" w:rsidRPr="0035519F">
        <w:rPr>
          <w:rFonts w:ascii="Arial" w:hAnsi="Arial" w:cs="Arial"/>
          <w:i/>
          <w:sz w:val="24"/>
          <w:szCs w:val="24"/>
        </w:rPr>
        <w:t>overweight</w:t>
      </w:r>
      <w:r w:rsidRPr="0035519F">
        <w:rPr>
          <w:rFonts w:ascii="Arial" w:hAnsi="Arial" w:cs="Arial"/>
          <w:sz w:val="24"/>
          <w:szCs w:val="24"/>
        </w:rPr>
        <w:t xml:space="preserve"> dan obesitas pada anak di dunia juga meningkat dari 4,2% pada tahun 1990 menjadi 6,7% di tahun 2010 dan mencapai 9,1% pada tahun 2020. Prevalensi </w:t>
      </w:r>
      <w:r w:rsidR="0003017A" w:rsidRPr="0035519F">
        <w:rPr>
          <w:rFonts w:ascii="Arial" w:hAnsi="Arial" w:cs="Arial"/>
          <w:i/>
          <w:sz w:val="24"/>
          <w:szCs w:val="24"/>
        </w:rPr>
        <w:t>overweight</w:t>
      </w:r>
      <w:r w:rsidRPr="0035519F">
        <w:rPr>
          <w:rFonts w:ascii="Arial" w:hAnsi="Arial" w:cs="Arial"/>
          <w:sz w:val="24"/>
          <w:szCs w:val="24"/>
        </w:rPr>
        <w:t xml:space="preserve"> dan obesitas hampir dua kali lipat lebih besar pada negara maju dibanding negara </w:t>
      </w:r>
      <w:r w:rsidR="0003017A" w:rsidRPr="0035519F">
        <w:rPr>
          <w:rFonts w:ascii="Arial" w:hAnsi="Arial" w:cs="Arial"/>
          <w:sz w:val="24"/>
          <w:szCs w:val="24"/>
        </w:rPr>
        <w:t>berkembang yakni 11,7% dan 6,1%</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{"citationItems":[{"id":"ITEM-1","itemData":{"DOI":"10.3945/ajcn.2010.29786","ISSN":"00029165","PMID":"20861173","abstract":"Background: Childhood obesity is associated with serious health problems and the risk of premature illness and death later in life. Monitoring related trends is important. Objective: The objective was to quantify the worldwide prevalence and trends of overweight and obesity among preschool children on the basis of the new World Health Organization xstandards. Design: A total of 450 nationally representative cross-sectional surveys from 144 countries were analyzed. Overweight and obesity were defined as the proportion of preschool children with values &gt;2 SDs and &gt;3 SDs, respectively, from the World Health Organization growth standard median. Being \"at risk of overweight\" was defined as the proportion with values &gt;1 SD and ≤2 SDs, respectively. Linear mixed-effects modeling was used to estimate the rates and numbers of affected children. Results: In 2010, 43 million children (35 million in developing countries) were estimated to be overweight and obese; 92 million were at risk of overweight. The worldwide prevalence of childhood overweight and obesity increased from 4.2% (95% CI: 3.2%, 5.2%) in 1990 to 6.7% (95% CI: 5.6%, 7.7%) in 2010. This trend is expected to reach 9.1% (95% CI: 7.3%, 10.9%), or ≈60 million, in 2020. The estimated prevalence of childhood overweight and obesity in Africa in 2010 was 8.5% (95% CI: 7.4%, 9.5%) and is expected to reach 12.7% (95% CI: 10.6%, 14.8%) in 2020. The prevalence is lower in Asia than in Africa (4.9% in 2010), but the number of affected children (18 million) is higher in Asia. Conclusions: Childhood overweight and obesity have increased dramatically since 1990. These findings confirm the need for effective interventions starting as early as infancy to reverse anticipated trends. © 2010 American Society for Nutrition.","author":[{"dropping-particle":"","family":"Onis","given":"Mercedes","non-dropping-particle":"De","parse-names":false,"suffix":""},{"dropping-particle":"","family":"Blössner","given":"Monika","non-dropping-particle":"","parse-names":false,"suffix":""},{"dropping-particle":"","family":"Borghi","given":"Elaine","non-dropping-particle":"","parse-names":false,"suffix":""}],"container-title":"American Journal of Clinical Nutrition","id":"ITEM-1","issue":"5","issued":{"date-parts":[["2010","11","1"]]},"page":"1257-1264","publisher":"Am J Clin Nutr","title":"Global prevalence and trends of overweight and obesity among preschool children","type":"article-journal","volume":"92"},"uris":["http://www.mendeley.com/documents/?uuid=691872f6-b425-32f9-af56-350185757a7d"]}],"mendeley":{"formattedCitation":"(De Onis, Blössner and Borghi, 2010)","plainTextFormattedCitation":"(De Onis, Blössner and Borghi, 2010)","previouslyFormattedCitation":"(De Onis, Blössner and Borghi, 2010)"},"properties":{"noteIndex":0},"schema":"https://github.com/citation-style-language/schema/raw/master/csl-citation.json"}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(De Onis, Blössner and Borghi, 2010)</w:t>
      </w:r>
      <w:r w:rsidRPr="0035519F">
        <w:rPr>
          <w:rFonts w:ascii="Arial" w:hAnsi="Arial" w:cs="Arial"/>
          <w:sz w:val="24"/>
          <w:szCs w:val="24"/>
        </w:rPr>
        <w:fldChar w:fldCharType="end"/>
      </w:r>
      <w:r w:rsidR="0003017A" w:rsidRPr="0035519F">
        <w:rPr>
          <w:rFonts w:ascii="Arial" w:hAnsi="Arial" w:cs="Arial"/>
          <w:sz w:val="24"/>
          <w:szCs w:val="24"/>
        </w:rPr>
        <w:t>.</w:t>
      </w:r>
    </w:p>
    <w:p w14:paraId="47270C40" w14:textId="77777777" w:rsidR="007757AB" w:rsidRPr="0035519F" w:rsidRDefault="00A00AE1" w:rsidP="007757AB">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6" w:firstLine="425"/>
        <w:jc w:val="both"/>
        <w:rPr>
          <w:rFonts w:ascii="Arial" w:hAnsi="Arial" w:cs="Arial"/>
          <w:sz w:val="24"/>
          <w:szCs w:val="24"/>
        </w:rPr>
      </w:pPr>
      <w:r w:rsidRPr="0035519F">
        <w:rPr>
          <w:noProof/>
        </w:rPr>
        <mc:AlternateContent>
          <mc:Choice Requires="wpg">
            <w:drawing>
              <wp:anchor distT="0" distB="0" distL="114300" distR="114300" simplePos="0" relativeHeight="251672576" behindDoc="0" locked="0" layoutInCell="1" allowOverlap="1" wp14:anchorId="745E8E4A" wp14:editId="6A859841">
                <wp:simplePos x="0" y="0"/>
                <wp:positionH relativeFrom="margin">
                  <wp:posOffset>325120</wp:posOffset>
                </wp:positionH>
                <wp:positionV relativeFrom="paragraph">
                  <wp:posOffset>3121660</wp:posOffset>
                </wp:positionV>
                <wp:extent cx="4439076" cy="1651000"/>
                <wp:effectExtent l="0" t="0" r="19050" b="25400"/>
                <wp:wrapNone/>
                <wp:docPr id="226" name="Group 226"/>
                <wp:cNvGraphicFramePr/>
                <a:graphic xmlns:a="http://schemas.openxmlformats.org/drawingml/2006/main">
                  <a:graphicData uri="http://schemas.microsoft.com/office/word/2010/wordprocessingGroup">
                    <wpg:wgp>
                      <wpg:cNvGrpSpPr/>
                      <wpg:grpSpPr>
                        <a:xfrm>
                          <a:off x="0" y="0"/>
                          <a:ext cx="4439076" cy="1651000"/>
                          <a:chOff x="0" y="0"/>
                          <a:chExt cx="6072809" cy="2524539"/>
                        </a:xfrm>
                      </wpg:grpSpPr>
                      <wps:wsp>
                        <wps:cNvPr id="227" name="Rectangle 227"/>
                        <wps:cNvSpPr/>
                        <wps:spPr>
                          <a:xfrm>
                            <a:off x="0" y="0"/>
                            <a:ext cx="6072809" cy="2524539"/>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8" name="Picture 228" descr="E:\NITA\TESIS\Obese\punya nita\gambar &amp; tabel\gambar epid.pn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69574" y="69574"/>
                            <a:ext cx="5943600" cy="23418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559626D" id="Group 226" o:spid="_x0000_s1026" style="position:absolute;margin-left:25.6pt;margin-top:245.8pt;width:349.55pt;height:130pt;z-index:251672576;mso-position-horizontal-relative:margin;mso-width-relative:margin;mso-height-relative:margin" coordsize="60728,252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">
                <v:rect id="Rectangle 227" o:spid="_x0000_s1027" style="position:absolute;width:60728;height:25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" filled="f" strokecolor="black [3200]"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8" type="#_x0000_t75" style="position:absolute;left:695;top:695;width:59436;height:23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">
                  <v:imagedata r:id="rId15" o:title="gambar epid"/>
                  <v:path arrowok="t"/>
                </v:shape>
                <w10:wrap anchorx="margin"/>
              </v:group>
            </w:pict>
          </mc:Fallback>
        </mc:AlternateContent>
      </w:r>
      <w:r w:rsidR="00E73C55" w:rsidRPr="0035519F">
        <w:rPr>
          <w:rFonts w:ascii="Arial" w:hAnsi="Arial" w:cs="Arial"/>
          <w:sz w:val="24"/>
          <w:szCs w:val="24"/>
        </w:rPr>
        <w:t>Berdasarkan data Riset Kesehatan Dasar (Riskesdas) 2018, prevalensi obesitas di Indonesia pada usia di atas 18 tahun adalah sekitar 21,8%. Prevalensi tertinggi terdapat pada Provinsi Sulawesi Utara (30,2%), DKI Jakarta (29,8%), Kalimantan Timur (28,7%), Papua Barat (26,4%), Kepulauan Riau (26,2%), dan diikuti provinsi-provinsi lainnya. Data ini cenderung meningkat dari tahun 2007 yaitu sebanyak 10,5% menjadi 11,5% pada tahun 2013 dan meningkat menjadi 21,8% pada tahun 2018. S</w:t>
      </w:r>
      <w:r w:rsidR="007757AB" w:rsidRPr="0035519F">
        <w:rPr>
          <w:rFonts w:ascii="Arial" w:hAnsi="Arial" w:cs="Arial"/>
          <w:sz w:val="24"/>
          <w:szCs w:val="24"/>
        </w:rPr>
        <w:t>edangkan untuk provinsi Sulawesi Selatan berada dibawah angka nasional (Gambar 2</w:t>
      </w:r>
      <w:r w:rsidR="00E73C55" w:rsidRPr="0035519F">
        <w:rPr>
          <w:rFonts w:ascii="Arial" w:hAnsi="Arial" w:cs="Arial"/>
          <w:sz w:val="24"/>
          <w:szCs w:val="24"/>
        </w:rPr>
        <w:t>)</w:t>
      </w:r>
      <w:r w:rsidR="004F465C" w:rsidRPr="0035519F">
        <w:rPr>
          <w:rFonts w:ascii="Arial" w:hAnsi="Arial" w:cs="Arial"/>
          <w:sz w:val="24"/>
          <w:szCs w:val="24"/>
        </w:rPr>
        <w:t xml:space="preserve">, </w:t>
      </w:r>
      <w:r w:rsidR="00E73C55"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{"citationItems":[{"id":"ITEM-1","itemData":{"author":[{"dropping-particle":"","family":"Riskesdas","given":"","non-dropping-particle":"","parse-names":false,"suffix":""}],"container-title":"Kementerian Kesehatan RI","id":"ITEM-1","issued":{"date-parts":[["2018"]]},"page":"175-178","title":"Laporan Hasil Riset Kesehatan Dasar (Riskesdas) | Badan Penelitian dan Pengembangan Kesehatan","type":"article"},"uris":["http://www.mendeley.com/documents/?uuid=6de6e71e-d755-3c48-b91d-2e7ace75ac5e"]}],"mendeley":{"formattedCitation":"(Riskesdas, 2018)","plainTextFormattedCitation":"(Riskesdas, 2018)","previouslyFormattedCitation":"(Riskesdas, 2018)"},"properties":{"noteIndex":0},"schema":"https://github.com/citation-style-language/schema/raw/master/csl-citation.json"}</w:instrText>
      </w:r>
      <w:r w:rsidR="00E73C55" w:rsidRPr="0035519F">
        <w:rPr>
          <w:rFonts w:ascii="Arial" w:hAnsi="Arial" w:cs="Arial"/>
          <w:sz w:val="24"/>
          <w:szCs w:val="24"/>
        </w:rPr>
        <w:fldChar w:fldCharType="separate"/>
      </w:r>
      <w:r w:rsidR="00D11F03" w:rsidRPr="0035519F">
        <w:rPr>
          <w:rFonts w:ascii="Arial" w:hAnsi="Arial" w:cs="Arial"/>
          <w:noProof/>
          <w:sz w:val="24"/>
          <w:szCs w:val="24"/>
        </w:rPr>
        <w:t>(Riskesdas, 2018)</w:t>
      </w:r>
      <w:r w:rsidR="00E73C55" w:rsidRPr="0035519F">
        <w:rPr>
          <w:rFonts w:ascii="Arial" w:hAnsi="Arial" w:cs="Arial"/>
          <w:sz w:val="24"/>
          <w:szCs w:val="24"/>
        </w:rPr>
        <w:fldChar w:fldCharType="end"/>
      </w:r>
      <w:r w:rsidR="004F465C" w:rsidRPr="0035519F">
        <w:rPr>
          <w:rFonts w:ascii="Arial" w:hAnsi="Arial" w:cs="Arial"/>
          <w:sz w:val="24"/>
          <w:szCs w:val="24"/>
        </w:rPr>
        <w:t>.</w:t>
      </w:r>
    </w:p>
    <w:p w14:paraId="400DDFD2" w14:textId="77777777" w:rsidR="00E100F3" w:rsidRPr="0035519F" w:rsidRDefault="00E100F3" w:rsidP="007757AB">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6" w:firstLine="425"/>
        <w:jc w:val="both"/>
        <w:rPr>
          <w:rFonts w:ascii="Arial" w:hAnsi="Arial" w:cs="Arial"/>
          <w:sz w:val="24"/>
          <w:szCs w:val="24"/>
        </w:rPr>
      </w:pPr>
    </w:p>
    <w:p w14:paraId="6F505CB1" w14:textId="77777777" w:rsidR="00E100F3" w:rsidRPr="0035519F" w:rsidRDefault="00E100F3" w:rsidP="007757AB">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6" w:firstLine="425"/>
        <w:jc w:val="both"/>
        <w:rPr>
          <w:rFonts w:ascii="Arial" w:hAnsi="Arial" w:cs="Arial"/>
          <w:sz w:val="24"/>
          <w:szCs w:val="24"/>
        </w:rPr>
      </w:pPr>
    </w:p>
    <w:p w14:paraId="7900F798" w14:textId="77777777" w:rsidR="00E100F3" w:rsidRPr="0035519F" w:rsidRDefault="00E100F3" w:rsidP="007757AB">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6" w:firstLine="425"/>
        <w:jc w:val="both"/>
        <w:rPr>
          <w:rFonts w:ascii="Arial" w:hAnsi="Arial" w:cs="Arial"/>
          <w:sz w:val="24"/>
          <w:szCs w:val="24"/>
        </w:rPr>
      </w:pPr>
    </w:p>
    <w:p w14:paraId="352787D1" w14:textId="77777777" w:rsidR="00E100F3" w:rsidRPr="0035519F" w:rsidRDefault="00E100F3" w:rsidP="007757AB">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426" w:firstLine="425"/>
        <w:jc w:val="both"/>
        <w:rPr>
          <w:rStyle w:val="tlid-translation"/>
          <w:rFonts w:ascii="Arial" w:hAnsi="Arial" w:cs="Arial"/>
          <w:sz w:val="24"/>
          <w:szCs w:val="24"/>
        </w:rPr>
      </w:pPr>
    </w:p>
    <w:p w14:paraId="489231AB" w14:textId="77777777" w:rsidR="00A00AE1" w:rsidRPr="0035519F" w:rsidRDefault="00A00AE1" w:rsidP="00E100F3">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noProof/>
        </w:rPr>
      </w:pPr>
    </w:p>
    <w:p w14:paraId="2B8857AC" w14:textId="4D81B5C4" w:rsidR="007757AB" w:rsidRPr="0035519F" w:rsidRDefault="001C440B" w:rsidP="006E0438">
      <w:pPr>
        <w:pStyle w:val="Caption"/>
        <w:ind w:left="1710" w:right="381" w:hanging="1170"/>
        <w:jc w:val="both"/>
        <w:rPr>
          <w:rStyle w:val="tlid-translation"/>
          <w:rFonts w:ascii="Arial" w:hAnsi="Arial" w:cs="Arial"/>
          <w:i w:val="0"/>
          <w:color w:val="auto"/>
          <w:sz w:val="24"/>
          <w:szCs w:val="20"/>
        </w:rPr>
      </w:pPr>
      <w:bookmarkStart w:id="27" w:name="_Toc72145922"/>
      <w:bookmarkStart w:id="28" w:name="_Toc73825361"/>
      <w:bookmarkStart w:id="29" w:name="_Toc73885915"/>
      <w:bookmarkStart w:id="30" w:name="_Toc111873690"/>
      <w:r w:rsidRPr="0035519F">
        <w:rPr>
          <w:rFonts w:ascii="Arial" w:hAnsi="Arial" w:cs="Arial"/>
          <w:i w:val="0"/>
          <w:color w:val="auto"/>
          <w:sz w:val="24"/>
          <w:szCs w:val="20"/>
        </w:rPr>
        <w:t xml:space="preserve">Gambar </w:t>
      </w:r>
      <w:r w:rsidRPr="0035519F">
        <w:rPr>
          <w:rFonts w:ascii="Arial" w:hAnsi="Arial" w:cs="Arial"/>
          <w:i w:val="0"/>
          <w:color w:val="auto"/>
          <w:sz w:val="24"/>
          <w:szCs w:val="20"/>
        </w:rPr>
        <w:fldChar w:fldCharType="begin"/>
      </w:r>
      <w:r w:rsidRPr="0035519F">
        <w:rPr>
          <w:rFonts w:ascii="Arial" w:hAnsi="Arial" w:cs="Arial"/>
          <w:i w:val="0"/>
          <w:color w:val="auto"/>
          <w:sz w:val="24"/>
          <w:szCs w:val="20"/>
        </w:rPr>
        <w:instrText xml:space="preserve"> SEQ Gambar \* ARABIC </w:instrText>
      </w:r>
      <w:r w:rsidRPr="0035519F">
        <w:rPr>
          <w:rFonts w:ascii="Arial" w:hAnsi="Arial" w:cs="Arial"/>
          <w:i w:val="0"/>
          <w:color w:val="auto"/>
          <w:sz w:val="24"/>
          <w:szCs w:val="20"/>
        </w:rPr>
        <w:fldChar w:fldCharType="separate"/>
      </w:r>
      <w:r w:rsidR="005B4074">
        <w:rPr>
          <w:rFonts w:ascii="Arial" w:hAnsi="Arial" w:cs="Arial"/>
          <w:i w:val="0"/>
          <w:noProof/>
          <w:color w:val="auto"/>
          <w:sz w:val="24"/>
          <w:szCs w:val="20"/>
        </w:rPr>
        <w:t>2</w:t>
      </w:r>
      <w:r w:rsidRPr="0035519F">
        <w:rPr>
          <w:rFonts w:ascii="Arial" w:hAnsi="Arial" w:cs="Arial"/>
          <w:i w:val="0"/>
          <w:color w:val="auto"/>
          <w:sz w:val="24"/>
          <w:szCs w:val="20"/>
        </w:rPr>
        <w:fldChar w:fldCharType="end"/>
      </w:r>
      <w:r w:rsidR="007757AB" w:rsidRPr="0035519F">
        <w:rPr>
          <w:rFonts w:ascii="Arial" w:hAnsi="Arial" w:cs="Arial"/>
          <w:i w:val="0"/>
          <w:color w:val="auto"/>
          <w:sz w:val="24"/>
          <w:szCs w:val="20"/>
        </w:rPr>
        <w:t>. Prevalensi Obesitas pada usia &gt; 18 tahun berdasarkan p</w:t>
      </w:r>
      <w:r w:rsidR="000A5835" w:rsidRPr="0035519F">
        <w:rPr>
          <w:rFonts w:ascii="Arial" w:hAnsi="Arial" w:cs="Arial"/>
          <w:i w:val="0"/>
          <w:color w:val="auto"/>
          <w:sz w:val="24"/>
          <w:szCs w:val="20"/>
        </w:rPr>
        <w:t>rovinsi di Indonesia tahun 2018</w:t>
      </w:r>
      <w:bookmarkEnd w:id="27"/>
      <w:bookmarkEnd w:id="28"/>
      <w:bookmarkEnd w:id="29"/>
      <w:r w:rsidR="004F465C" w:rsidRPr="0035519F">
        <w:rPr>
          <w:rFonts w:ascii="Arial" w:hAnsi="Arial" w:cs="Arial"/>
          <w:i w:val="0"/>
          <w:color w:val="auto"/>
          <w:sz w:val="24"/>
          <w:szCs w:val="20"/>
        </w:rPr>
        <w:t xml:space="preserve">, </w:t>
      </w:r>
      <w:r w:rsidR="00E73C55" w:rsidRPr="0035519F">
        <w:rPr>
          <w:rFonts w:ascii="Arial" w:hAnsi="Arial" w:cs="Arial"/>
          <w:i w:val="0"/>
          <w:color w:val="auto"/>
          <w:sz w:val="24"/>
          <w:szCs w:val="20"/>
        </w:rPr>
        <w:fldChar w:fldCharType="begin" w:fldLock="1"/>
      </w:r>
      <w:r w:rsidR="00D11F03" w:rsidRPr="0035519F">
        <w:rPr>
          <w:rFonts w:ascii="Arial" w:hAnsi="Arial" w:cs="Arial"/>
          <w:i w:val="0"/>
          <w:color w:val="auto"/>
          <w:sz w:val="24"/>
          <w:szCs w:val="20"/>
        </w:rPr>
        <w:instrText>ADDIN CSL_CITATION {"citationItems":[{"id":"ITEM-1","itemData":{"author":[{"dropping-particle":"","family":"Riskesdas","given":"","non-dropping-particle":"","parse-names":false,"suffix":""}],"container-title":"Kementerian Kesehatan RI","id":"ITEM-1","issued":{"date-parts":[["2018"]]},"page":"175-178","title":"Laporan Hasil Riset Kesehatan Dasar (Riskesdas) | Badan Penelitian dan Pengembangan Kesehatan","type":"article"},"uris":["http://www.mendeley.com/documents/?uuid=6de6e71e-d755-3c48-b91d-2e7ace75ac5e"]}],"mendeley":{"formattedCitation":"(Riskesdas, 2018)","plainTextFormattedCitation":"(Riskesdas, 2018)","previouslyFormattedCitation":"(Riskesdas, 2018)"},"properties":{"noteIndex":0},"schema":"https://github.com/citation-style-language/schema/raw/master/csl-citation.json"}</w:instrText>
      </w:r>
      <w:r w:rsidR="00E73C55" w:rsidRPr="0035519F">
        <w:rPr>
          <w:rFonts w:ascii="Arial" w:hAnsi="Arial" w:cs="Arial"/>
          <w:i w:val="0"/>
          <w:color w:val="auto"/>
          <w:sz w:val="24"/>
          <w:szCs w:val="20"/>
        </w:rPr>
        <w:fldChar w:fldCharType="separate"/>
      </w:r>
      <w:r w:rsidR="00D11F03" w:rsidRPr="0035519F">
        <w:rPr>
          <w:rFonts w:ascii="Arial" w:hAnsi="Arial" w:cs="Arial"/>
          <w:i w:val="0"/>
          <w:noProof/>
          <w:color w:val="auto"/>
          <w:sz w:val="24"/>
          <w:szCs w:val="20"/>
        </w:rPr>
        <w:t>(Riskesdas, 2018)</w:t>
      </w:r>
      <w:r w:rsidR="00E73C55" w:rsidRPr="0035519F">
        <w:rPr>
          <w:rFonts w:ascii="Arial" w:hAnsi="Arial" w:cs="Arial"/>
          <w:i w:val="0"/>
          <w:color w:val="auto"/>
          <w:sz w:val="24"/>
          <w:szCs w:val="20"/>
        </w:rPr>
        <w:fldChar w:fldCharType="end"/>
      </w:r>
      <w:r w:rsidR="0003017A" w:rsidRPr="0035519F">
        <w:rPr>
          <w:rFonts w:ascii="Arial" w:hAnsi="Arial" w:cs="Arial"/>
          <w:i w:val="0"/>
          <w:color w:val="auto"/>
          <w:sz w:val="24"/>
          <w:szCs w:val="20"/>
        </w:rPr>
        <w:t>.</w:t>
      </w:r>
      <w:bookmarkEnd w:id="30"/>
    </w:p>
    <w:p w14:paraId="28982033" w14:textId="77777777" w:rsidR="007757AB" w:rsidRPr="0035519F" w:rsidRDefault="007757AB" w:rsidP="00B124CB">
      <w:pPr>
        <w:pStyle w:val="ListParagraph"/>
        <w:numPr>
          <w:ilvl w:val="0"/>
          <w:numId w:val="25"/>
        </w:numPr>
        <w:spacing w:after="0" w:line="480" w:lineRule="auto"/>
        <w:ind w:left="426" w:hanging="426"/>
        <w:outlineLvl w:val="2"/>
        <w:rPr>
          <w:rFonts w:ascii="Arial" w:hAnsi="Arial" w:cs="Arial"/>
          <w:b/>
          <w:sz w:val="24"/>
          <w:szCs w:val="24"/>
        </w:rPr>
      </w:pPr>
      <w:bookmarkStart w:id="31" w:name="_Toc111022761"/>
      <w:r w:rsidRPr="0035519F">
        <w:rPr>
          <w:rFonts w:ascii="Arial" w:hAnsi="Arial" w:cs="Arial"/>
          <w:b/>
          <w:sz w:val="24"/>
          <w:szCs w:val="24"/>
        </w:rPr>
        <w:lastRenderedPageBreak/>
        <w:t>Etiologi</w:t>
      </w:r>
      <w:bookmarkEnd w:id="31"/>
      <w:r w:rsidRPr="0035519F">
        <w:rPr>
          <w:rFonts w:ascii="Arial" w:hAnsi="Arial" w:cs="Arial"/>
          <w:b/>
          <w:sz w:val="24"/>
          <w:szCs w:val="24"/>
        </w:rPr>
        <w:t xml:space="preserve"> </w:t>
      </w:r>
    </w:p>
    <w:p w14:paraId="6F181FA3" w14:textId="77777777" w:rsidR="001A5E69" w:rsidRPr="0035519F" w:rsidRDefault="000C50B6" w:rsidP="0003017A">
      <w:pPr>
        <w:pStyle w:val="BodyText"/>
        <w:spacing w:line="480" w:lineRule="auto"/>
        <w:ind w:left="426" w:right="32" w:firstLine="424"/>
        <w:jc w:val="both"/>
      </w:pPr>
      <w:r w:rsidRPr="0035519F">
        <w:t>Obesitas merupakan masalah kesehatan kompleks yang dihasilkan dari interaksi berbagai penyebab seperti usia dan jenis kelamin</w:t>
      </w:r>
      <w:r w:rsidR="00447B86" w:rsidRPr="0035519F">
        <w:t xml:space="preserve">, hormon </w:t>
      </w:r>
      <w:r w:rsidR="0003017A" w:rsidRPr="0035519F">
        <w:t>seks</w:t>
      </w:r>
      <w:r w:rsidRPr="0035519F">
        <w:t xml:space="preserve"> serta faktor individu seperti perilaku dan genetika. Perilaku dapat mencakup aktivitas fisik, pola diet, </w:t>
      </w:r>
      <w:r w:rsidR="00D0138A" w:rsidRPr="0035519F">
        <w:t>hormon,</w:t>
      </w:r>
      <w:r w:rsidR="00447B86" w:rsidRPr="0035519F">
        <w:t xml:space="preserve"> obat, dan paparan lainnya</w:t>
      </w:r>
      <w:r w:rsidR="004F465C" w:rsidRPr="0035519F">
        <w:t xml:space="preserve"> </w:t>
      </w:r>
      <w:r w:rsidRPr="0035519F">
        <w:fldChar w:fldCharType="begin" w:fldLock="1"/>
      </w:r>
      <w:r w:rsidR="004F465C" w:rsidRPr="0035519F">
        <w:instrText>ADDIN CSL_CITATION {"citationItems":[{"id":"ITEM-1","itemData":{"author":[{"dropping-particle":"","family":"CDC","given":"","non-dropping-particle":"","parse-names":false,"suffix":""}],"container-title":"Overweight and Obesity","id":"ITEM-1","issue":"2003","issued":{"date-parts":[["2020"]]},"page":"1-3","title":"Adult Obesity Causes &amp; Consequences","type":"article-journal","volume":"1141"},"uris":["http://www.mendeley.com/documents/?uuid=809556a6-6b68-326a-a353-b56110f1b7c7"]}],"mendeley":{"formattedCitation":"(CDC, 2020)","plainTextFormattedCitation":"(CDC, 2020)","previouslyFormattedCitation":"(CDC, 2020)"},"properties":{"noteIndex":0},"schema":"https://github.com/citation-style-language/schema/raw/master/csl-citation.json"}</w:instrText>
      </w:r>
      <w:r w:rsidRPr="0035519F">
        <w:fldChar w:fldCharType="separate"/>
      </w:r>
      <w:r w:rsidR="004F465C" w:rsidRPr="0035519F">
        <w:rPr>
          <w:noProof/>
        </w:rPr>
        <w:t>(CDC, 2020)</w:t>
      </w:r>
      <w:r w:rsidRPr="0035519F">
        <w:fldChar w:fldCharType="end"/>
      </w:r>
      <w:r w:rsidR="0003017A" w:rsidRPr="0035519F">
        <w:t>.</w:t>
      </w:r>
    </w:p>
    <w:p w14:paraId="0B82ABA0" w14:textId="77777777" w:rsidR="007757AB" w:rsidRPr="0035519F" w:rsidRDefault="007757AB" w:rsidP="0003017A">
      <w:pPr>
        <w:pStyle w:val="ListParagraph"/>
        <w:widowControl w:val="0"/>
        <w:numPr>
          <w:ilvl w:val="1"/>
          <w:numId w:val="28"/>
        </w:numPr>
        <w:tabs>
          <w:tab w:val="left" w:pos="2221"/>
        </w:tabs>
        <w:autoSpaceDE w:val="0"/>
        <w:autoSpaceDN w:val="0"/>
        <w:spacing w:after="0" w:line="480" w:lineRule="auto"/>
        <w:ind w:left="720" w:right="32" w:hanging="284"/>
        <w:contextualSpacing w:val="0"/>
        <w:jc w:val="both"/>
        <w:rPr>
          <w:rFonts w:ascii="Arial" w:hAnsi="Arial" w:cs="Arial"/>
          <w:sz w:val="24"/>
          <w:szCs w:val="24"/>
          <w:lang w:val="id-ID"/>
        </w:rPr>
      </w:pPr>
      <w:r w:rsidRPr="0035519F">
        <w:rPr>
          <w:rFonts w:ascii="Arial" w:hAnsi="Arial" w:cs="Arial"/>
          <w:sz w:val="24"/>
          <w:szCs w:val="24"/>
          <w:lang w:val="id-ID"/>
        </w:rPr>
        <w:t>Usia</w:t>
      </w:r>
    </w:p>
    <w:p w14:paraId="2EFED2E5" w14:textId="77777777" w:rsidR="001A5E69" w:rsidRPr="0035519F" w:rsidRDefault="001A5E69" w:rsidP="0003017A">
      <w:pPr>
        <w:pStyle w:val="BodyText"/>
        <w:spacing w:line="480" w:lineRule="auto"/>
        <w:ind w:left="709" w:right="32" w:firstLine="424"/>
        <w:jc w:val="both"/>
      </w:pPr>
      <w:r w:rsidRPr="0035519F">
        <w:t>Studi menunjukkan peningkatan obesitas secara signifikan pada usia dewasa bermula pada usia dibawah 5 tahun. Obesitas yang terjadi pada usia kanak-kanak juga berhubungan erat dengan kejadian obesitas pada usia dewasa, terutama pada orang tua yang memiliki obesitas. Terdapat data yang me</w:t>
      </w:r>
      <w:r w:rsidR="008061E5" w:rsidRPr="0035519F">
        <w:t xml:space="preserve">nunjukkan hubungan yang signifikan antara obesitas pada dewasa muda dengan kejadian obesitas berat pada dewasa tua. Oleh karena itu jika seseorang mengalami obesitas pada usia muda maka akan terjadi peningkatan risiko efek samping seperti </w:t>
      </w:r>
      <w:r w:rsidR="0003017A" w:rsidRPr="0035519F">
        <w:t>DM</w:t>
      </w:r>
      <w:r w:rsidR="004F465C" w:rsidRPr="0035519F">
        <w:t xml:space="preserve"> </w:t>
      </w:r>
      <w:r w:rsidR="005E7147" w:rsidRPr="0035519F">
        <w:fldChar w:fldCharType="begin" w:fldLock="1"/>
      </w:r>
      <w:r w:rsidR="00D11F03" w:rsidRPr="0035519F">
        <w:instrText>ADDIN CSL_CITATION {"citationItems":[{"id":"ITEM-1","itemData":{"DOI":"10.1016/B978-0-12-818839-2.00004-1","ISBN":"978-0-12-818839-2","abstract":"Obesity is a chronic disease and an increasing problem globally. The prevalence is increasing in all ages—children, adolescents, and adults—and is now considered an epidemic. Obesity affects almost all physiological functions of the body and has major health consequences including, but not limited to, mental health, cancer, cardiovascular disorders, and musculoskeletal disorders. All the above have negative effects on the individual, the economy, the quality of life, and work productivity.","author":[{"dropping-particle":"","family":"Mehrzad","given":"Raman","non-dropping-particle":"","parse-names":false,"suffix":""}],"container-title":"Obesity","id":"ITEM-1","issued":{"date-parts":[["2020","1","1"]]},"page":"43-54","publisher":"Elsevier","title":"Chapter 4 - Etiology of obesity","type":"chapter"},"uris":["http://www.mendeley.com/documents/?uuid=1f501f7e-608f-38de-ac20-080b3dfc39a0"]}],"mendeley":{"formattedCitation":"(Mehrzad, 2020)","plainTextFormattedCitation":"(Mehrzad, 2020)","previouslyFormattedCitation":"(Mehrzad, 2020)"},"properties":{"noteIndex":0},"schema":"https://github.com/citation-style-language/schema/raw/master/csl-citation.json"}</w:instrText>
      </w:r>
      <w:r w:rsidR="005E7147" w:rsidRPr="0035519F">
        <w:fldChar w:fldCharType="separate"/>
      </w:r>
      <w:r w:rsidR="00D11F03" w:rsidRPr="0035519F">
        <w:rPr>
          <w:noProof/>
        </w:rPr>
        <w:t>(Mehrzad, 2020)</w:t>
      </w:r>
      <w:r w:rsidR="005E7147" w:rsidRPr="0035519F">
        <w:fldChar w:fldCharType="end"/>
      </w:r>
      <w:r w:rsidR="0003017A" w:rsidRPr="0035519F">
        <w:t>.</w:t>
      </w:r>
    </w:p>
    <w:p w14:paraId="00ED76C2" w14:textId="77777777" w:rsidR="00A00AE1" w:rsidRPr="0035519F" w:rsidRDefault="007757AB" w:rsidP="0003017A">
      <w:pPr>
        <w:pStyle w:val="BodyText"/>
        <w:spacing w:line="480" w:lineRule="auto"/>
        <w:ind w:left="709" w:right="32" w:firstLine="424"/>
        <w:jc w:val="both"/>
        <w:rPr>
          <w:spacing w:val="1"/>
        </w:rPr>
      </w:pPr>
      <w:r w:rsidRPr="0035519F">
        <w:rPr>
          <w:spacing w:val="1"/>
        </w:rPr>
        <w:t xml:space="preserve">Prevalensi obesitas sentral lebih tinggi pada </w:t>
      </w:r>
      <w:r w:rsidR="0003017A" w:rsidRPr="0035519F">
        <w:rPr>
          <w:spacing w:val="1"/>
        </w:rPr>
        <w:t>usia</w:t>
      </w:r>
      <w:r w:rsidRPr="0035519F">
        <w:rPr>
          <w:spacing w:val="1"/>
        </w:rPr>
        <w:t xml:space="preserve"> tua karena penurunan massa otot dan perubahan beberapa jenis hormon yang memicu penumpukan lemak perut, selain itu juga terjadi perlambatan metabolisme, kurangnya aktivitas fisik dan frekuensi ko</w:t>
      </w:r>
      <w:r w:rsidR="0003017A" w:rsidRPr="0035519F">
        <w:rPr>
          <w:spacing w:val="1"/>
        </w:rPr>
        <w:t>nsumsi pangan yang lebih sering</w:t>
      </w:r>
      <w:r w:rsidR="004F465C" w:rsidRPr="0035519F">
        <w:rPr>
          <w:spacing w:val="1"/>
        </w:rPr>
        <w:t xml:space="preserve"> </w:t>
      </w:r>
      <w:r w:rsidRPr="0035519F">
        <w:rPr>
          <w:spacing w:val="1"/>
        </w:rPr>
        <w:fldChar w:fldCharType="begin" w:fldLock="1"/>
      </w:r>
      <w:r w:rsidR="00D11F03" w:rsidRPr="0035519F">
        <w:rPr>
          <w:spacing w:val="1"/>
        </w:rPr>
        <w:instrText>ADDIN CSL_CITATION {"citationItems":[{"id":"ITEM-1","itemData":{"DOI":"10.1056/NEJMra1514009","ISSN":"0028-4793","PMID":"28099824","abstract":"Seven of the top 10 leading causes of death and disability in the United States today are chronic diseases (e.g., cancer and diabetes).1 Preven- tion and treatment of most of these conditions must address the close link with obesity. People who are overweight or obese account for more than two thirds of the U.S. population1 and are overrepresented in primary care practices.2 Some professional organizations now classify obesity, defined as a body-mass index (BMI, the weight in kilograms divided by the square of the height in meters) of 30 or higher, as a disease.3 Management of overweight (BMI, ≥25) or obesity in the clinical setting, alone or in combination with a chronic disease, is the focus of this review","author":[{"dropping-particle":"","family":"Heymsfield","given":"Steven B.","non-dropping-particle":"","parse-names":false,"suffix":""},{"dropping-particle":"","family":"Wadden","given":"Thomas A.","non-dropping-particle":"","parse-names":false,"suffix":""}],"container-title":"New England Journal of Medicine","editor":[{"dropping-particle":"","family":"Longo","given":"Dan L.","non-dropping-particle":"","parse-names":false,"suffix":""}],"id":"ITEM-1","issue":"3","issued":{"date-parts":[["2017","1"]]},"page":"254-266","title":"Mechanisms, Pathophysiology, and Management of Obesity","type":"article-journal","volume":"376"},"uris":["http://www.mendeley.com/documents/?uuid=1b5f5de3-723a-4d40-b88f-6cb8da8c7fb9","http://www.mendeley.com/documents/?uuid=58a1fca0-8654-4c60-9caf-09aad35f26c7"]}],"mendeley":{"formattedCitation":"(Heymsfield and Wadden, 2017)","plainTextFormattedCitation":"(Heymsfield and Wadden, 2017)","previouslyFormattedCitation":"(Heymsfield and Wadden, 2017)"},"properties":{"noteIndex":0},"schema":"https://github.com/citation-style-language/schema/raw/master/csl-citation.json"}</w:instrText>
      </w:r>
      <w:r w:rsidRPr="0035519F">
        <w:rPr>
          <w:spacing w:val="1"/>
        </w:rPr>
        <w:fldChar w:fldCharType="separate"/>
      </w:r>
      <w:r w:rsidR="00D11F03" w:rsidRPr="0035519F">
        <w:rPr>
          <w:noProof/>
          <w:spacing w:val="1"/>
        </w:rPr>
        <w:t>(Heymsfield and Wadden, 2017)</w:t>
      </w:r>
      <w:r w:rsidRPr="0035519F">
        <w:rPr>
          <w:spacing w:val="1"/>
        </w:rPr>
        <w:fldChar w:fldCharType="end"/>
      </w:r>
      <w:r w:rsidR="0003017A" w:rsidRPr="0035519F">
        <w:rPr>
          <w:spacing w:val="1"/>
        </w:rPr>
        <w:t>.</w:t>
      </w:r>
    </w:p>
    <w:p w14:paraId="30F1A29B" w14:textId="77777777" w:rsidR="007757AB" w:rsidRPr="0035519F" w:rsidRDefault="007757AB" w:rsidP="0003017A">
      <w:pPr>
        <w:pStyle w:val="BodyText"/>
        <w:spacing w:line="480" w:lineRule="auto"/>
        <w:ind w:left="709" w:right="32" w:firstLine="424"/>
        <w:jc w:val="both"/>
        <w:rPr>
          <w:lang w:val="id-ID"/>
        </w:rPr>
      </w:pPr>
      <w:r w:rsidRPr="0035519F">
        <w:rPr>
          <w:spacing w:val="1"/>
        </w:rPr>
        <w:t xml:space="preserve"> </w:t>
      </w:r>
    </w:p>
    <w:p w14:paraId="40F7DBA4" w14:textId="77777777" w:rsidR="007757AB" w:rsidRPr="0035519F" w:rsidRDefault="007757AB" w:rsidP="0003017A">
      <w:pPr>
        <w:pStyle w:val="ListParagraph"/>
        <w:widowControl w:val="0"/>
        <w:numPr>
          <w:ilvl w:val="1"/>
          <w:numId w:val="28"/>
        </w:numPr>
        <w:tabs>
          <w:tab w:val="left" w:pos="2221"/>
        </w:tabs>
        <w:autoSpaceDE w:val="0"/>
        <w:autoSpaceDN w:val="0"/>
        <w:spacing w:after="0" w:line="480" w:lineRule="auto"/>
        <w:ind w:left="709" w:right="32" w:hanging="284"/>
        <w:contextualSpacing w:val="0"/>
        <w:jc w:val="both"/>
        <w:rPr>
          <w:rFonts w:ascii="Arial" w:hAnsi="Arial" w:cs="Arial"/>
          <w:sz w:val="24"/>
          <w:szCs w:val="24"/>
          <w:lang w:val="id-ID"/>
        </w:rPr>
      </w:pPr>
      <w:r w:rsidRPr="0035519F">
        <w:rPr>
          <w:rFonts w:ascii="Arial" w:hAnsi="Arial" w:cs="Arial"/>
          <w:sz w:val="24"/>
          <w:szCs w:val="24"/>
          <w:lang w:val="id-ID"/>
        </w:rPr>
        <w:lastRenderedPageBreak/>
        <w:t>Jenis</w:t>
      </w:r>
      <w:r w:rsidRPr="0035519F">
        <w:rPr>
          <w:rFonts w:ascii="Arial" w:hAnsi="Arial" w:cs="Arial"/>
          <w:spacing w:val="-1"/>
          <w:sz w:val="24"/>
          <w:szCs w:val="24"/>
          <w:lang w:val="id-ID"/>
        </w:rPr>
        <w:t xml:space="preserve"> </w:t>
      </w:r>
      <w:r w:rsidRPr="0035519F">
        <w:rPr>
          <w:rFonts w:ascii="Arial" w:hAnsi="Arial" w:cs="Arial"/>
          <w:sz w:val="24"/>
          <w:szCs w:val="24"/>
          <w:lang w:val="id-ID"/>
        </w:rPr>
        <w:t>kelamin</w:t>
      </w:r>
    </w:p>
    <w:p w14:paraId="7FB204EB" w14:textId="77777777" w:rsidR="007757AB" w:rsidRPr="0035519F" w:rsidRDefault="000C50B6" w:rsidP="0003017A">
      <w:pPr>
        <w:spacing w:after="0" w:line="480" w:lineRule="auto"/>
        <w:ind w:left="709" w:right="32" w:firstLine="426"/>
        <w:jc w:val="both"/>
        <w:rPr>
          <w:rFonts w:ascii="Arial" w:hAnsi="Arial" w:cs="Arial"/>
          <w:sz w:val="24"/>
          <w:szCs w:val="24"/>
        </w:rPr>
      </w:pPr>
      <w:r w:rsidRPr="0035519F">
        <w:rPr>
          <w:rFonts w:ascii="Arial" w:hAnsi="Arial" w:cs="Arial"/>
          <w:sz w:val="24"/>
          <w:szCs w:val="24"/>
        </w:rPr>
        <w:t>Wanita cenderung akan mengalami peningkata</w:t>
      </w:r>
      <w:r w:rsidR="0003017A" w:rsidRPr="0035519F">
        <w:rPr>
          <w:rFonts w:ascii="Arial" w:hAnsi="Arial" w:cs="Arial"/>
          <w:sz w:val="24"/>
          <w:szCs w:val="24"/>
        </w:rPr>
        <w:t>n berat badan setelah menopause</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{"citationItems":[{"id":"ITEM-1","itemData":{"DOI":"10.1038/sj.ejcn.1602266","ISSN":"1476-5640","PMID":"16132057","abstract":"To understand tracking of overweight status from childhood to young adulthood in a biracial sample. A longitudinal sample was created from cross-sectional surveys at two time points, childhood (baseline) and young adulthood (follow-up). Bogalusa Heart Study, Louisiana, United States of America. A total of 841 young adults, 19–35 years (68% Euro-Americans (EA), 32% African-Americans (AA)) were studied. The same subjects had also participated in one of the five cross-sectional surveys at childhood (9–11 years). Body mass index (BMI) was used to determine overweight status as per the Centers for Disease Control and Prevention standards. Change in the BMI status from childhood to young adulthood was used to group the participants into the following categories: normal weight to normal weight (NW-NW); normal weight to overweight (NW-OW); overweight to normal weight (OW-NW); and overweight to overweight (OW-OW). Tracking of overweight was defined by (1) correlations between baseline and follow-up BMI, (2) Cohen's kappa concordance test to determine the strength of tracking in BMI quartiles and (3) the percentage of individuals who remained in the same overweight status group from baseline to follow-up. From baseline to follow-up, the percentage of participants who were overweight increased from 24.7 to 57.7%. A total of 35.2% of the children shifted from normal weight in childhood to overweight in young adulthood (P&lt;0.0005). Baseline BMI was positively correlated with follow-up BMI (r=0.66, P&lt;0.0005). A total of 61.9% of the participants in the highest BMI quartile in childhood remained in the highest BMI quartile in young adulthood. The strength of tracking in BMI quartiles was 27% for EA men (P&lt;0.0005), 23% for EA women (P&lt;0.0005), 27% for AA men (P&lt;0.0005) and 35% for AA women (P&lt;0.0005). A total of 53.7% of the EA women remained in the NW-NW category and 31.2% of the AA women remained in the OW-OW category. The percentage tracking (NW-NW and OW-OW) was 72.8% in EA women, 59.6% in AA men, 59.5% in AA women and 48.8% in EA men (P&lt;0.0001). Childhood overweight tracked into young adulthood in this sample and the tracking of NW-NW and OW-OW was the most prominent among the EA women.","author":[{"dropping-particle":"","family":"Deshmukh-Taskar","given":"P.","non-dropping-particle":"","parse-names":false,"suffix":""},{"dropping-particle":"","family":"Nicklas","given":"T. A.","non-dropping-particle":"","parse-names":false,"suffix":""},{"dropping-particle":"","family":"Morales","given":"M.","non-dropping-particle":"","parse-names":false,"suffix":""},{"dropping-particle":"","family":"Yang","given":"S. J.","non-dropping-particle":"","parse-names":false,"suffix":""},{"dropping-particle":"","family":"Zakeri","given":"I.","non-dropping-particle":"","parse-names":false,"suffix":""},{"dropping-particle":"","family":"Berenson","given":"G. S.","non-dropping-particle":"","parse-names":false,"suffix":""}],"container-title":"European Journal of Clinical Nutrition 2006 60:1","id":"ITEM-1","issue":"1","issued":{"date-parts":[["2005","8","31"]]},"page":"48-57","publisher":"Nature Publishing Group","title":"Tracking of overweight status from childhood to young adulthood: the Bogalusa Heart Study","type":"article-journal","volume":"60"},"uris":["http://www.mendeley.com/documents/?uuid=8f7f1109-3e9c-3a77-9e58-d4dfec954afa"]}],"mendeley":{"formattedCitation":"(Deshmukh-Taskar &lt;i&gt;et al.&lt;/i&gt;, 2005)","plainTextFormattedCitation":"(Deshmukh-Taskar et al., 2005)","previouslyFormattedCitation":"(Deshmukh-Taskar &lt;i&gt;et al.&lt;/i&gt;, 2005)"},"properties":{"noteIndex":0},"schema":"https://github.com/citation-style-language/schema/raw/master/csl-citation.json"}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 xml:space="preserve">(Deshmukh-Taskar </w:t>
      </w:r>
      <w:r w:rsidR="00D11F03" w:rsidRPr="0035519F">
        <w:rPr>
          <w:rFonts w:ascii="Arial" w:hAnsi="Arial" w:cs="Arial"/>
          <w:i/>
          <w:noProof/>
          <w:sz w:val="24"/>
          <w:szCs w:val="24"/>
        </w:rPr>
        <w:t>et al.</w:t>
      </w:r>
      <w:r w:rsidR="00D11F03" w:rsidRPr="0035519F">
        <w:rPr>
          <w:rFonts w:ascii="Arial" w:hAnsi="Arial" w:cs="Arial"/>
          <w:noProof/>
          <w:sz w:val="24"/>
          <w:szCs w:val="24"/>
        </w:rPr>
        <w:t>, 2005)</w:t>
      </w:r>
      <w:r w:rsidRPr="0035519F">
        <w:rPr>
          <w:rFonts w:ascii="Arial" w:hAnsi="Arial" w:cs="Arial"/>
          <w:sz w:val="24"/>
          <w:szCs w:val="24"/>
        </w:rPr>
        <w:fldChar w:fldCharType="end"/>
      </w:r>
      <w:r w:rsidR="0003017A" w:rsidRPr="0035519F">
        <w:rPr>
          <w:rFonts w:ascii="Arial" w:hAnsi="Arial" w:cs="Arial"/>
          <w:sz w:val="24"/>
          <w:szCs w:val="24"/>
        </w:rPr>
        <w:t>.</w:t>
      </w:r>
      <w:r w:rsidRPr="0035519F">
        <w:rPr>
          <w:rFonts w:ascii="Arial" w:hAnsi="Arial" w:cs="Arial"/>
          <w:sz w:val="24"/>
          <w:szCs w:val="24"/>
        </w:rPr>
        <w:t xml:space="preserve"> Terdapat hubungan yang bermakna antara </w:t>
      </w:r>
      <w:r w:rsidR="00450B72" w:rsidRPr="0035519F">
        <w:rPr>
          <w:rFonts w:ascii="Arial" w:hAnsi="Arial" w:cs="Arial"/>
          <w:sz w:val="24"/>
          <w:szCs w:val="24"/>
        </w:rPr>
        <w:t>IMT</w:t>
      </w:r>
      <w:r w:rsidRPr="0035519F">
        <w:rPr>
          <w:rFonts w:ascii="Arial" w:hAnsi="Arial" w:cs="Arial"/>
          <w:sz w:val="24"/>
          <w:szCs w:val="24"/>
        </w:rPr>
        <w:t xml:space="preserve"> pada orang de</w:t>
      </w:r>
      <w:r w:rsidR="0003017A" w:rsidRPr="0035519F">
        <w:rPr>
          <w:rFonts w:ascii="Arial" w:hAnsi="Arial" w:cs="Arial"/>
          <w:sz w:val="24"/>
          <w:szCs w:val="24"/>
        </w:rPr>
        <w:t>wasa dengan onset awal pubertas</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{"citationItems":[{"id":"ITEM-1","itemData":{"DOI":"10.1038/s41366-018-0048-7","ISSN":"1476-5497","PMID":"29549348","abstract":"Pubertal timing has psychological and physical sequelae. While observational studies have demonstrated an association between age at menarche and adult body mass index (BMI), confounding makes it difficult to infer causality. The Mendelian randomization (MR) technique is not limited by traditional confounding and was used to investigate the presence of a causal effect of age at menarche on adult BMI. MR uses genetic variants as instruments under the assumption that they act on BMI only through age at menarche (no pleiotropy). Using a two-sample MR approach, heterogeneity between the MR estimates from individual instruments was used as a proxy for pleiotropy, with sensitivity analyses performed if detected. Genetic instruments and estimates of their association with age at menarche were obtained from a genome-wide association meta-analysis on 182,416 women. The genetic effects on adult BMI were estimated using data on 80,465 women from the UK Biobank. The presence of a causal effect of age at menarche on adult BMI was further investigated using data on 70,692 women from the GIANT Consortium. There was evidence of pleiotropy among instruments. Using the UK Biobank data, after removing instruments associated with childhood BMI that were likely exerting pleiotropy, fixed-effect meta-analysis across instruments demonstrated that a 1 year increase in age at menarche reduces adult BMI by 0.38 kg/m2 (95% CI 0.25–0.51 kg/m2). However, evidence of pleiotropy remained. MR-Egger regression did not suggest directional bias, and similar estimates to the fixed-effect meta-analysis were obtained in sensitivity analyses when using a random-effect model, multivariable MR, MR-Egger regression, a weighted median estimator and a weighted mode-based estimator. The direction and significance of the causal effect were replicated using GIANT Consortium data. MR provides evidence to support the hypothesis that earlier age at menarche causes higher adult BMI. Complex hormonal and psychological factors may be responsible.","author":[{"dropping-particle":"","family":"Gill","given":"Dipender","non-dropping-particle":"","parse-names":false,"suffix":""},{"dropping-particle":"","family":"Brewer","given":"Christopher F.","non-dropping-particle":"","parse-names":false,"suffix":""},{"dropping-particle":"","family":"Greco M","given":"Fabiola","non-dropping-particle":"Del","parse-names":false,"suffix":""},{"dropping-particle":"","family":"Sivakumaran","given":"Prasanthi","non-dropping-particle":"","parse-names":false,"suffix":""},{"dropping-particle":"","family":"Bowden","given":"Jack","non-dropping-particle":"","parse-names":false,"suffix":""},{"dropping-particle":"","family":"Sheehan","given":"Nuala A.","non-dropping-particle":"","parse-names":false,"suffix":""},{"dropping-particle":"","family":"Minelli","given":"Cosetta","non-dropping-particle":"","parse-names":false,"suffix":""}],"container-title":"International Journal of Obesity 2018 42:9","id":"ITEM-1","issue":"9","issued":{"date-parts":[["2018","2","26"]]},"page":"1574-1581","publisher":"Nature Publishing Group","title":"Age at menarche and adult body mass index: a Mendelian randomization study","type":"article-journal","volume":"42"},"uris":["http://www.mendeley.com/documents/?uuid=3588a636-73be-312b-9777-04f7a92dd6e3"]}],"mendeley":{"formattedCitation":"(Gill &lt;i&gt;et al.&lt;/i&gt;, 2018)","plainTextFormattedCitation":"(Gill et al., 2018)","previouslyFormattedCitation":"(Gill &lt;i&gt;et al.&lt;/i&gt;, 2018)"},"properties":{"noteIndex":0},"schema":"https://github.com/citation-style-language/schema/raw/master/csl-citation.json"}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 xml:space="preserve">(Gill </w:t>
      </w:r>
      <w:r w:rsidR="00D11F03" w:rsidRPr="0035519F">
        <w:rPr>
          <w:rFonts w:ascii="Arial" w:hAnsi="Arial" w:cs="Arial"/>
          <w:i/>
          <w:noProof/>
          <w:sz w:val="24"/>
          <w:szCs w:val="24"/>
        </w:rPr>
        <w:t>et al.</w:t>
      </w:r>
      <w:r w:rsidR="00D11F03" w:rsidRPr="0035519F">
        <w:rPr>
          <w:rFonts w:ascii="Arial" w:hAnsi="Arial" w:cs="Arial"/>
          <w:noProof/>
          <w:sz w:val="24"/>
          <w:szCs w:val="24"/>
        </w:rPr>
        <w:t>, 2018)</w:t>
      </w:r>
      <w:r w:rsidRPr="0035519F">
        <w:rPr>
          <w:rFonts w:ascii="Arial" w:hAnsi="Arial" w:cs="Arial"/>
          <w:sz w:val="24"/>
          <w:szCs w:val="24"/>
        </w:rPr>
        <w:fldChar w:fldCharType="end"/>
      </w:r>
      <w:r w:rsidR="0003017A" w:rsidRPr="0035519F">
        <w:rPr>
          <w:rFonts w:ascii="Arial" w:hAnsi="Arial" w:cs="Arial"/>
          <w:sz w:val="24"/>
          <w:szCs w:val="24"/>
        </w:rPr>
        <w:t>.</w:t>
      </w:r>
      <w:r w:rsidRPr="0035519F">
        <w:rPr>
          <w:rFonts w:ascii="Arial" w:hAnsi="Arial" w:cs="Arial"/>
          <w:sz w:val="24"/>
          <w:szCs w:val="24"/>
        </w:rPr>
        <w:t xml:space="preserve"> Kenaikan berat badan ini juga dapat dipicu oleh kondisi kehamilan pada wanita. Kenaikan berat badan dalam kehamilan merupakan hal yang umum terjadi, hal tersebut diakibatkan oleh pertumbuhan bayi dan penambahan cairan tubuh yang dibutuhkan untuk sirkulasi janin, pembet</w:t>
      </w:r>
      <w:r w:rsidR="0003017A" w:rsidRPr="0035519F">
        <w:rPr>
          <w:rFonts w:ascii="Arial" w:hAnsi="Arial" w:cs="Arial"/>
          <w:sz w:val="24"/>
          <w:szCs w:val="24"/>
        </w:rPr>
        <w:t>ukan cairan amnion dan plasenta</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{"citationItems":[{"id":"ITEM-1","itemData":{"DOI":"10.1016/B978-0-12-818839-2.00004-1","ISBN":"978-0-12-818839-2","abstract":"Obesity is a chronic disease and an increasing problem globally. The prevalence is increasing in all ages—children, adolescents, and adults—and is now considered an epidemic. Obesity affects almost all physiological functions of the body and has major health consequences including, but not limited to, mental health, cancer, cardiovascular disorders, and musculoskeletal disorders. All the above have negative effects on the individual, the economy, the quality of life, and work productivity.","author":[{"dropping-particle":"","family":"Mehrzad","given":"Raman","non-dropping-particle":"","parse-names":false,"suffix":""}],"container-title":"Obesity","id":"ITEM-1","issued":{"date-parts":[["2020","1","1"]]},"page":"43-54","publisher":"Elsevier","title":"Chapter 4 - Etiology of obesity","type":"chapter"},"uris":["http://www.mendeley.com/documents/?uuid=1f501f7e-608f-38de-ac20-080b3dfc39a0"]}],"mendeley":{"formattedCitation":"(Mehrzad, 2020)","plainTextFormattedCitation":"(Mehrzad, 2020)","previouslyFormattedCitation":"(Mehrzad, 2020)"},"properties":{"noteIndex":0},"schema":"https://github.com/citation-style-language/schema/raw/master/csl-citation.json"}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(Mehrzad, 2020)</w:t>
      </w:r>
      <w:r w:rsidRPr="0035519F">
        <w:rPr>
          <w:rFonts w:ascii="Arial" w:hAnsi="Arial" w:cs="Arial"/>
          <w:sz w:val="24"/>
          <w:szCs w:val="24"/>
        </w:rPr>
        <w:fldChar w:fldCharType="end"/>
      </w:r>
      <w:r w:rsidR="0003017A" w:rsidRPr="0035519F">
        <w:rPr>
          <w:rFonts w:ascii="Arial" w:hAnsi="Arial" w:cs="Arial"/>
          <w:sz w:val="24"/>
          <w:szCs w:val="24"/>
        </w:rPr>
        <w:t>.</w:t>
      </w:r>
      <w:r w:rsidRPr="0035519F">
        <w:rPr>
          <w:rFonts w:ascii="Arial" w:hAnsi="Arial" w:cs="Arial"/>
          <w:sz w:val="24"/>
          <w:szCs w:val="24"/>
        </w:rPr>
        <w:t xml:space="preserve"> Peningkatan berat badan ringan </w:t>
      </w:r>
      <w:r w:rsidR="0005295A" w:rsidRPr="0035519F">
        <w:rPr>
          <w:rFonts w:ascii="Arial" w:hAnsi="Arial" w:cs="Arial"/>
          <w:sz w:val="24"/>
          <w:szCs w:val="24"/>
        </w:rPr>
        <w:t>sentral</w:t>
      </w:r>
      <w:r w:rsidRPr="0035519F">
        <w:rPr>
          <w:rFonts w:ascii="Arial" w:hAnsi="Arial" w:cs="Arial"/>
          <w:sz w:val="24"/>
          <w:szCs w:val="24"/>
        </w:rPr>
        <w:t xml:space="preserve"> terjadi pada w</w:t>
      </w:r>
      <w:r w:rsidR="0003017A" w:rsidRPr="0035519F">
        <w:rPr>
          <w:rFonts w:ascii="Arial" w:hAnsi="Arial" w:cs="Arial"/>
          <w:sz w:val="24"/>
          <w:szCs w:val="24"/>
        </w:rPr>
        <w:t>anita setelah kehamilan pertama</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{"citationItems":[{"id":"ITEM-1","itemData":{"DOI":"10.1097/00006254-199501000-00003","ISSN":"15339866","abstract":"Objective. —To examine the longitudinal associations between a pregnancy and persistent changes in adiposity in young black and white women. Design. —Prospective cohort study with 5 years of follow-up. Setting. —Participants recruited by community-based sampling (Birmingham, Ala; Chicago, Ill; and Minneapolis, Minn) and through the membership of a large prepaid health care plan (Oakland, Calif). Participants. —A total of 2788 women (53% black) aged 18 through 30 years were assessed at baseline (1985 through 1986) and reassessed at examination 2 (91% retention; 1987 through 1988) and examination 3 (86% retention; 1990 through 1991). Women who remained nulliparous (n=925) during the 5-year follow-up were compared with women who had a single pregnancy of 28 weeks' duration during that period and who were at least 12 months postpartum at follow-up (primiparas, n=89; multiparas, n=114). Main Outcome Measures. —Change in body weight and in waist-to-hip ratio during the 5-year period. Analyses were adjusted for demographic factors (age and education), behavioral variables (smoking and physical activity), and baseline level of adiposity. Results. —Primiparas within both race groups gained 2 to 3 kg more weight during the 5-year period than did nulliparas in both adjusted and unadjusted analyses. Primiparas also had greater increases in waist-to-hip ratio that were independent of weight gain. Multiparas did not differ from nulliparas in adiposity change in either race group. At each level of parity, black women demonstrated greater adverse changes in adiposity than did white women. Conclusions. —These data suggest that women experience modest but adverse increases in body weight and fat distribution after a first pregnancy and that these changes are persistent. (JAMA. 1994;271:1747-1751)","author":[{"dropping-particle":"","family":"Smith","given":"Delia E.","non-dropping-particle":"","parse-names":false,"suffix":""},{"dropping-particle":"","family":"Lewis","given":"Cora E.","non-dropping-particle":"","parse-names":false,"suffix":""},{"dropping-particle":"","family":"Caveny","given":"Jennifer L.","non-dropping-particle":"","parse-names":false,"suffix":""},{"dropping-particle":"","family":"Perkins","given":"Laura L.","non-dropping-particle":"","parse-names":false,"suffix":""},{"dropping-particle":"","family":"Burke","given":"Gregory L.","non-dropping-particle":"","parse-names":false,"suffix":""},{"dropping-particle":"","family":"Bild","given":"Diane E.","non-dropping-particle":"","parse-names":false,"suffix":""}],"container-title":"Obstetrical and Gynecological Survey","id":"ITEM-1","issue":"1","issued":{"date-parts":[["1995","6","8"]]},"page":"4-6","publisher":"American Medical Association","title":"Longitudinal changes in adiposity associated with pregnancy: The cardia study","type":"article-journal","volume":"50"},"uris":["http://www.mendeley.com/documents/?uuid=5c53bd33-6e0e-3301-8e1b-0cfb0f1cffc8"]}],"mendeley":{"formattedCitation":"(Smith &lt;i&gt;et al.&lt;/i&gt;, 1995)","plainTextFormattedCitation":"(Smith et al., 1995)","previouslyFormattedCitation":"(Smith &lt;i&gt;et al.&lt;/i&gt;, 1995)"},"properties":{"noteIndex":0},"schema":"https://github.com/citation-style-language/schema/raw/master/csl-citation.json"}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 xml:space="preserve">(Smith </w:t>
      </w:r>
      <w:r w:rsidR="00D11F03" w:rsidRPr="0035519F">
        <w:rPr>
          <w:rFonts w:ascii="Arial" w:hAnsi="Arial" w:cs="Arial"/>
          <w:i/>
          <w:noProof/>
          <w:sz w:val="24"/>
          <w:szCs w:val="24"/>
        </w:rPr>
        <w:t>et al.</w:t>
      </w:r>
      <w:r w:rsidR="00D11F03" w:rsidRPr="0035519F">
        <w:rPr>
          <w:rFonts w:ascii="Arial" w:hAnsi="Arial" w:cs="Arial"/>
          <w:noProof/>
          <w:sz w:val="24"/>
          <w:szCs w:val="24"/>
        </w:rPr>
        <w:t>, 1995)</w:t>
      </w:r>
      <w:r w:rsidRPr="0035519F">
        <w:rPr>
          <w:rFonts w:ascii="Arial" w:hAnsi="Arial" w:cs="Arial"/>
          <w:sz w:val="24"/>
          <w:szCs w:val="24"/>
        </w:rPr>
        <w:fldChar w:fldCharType="end"/>
      </w:r>
      <w:r w:rsidR="0003017A" w:rsidRPr="0035519F">
        <w:rPr>
          <w:rFonts w:ascii="Arial" w:hAnsi="Arial" w:cs="Arial"/>
          <w:sz w:val="24"/>
          <w:szCs w:val="24"/>
        </w:rPr>
        <w:t>.</w:t>
      </w:r>
    </w:p>
    <w:p w14:paraId="6B73A7E6" w14:textId="77777777" w:rsidR="000C50B6" w:rsidRPr="0035519F" w:rsidRDefault="000C50B6" w:rsidP="0003017A">
      <w:pPr>
        <w:spacing w:after="0" w:line="480" w:lineRule="auto"/>
        <w:ind w:left="709" w:right="32" w:firstLine="426"/>
        <w:jc w:val="both"/>
        <w:rPr>
          <w:rFonts w:ascii="Arial" w:hAnsi="Arial" w:cs="Arial"/>
          <w:sz w:val="24"/>
          <w:szCs w:val="24"/>
        </w:rPr>
      </w:pPr>
      <w:r w:rsidRPr="0035519F">
        <w:rPr>
          <w:rFonts w:ascii="Arial" w:hAnsi="Arial" w:cs="Arial"/>
          <w:sz w:val="24"/>
          <w:szCs w:val="24"/>
        </w:rPr>
        <w:t>Peningkatan berat badan pada pria dapat berlangsung hingga dekade keenam kehidupan. Setelah usia 55–64 tahun, kenaikan berat badan cenderung stabil dan lama kelamaan akan mulai menurun.</w:t>
      </w:r>
      <w:r w:rsidRPr="0035519F">
        <w:t xml:space="preserve"> </w:t>
      </w:r>
      <w:r w:rsidRPr="0035519F">
        <w:rPr>
          <w:rFonts w:ascii="Arial" w:hAnsi="Arial" w:cs="Arial"/>
          <w:sz w:val="24"/>
          <w:szCs w:val="24"/>
        </w:rPr>
        <w:t xml:space="preserve">Terdapat hubungan antara kenaikan berat badan pada pria saat beralih dari gaya hidup aktif selama remaja dan dewasa muda ke gaya hidup </w:t>
      </w:r>
      <w:r w:rsidRPr="0035519F">
        <w:rPr>
          <w:rFonts w:ascii="Arial" w:hAnsi="Arial" w:cs="Arial"/>
          <w:i/>
          <w:sz w:val="24"/>
          <w:szCs w:val="24"/>
        </w:rPr>
        <w:t>sedentary</w:t>
      </w:r>
      <w:r w:rsidRPr="0035519F">
        <w:rPr>
          <w:rFonts w:ascii="Arial" w:hAnsi="Arial" w:cs="Arial"/>
          <w:sz w:val="24"/>
          <w:szCs w:val="24"/>
        </w:rPr>
        <w:t>.</w:t>
      </w:r>
      <w:r w:rsidRPr="0035519F">
        <w:t xml:space="preserve"> </w:t>
      </w:r>
      <w:r w:rsidRPr="0035519F">
        <w:rPr>
          <w:rFonts w:ascii="Arial" w:hAnsi="Arial" w:cs="Arial"/>
          <w:sz w:val="24"/>
          <w:szCs w:val="24"/>
        </w:rPr>
        <w:t>Penurunan kadar testosteron pada pria dikaitkan dengan penurunan massa otot dan peningkatan</w:t>
      </w:r>
      <w:r w:rsidR="0003017A" w:rsidRPr="0035519F">
        <w:rPr>
          <w:rFonts w:ascii="Arial" w:hAnsi="Arial" w:cs="Arial"/>
          <w:sz w:val="24"/>
          <w:szCs w:val="24"/>
        </w:rPr>
        <w:t xml:space="preserve"> massa lemak pada pria usia tua</w:t>
      </w:r>
      <w:r w:rsidR="004F465C"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{"citationItems":[{"id":"ITEM-1","itemData":{"DOI":"10.1210/jc.2011-0312","ISSN":"0021972X","PMID":"21976718","abstract":"Context: Little information exists about longitudinal changes in body composition and physical function in relation to sex hormone levels in older men. Objective: The aim of the study was to determine associations of testosterone, estradiol, and SHBG with changes in body composition and physical function. Design and Setting: We conducted a prospective cohort study within the Osteoporotic Fractures in Men (MrOS) study at six U.S. clinical centers. Participants: A total of 5994 ambulatory men aged 65 yr or older enrolled in the MrOS. We examined 1183 men with complete measures of sex steroid hormones, body composition, and some measure of physical function. Intervention: There were no interventions. Main Outcome Measure(s): Sex steroids were measured by mass spectrometry in serum collected at baseline. Measurements of body composition using dual-energy x-ray absorptiometry and physical performance (grip strength, leg power, timed chair stands, narrow walk, and 6-m walk) were performed at baseline and repeated 4.5 yr later. Results: Overall, men lost 1.3 kg (±4.4 SD) weight between study visits. Lean mass, especially appendicular, declined less at higher baseline testosterone levels (P &lt; 0.05). These associations were most evident in the40%ofmenwholost more than 2.0 kg during follow-up. In weight losers, higher testosterone was associated with less decline in timed chair stands. Estradiol was not related to body composition or physical function changes. Higher SHBG was associated with less loss of appendicular lean mass and grip strength. Conclusions: Higher endogenous testosterone is associated with reduced loss of lean mass and lower extremity function in older men losing weight. Endogenous testosterone may contribute to healthy aging. Copyright © 2011 by The Endocrine Society.","author":[{"dropping-particle":"","family":"LeBlanc","given":"Erin S.","non-dropping-particle":"","parse-names":false,"suffix":""},{"dropping-particle":"","family":"Wang","given":"Patty Y.","non-dropping-particle":"","parse-names":false,"suffix":""},{"dropping-particle":"","family":"Lee","given":"Christine G.","non-dropping-particle":"","parse-names":false,"suffix":""},{"dropping-particle":"","family":"Barrett-Connor","given":"Elizabeth","non-dropping-particle":"","parse-names":false,"suffix":""},{"dropping-particle":"","family":"Cauley","given":"Jane A.","non-dropping-particle":"","parse-names":false,"suffix":""},{"dropping-particle":"","family":"Hoffman","given":"Andrew R.","non-dropping-particle":"","parse-names":false,"suffix":""},{"dropping-particle":"","family":"Laughlin","given":"Gail A.","non-dropping-particle":"","parse-names":false,"suffix":""},{"dropping-particle":"","family":"Marshall","given":"Lynn M.","non-dropping-particle":"","parse-names":false,"suffix":""},{"dropping-particle":"","family":"Orwoll","given":"Eric S.","non-dropping-particle":"","parse-names":false,"suffix":""}],"container-title":"Journal of Clinical Endocrinology and Metabolism","id":"ITEM-1","issue":"12","issued":{"date-parts":[["2011","12"]]},"page":"3855-3863","publisher":"The Endocrine Society","title":"Higher testosterone levels are associated with less loss of lean body mass in older men","type":"article-journal","volume":"96"},"uris":["http://www.mendeley.com/documents/?uuid=ab532944-9057-3d5a-b245-7b739636737b"]}],"mendeley":{"formattedCitation":"(LeBlanc &lt;i&gt;et al.&lt;/i&gt;, 2011)","plainTextFormattedCitation":"(LeBlanc et al., 2011)","previouslyFormattedCitation":"(LeBlanc &lt;i&gt;et al.&lt;/i&gt;, 2011)"},"properties":{"noteIndex":0},"schema":"https://github.com/citation-style-language/schema/raw/master/csl-citation.json"}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 xml:space="preserve">(LeBlanc </w:t>
      </w:r>
      <w:r w:rsidR="00D11F03" w:rsidRPr="0035519F">
        <w:rPr>
          <w:rFonts w:ascii="Arial" w:hAnsi="Arial" w:cs="Arial"/>
          <w:i/>
          <w:noProof/>
          <w:sz w:val="24"/>
          <w:szCs w:val="24"/>
        </w:rPr>
        <w:t>et al.</w:t>
      </w:r>
      <w:r w:rsidR="00D11F03" w:rsidRPr="0035519F">
        <w:rPr>
          <w:rFonts w:ascii="Arial" w:hAnsi="Arial" w:cs="Arial"/>
          <w:noProof/>
          <w:sz w:val="24"/>
          <w:szCs w:val="24"/>
        </w:rPr>
        <w:t>, 2011)</w:t>
      </w:r>
      <w:r w:rsidRPr="0035519F">
        <w:rPr>
          <w:rFonts w:ascii="Arial" w:hAnsi="Arial" w:cs="Arial"/>
          <w:sz w:val="24"/>
          <w:szCs w:val="24"/>
        </w:rPr>
        <w:fldChar w:fldCharType="end"/>
      </w:r>
      <w:r w:rsidR="0003017A" w:rsidRPr="0035519F">
        <w:rPr>
          <w:rFonts w:ascii="Arial" w:hAnsi="Arial" w:cs="Arial"/>
          <w:sz w:val="24"/>
          <w:szCs w:val="24"/>
        </w:rPr>
        <w:t>.</w:t>
      </w:r>
    </w:p>
    <w:p w14:paraId="4EFD1E8F" w14:textId="77777777" w:rsidR="007757AB" w:rsidRPr="0035519F" w:rsidRDefault="007757AB" w:rsidP="0003017A">
      <w:pPr>
        <w:pStyle w:val="ListParagraph"/>
        <w:widowControl w:val="0"/>
        <w:numPr>
          <w:ilvl w:val="1"/>
          <w:numId w:val="28"/>
        </w:numPr>
        <w:tabs>
          <w:tab w:val="left" w:pos="2221"/>
        </w:tabs>
        <w:autoSpaceDE w:val="0"/>
        <w:autoSpaceDN w:val="0"/>
        <w:spacing w:after="0" w:line="480" w:lineRule="auto"/>
        <w:ind w:left="709" w:right="32" w:hanging="283"/>
        <w:contextualSpacing w:val="0"/>
        <w:jc w:val="both"/>
        <w:rPr>
          <w:rFonts w:ascii="Arial" w:hAnsi="Arial" w:cs="Arial"/>
          <w:sz w:val="24"/>
          <w:szCs w:val="24"/>
          <w:lang w:val="id-ID"/>
        </w:rPr>
      </w:pPr>
      <w:r w:rsidRPr="0035519F">
        <w:rPr>
          <w:rFonts w:ascii="Arial" w:hAnsi="Arial" w:cs="Arial"/>
          <w:sz w:val="24"/>
          <w:szCs w:val="24"/>
          <w:lang w:val="id-ID"/>
        </w:rPr>
        <w:t>Genetik</w:t>
      </w:r>
    </w:p>
    <w:p w14:paraId="5F8A4577" w14:textId="77777777" w:rsidR="004232F3" w:rsidRPr="0035519F" w:rsidRDefault="004232F3" w:rsidP="0003017A">
      <w:pPr>
        <w:pStyle w:val="BodyText"/>
        <w:spacing w:line="480" w:lineRule="auto"/>
        <w:ind w:left="709" w:right="32" w:firstLine="424"/>
        <w:jc w:val="both"/>
        <w:rPr>
          <w:lang w:val="id-ID"/>
        </w:rPr>
      </w:pPr>
      <w:r w:rsidRPr="0035519F">
        <w:t>Sangat jarang terjadi o</w:t>
      </w:r>
      <w:r w:rsidRPr="0035519F">
        <w:rPr>
          <w:lang w:val="id-ID"/>
        </w:rPr>
        <w:t>besitas dalam keluarga menurut pola pewarisan disebabkan oleh perubahan</w:t>
      </w:r>
      <w:r w:rsidR="00E100F3" w:rsidRPr="0035519F">
        <w:t xml:space="preserve"> hanya</w:t>
      </w:r>
      <w:r w:rsidRPr="0035519F">
        <w:rPr>
          <w:lang w:val="id-ID"/>
        </w:rPr>
        <w:t xml:space="preserve"> pada satu gen</w:t>
      </w:r>
      <w:r w:rsidRPr="0035519F">
        <w:t xml:space="preserve"> saja</w:t>
      </w:r>
      <w:r w:rsidRPr="0035519F">
        <w:rPr>
          <w:lang w:val="id-ID"/>
        </w:rPr>
        <w:t>.</w:t>
      </w:r>
      <w:r w:rsidRPr="0035519F">
        <w:t xml:space="preserve"> </w:t>
      </w:r>
      <w:r w:rsidRPr="0035519F">
        <w:rPr>
          <w:lang w:val="id-ID"/>
        </w:rPr>
        <w:lastRenderedPageBreak/>
        <w:t xml:space="preserve">Gen yang paling sering terlibat adalah MC4R, yang mengkode reseptor </w:t>
      </w:r>
      <w:r w:rsidRPr="0035519F">
        <w:rPr>
          <w:i/>
          <w:lang w:val="id-ID"/>
        </w:rPr>
        <w:t>melanocortin 4</w:t>
      </w:r>
      <w:r w:rsidRPr="0035519F">
        <w:rPr>
          <w:lang w:val="id-ID"/>
        </w:rPr>
        <w:t xml:space="preserve">. </w:t>
      </w:r>
      <w:r w:rsidRPr="0035519F">
        <w:t xml:space="preserve">Perubahan ini terjadi </w:t>
      </w:r>
      <w:r w:rsidRPr="0035519F">
        <w:rPr>
          <w:lang w:val="id-ID"/>
        </w:rPr>
        <w:t xml:space="preserve">pada </w:t>
      </w:r>
      <w:r w:rsidR="0003017A" w:rsidRPr="0035519F">
        <w:rPr>
          <w:lang w:val="id-ID"/>
        </w:rPr>
        <w:t>sebagian kecil (&lt;5%) orang obesitas</w:t>
      </w:r>
      <w:r w:rsidRPr="0035519F">
        <w:rPr>
          <w:lang w:val="id-ID"/>
        </w:rPr>
        <w:t xml:space="preserve"> di berbagai kelompok etnis. </w:t>
      </w:r>
      <w:r w:rsidR="0003017A" w:rsidRPr="0035519F">
        <w:t>Manifestasi klinis yang muncul akan</w:t>
      </w:r>
      <w:r w:rsidRPr="0035519F">
        <w:t xml:space="preserve"> membuat seseorang </w:t>
      </w:r>
      <w:r w:rsidRPr="0035519F">
        <w:rPr>
          <w:lang w:val="id-ID"/>
        </w:rPr>
        <w:t xml:space="preserve">merasa sangat lapar dan menderita karena makan berlebihan secara terus-menerus (hiperfagia). Sejauh ini, </w:t>
      </w:r>
      <w:r w:rsidRPr="0035519F">
        <w:t>telah ditemukan</w:t>
      </w:r>
      <w:r w:rsidRPr="0035519F">
        <w:rPr>
          <w:lang w:val="id-ID"/>
        </w:rPr>
        <w:t xml:space="preserve"> sembilan gen yang terlibat dalam obesitas gen tunggal (monogenik)</w:t>
      </w:r>
      <w:r w:rsidR="004F465C" w:rsidRPr="0035519F">
        <w:t>,</w:t>
      </w:r>
      <w:r w:rsidR="0003017A" w:rsidRPr="0035519F">
        <w:rPr>
          <w:lang w:val="id-ID"/>
        </w:rPr>
        <w:t xml:space="preserve"> </w:t>
      </w:r>
      <w:r w:rsidR="0003017A" w:rsidRPr="0035519F">
        <w:rPr>
          <w:lang w:val="id-ID"/>
        </w:rPr>
        <w:fldChar w:fldCharType="begin" w:fldLock="1"/>
      </w:r>
      <w:r w:rsidR="004F465C" w:rsidRPr="0035519F">
        <w:rPr>
          <w:lang w:val="id-ID"/>
        </w:rPr>
        <w:instrText>ADDIN CSL_CITATION {"citationItems":[{"id":"ITEM-1","itemData":{"URL":"https://www.cdc.gov/genomics/resources/diseases/obesity/obesedit.htm","abstract":"Obesity is the result of chronic energy imbalance in a person who consistently takes in more calories from food and drink than are needed to power their body’s metabolic and physical functions. The rapidly rising population prevalence of obesity in recent decades has been attributed to an “obesogenic” environment, which offers ready access to high-calorie foods but limits opportunities for physical activity. The obesity epidemic can be considered a collective response to this environment. Obesity is an important public health problem because it increases the risk of developing diabetes, heart disease, stroke, and other serious diseases.","accessed":{"date-parts":[["2021","12","28"]]},"author":[{"dropping-particle":"","family":"CDC","given":"","non-dropping-particle":"","parse-names":false,"suffix":""}],"container-title":"Centers for Disease","id":"ITEM-1","issued":{"date-parts":[["2013"]]},"title":"Genes and obesity | CDC","type":"webpage"},"uris":["http://www.mendeley.com/documents/?uuid=de6254fb-c7a4-3697-83b7-8d10f10ac6c7"]}],"mendeley":{"formattedCitation":"(CDC, 2013)","plainTextFormattedCitation":"(CDC, 2013)","previouslyFormattedCitation":"(CDC, 2013)"},"properties":{"noteIndex":0},"schema":"https://github.com/citation-style-language/schema/raw/master/csl-citation.json"}</w:instrText>
      </w:r>
      <w:r w:rsidR="0003017A" w:rsidRPr="0035519F">
        <w:rPr>
          <w:lang w:val="id-ID"/>
        </w:rPr>
        <w:fldChar w:fldCharType="separate"/>
      </w:r>
      <w:r w:rsidR="004F465C" w:rsidRPr="0035519F">
        <w:rPr>
          <w:noProof/>
          <w:lang w:val="id-ID"/>
        </w:rPr>
        <w:t>(CDC, 2013)</w:t>
      </w:r>
      <w:r w:rsidR="0003017A" w:rsidRPr="0035519F">
        <w:rPr>
          <w:lang w:val="id-ID"/>
        </w:rPr>
        <w:fldChar w:fldCharType="end"/>
      </w:r>
      <w:r w:rsidRPr="0035519F">
        <w:rPr>
          <w:lang w:val="id-ID"/>
        </w:rPr>
        <w:t>.</w:t>
      </w:r>
    </w:p>
    <w:p w14:paraId="5697C730" w14:textId="77777777" w:rsidR="004232F3" w:rsidRPr="0035519F" w:rsidRDefault="004232F3" w:rsidP="0003017A">
      <w:pPr>
        <w:pStyle w:val="BodyText"/>
        <w:spacing w:line="480" w:lineRule="auto"/>
        <w:ind w:left="709" w:right="32" w:firstLine="424"/>
        <w:jc w:val="both"/>
        <w:rPr>
          <w:lang w:val="id-ID"/>
        </w:rPr>
      </w:pPr>
      <w:r w:rsidRPr="0035519F">
        <w:rPr>
          <w:lang w:val="id-ID"/>
        </w:rPr>
        <w:t xml:space="preserve">Pada kebanyakan </w:t>
      </w:r>
      <w:r w:rsidRPr="0035519F">
        <w:t>kasus obesitas</w:t>
      </w:r>
      <w:r w:rsidRPr="0035519F">
        <w:rPr>
          <w:lang w:val="id-ID"/>
        </w:rPr>
        <w:t>, tidak ada penyebab genetik tunggal yang dapat diidentifikasi. Sejak 2006, studi asosiasi genom telah menemukan lebih dari 50 gen yang terkait dengan obesitas, sebagian besar dengan efek yang sangat kecil. Sebagian besar obesitas tampaknya bersifat multifaktorial, yaitu hasil interaksi kompleks di antara banyak gen dan faktor lingkungan</w:t>
      </w:r>
      <w:r w:rsidR="004F465C" w:rsidRPr="0035519F">
        <w:t xml:space="preserve"> </w:t>
      </w:r>
      <w:r w:rsidR="0003017A" w:rsidRPr="0035519F">
        <w:rPr>
          <w:lang w:val="id-ID"/>
        </w:rPr>
        <w:fldChar w:fldCharType="begin" w:fldLock="1"/>
      </w:r>
      <w:r w:rsidR="004F465C" w:rsidRPr="0035519F">
        <w:rPr>
          <w:lang w:val="id-ID"/>
        </w:rPr>
        <w:instrText>ADDIN CSL_CITATION {"citationItems":[{"id":"ITEM-1","itemData":{"URL":"https://www.cdc.gov/genomics/resources/diseases/obesity/obesedit.htm","abstract":"Obesity is the result of chronic energy imbalance in a person who consistently takes in more calories from food and drink than are needed to power their body’s metabolic and physical functions. The rapidly rising population prevalence of obesity in recent decades has been attributed to an “obesogenic” environment, which offers ready access to high-calorie foods but limits opportunities for physical activity. The obesity epidemic can be considered a collective response to this environment. Obesity is an important public health problem because it increases the risk of developing diabetes, heart disease, stroke, and other serious diseases.","accessed":{"date-parts":[["2021","12","28"]]},"author":[{"dropping-particle":"","family":"CDC","given":"","non-dropping-particle":"","parse-names":false,"suffix":""}],"container-title":"Centers for Disease","id":"ITEM-1","issued":{"date-parts":[["2013"]]},"title":"Genes and obesity | CDC","type":"webpage"},"uris":["http://www.mendeley.com/documents/?uuid=de6254fb-c7a4-3697-83b7-8d10f10ac6c7"]}],"mendeley":{"formattedCitation":"(CDC, 2013)","plainTextFormattedCitation":"(CDC, 2013)","previouslyFormattedCitation":"(CDC, 2013)"},"properties":{"noteIndex":0},"schema":"https://github.com/citation-style-language/schema/raw/master/csl-citation.json"}</w:instrText>
      </w:r>
      <w:r w:rsidR="0003017A" w:rsidRPr="0035519F">
        <w:rPr>
          <w:lang w:val="id-ID"/>
        </w:rPr>
        <w:fldChar w:fldCharType="separate"/>
      </w:r>
      <w:r w:rsidR="004F465C" w:rsidRPr="0035519F">
        <w:rPr>
          <w:noProof/>
          <w:lang w:val="id-ID"/>
        </w:rPr>
        <w:t>(CDC, 2013)</w:t>
      </w:r>
      <w:r w:rsidR="0003017A" w:rsidRPr="0035519F">
        <w:rPr>
          <w:lang w:val="id-ID"/>
        </w:rPr>
        <w:fldChar w:fldCharType="end"/>
      </w:r>
      <w:r w:rsidRPr="0035519F">
        <w:rPr>
          <w:lang w:val="id-ID"/>
        </w:rPr>
        <w:t>.</w:t>
      </w:r>
      <w:r w:rsidR="0003017A" w:rsidRPr="0035519F">
        <w:rPr>
          <w:lang w:val="id-ID"/>
        </w:rPr>
        <w:t xml:space="preserve"> </w:t>
      </w:r>
    </w:p>
    <w:p w14:paraId="17C157ED" w14:textId="77777777" w:rsidR="007757AB" w:rsidRPr="0035519F" w:rsidRDefault="007757AB" w:rsidP="0003017A">
      <w:pPr>
        <w:pStyle w:val="ListParagraph"/>
        <w:widowControl w:val="0"/>
        <w:numPr>
          <w:ilvl w:val="1"/>
          <w:numId w:val="28"/>
        </w:numPr>
        <w:tabs>
          <w:tab w:val="left" w:pos="2221"/>
        </w:tabs>
        <w:autoSpaceDE w:val="0"/>
        <w:autoSpaceDN w:val="0"/>
        <w:spacing w:after="0" w:line="480" w:lineRule="auto"/>
        <w:ind w:left="709" w:right="32" w:hanging="284"/>
        <w:contextualSpacing w:val="0"/>
        <w:jc w:val="both"/>
        <w:rPr>
          <w:rFonts w:ascii="Arial" w:hAnsi="Arial" w:cs="Arial"/>
          <w:sz w:val="24"/>
          <w:szCs w:val="24"/>
          <w:lang w:val="id-ID"/>
        </w:rPr>
      </w:pPr>
      <w:r w:rsidRPr="0035519F">
        <w:rPr>
          <w:rFonts w:ascii="Arial" w:hAnsi="Arial" w:cs="Arial"/>
          <w:sz w:val="24"/>
          <w:szCs w:val="24"/>
          <w:lang w:val="id-ID"/>
        </w:rPr>
        <w:t>Hormon</w:t>
      </w:r>
      <w:r w:rsidRPr="0035519F">
        <w:rPr>
          <w:rFonts w:ascii="Arial" w:hAnsi="Arial" w:cs="Arial"/>
          <w:spacing w:val="-2"/>
          <w:sz w:val="24"/>
          <w:szCs w:val="24"/>
          <w:lang w:val="id-ID"/>
        </w:rPr>
        <w:t xml:space="preserve"> </w:t>
      </w:r>
      <w:r w:rsidRPr="0035519F">
        <w:rPr>
          <w:rFonts w:ascii="Arial" w:hAnsi="Arial" w:cs="Arial"/>
          <w:sz w:val="24"/>
          <w:szCs w:val="24"/>
          <w:lang w:val="id-ID"/>
        </w:rPr>
        <w:t>seks</w:t>
      </w:r>
    </w:p>
    <w:p w14:paraId="6F56F09E" w14:textId="77777777" w:rsidR="00B70ACD" w:rsidRPr="0035519F" w:rsidRDefault="00450AEC" w:rsidP="0003017A">
      <w:pPr>
        <w:pStyle w:val="BodyText"/>
        <w:spacing w:line="480" w:lineRule="auto"/>
        <w:ind w:left="709" w:right="32" w:firstLine="424"/>
        <w:jc w:val="both"/>
      </w:pPr>
      <w:r w:rsidRPr="0035519F">
        <w:t xml:space="preserve">Perubahan hormon seks (estradiol dan testosteron) berperan penting pada permulaan dan perkembangan pubertas. Kadar hormon seks yang tidak normal dapat menyebabkan pubertas dini atau tertundanya pubertas. Peningkatan produksi estradiol sebagian besar bertanggung jawab </w:t>
      </w:r>
      <w:r w:rsidR="0003017A" w:rsidRPr="0035519F">
        <w:t>dalam</w:t>
      </w:r>
      <w:r w:rsidRPr="0035519F">
        <w:t xml:space="preserve"> perkembangan payudara dan perubahan distribusi lemak tubuh pada wanita di usia pubertas. Dalam </w:t>
      </w:r>
      <w:r w:rsidR="0003017A" w:rsidRPr="0035519F">
        <w:t xml:space="preserve">sebuah </w:t>
      </w:r>
      <w:r w:rsidRPr="0035519F">
        <w:t xml:space="preserve">penelitian, konsentrasi </w:t>
      </w:r>
      <w:r w:rsidR="0003017A" w:rsidRPr="0035519F">
        <w:t xml:space="preserve">rata-rata </w:t>
      </w:r>
      <w:r w:rsidRPr="0035519F">
        <w:t>estradiol lebih tinggi pada anak perempuan gemuk daripada anak perempuan normal dan kurus</w:t>
      </w:r>
      <w:r w:rsidR="0003017A" w:rsidRPr="0035519F">
        <w:t xml:space="preserve">, hal ini </w:t>
      </w:r>
      <w:r w:rsidRPr="0035519F">
        <w:t xml:space="preserve">menunjukkan bahwa obesitas pada masa kanak-kanak </w:t>
      </w:r>
      <w:r w:rsidRPr="0035519F">
        <w:lastRenderedPageBreak/>
        <w:t>dikaitkan dengan peningkatan kada</w:t>
      </w:r>
      <w:r w:rsidR="0003017A" w:rsidRPr="0035519F">
        <w:t>r estradiol pada anak perempuan</w:t>
      </w:r>
      <w:r w:rsidR="004F465C" w:rsidRPr="0035519F">
        <w:t xml:space="preserve"> </w:t>
      </w:r>
      <w:r w:rsidRPr="0035519F">
        <w:fldChar w:fldCharType="begin" w:fldLock="1"/>
      </w:r>
      <w:r w:rsidR="00D11F03" w:rsidRPr="0035519F">
        <w:instrText>ADDIN CSL_CITATION {"citationItems":[{"id":"ITEM-1","itemData":{"DOI":"10.1371/journal.pone.0134656","ISSN":"19326203","PMID":"26247479","abstract":"Objective: To examine the influence of childhood obesity on the early onset of puberty and sex hormones in girls. Methods: Healthy girls with different percentages of body fat at baseline (40 obese, 40 normal, and 40 lean) were recruited from three elementary schools in Shenyang, China. These girls (mean age 8.5 years) were also matched by height, school grade, Tanner stage, and family economic status at baseline. Anthropometry, puberty characteristics, and sex hormone concentrations were measured at baseline and at each follow-up visit. The generalized estimating equation model and analysis of variance for repeated measures using a generalized linear model were used to determine the differences in puberty characteristics and sex hormones among three groups. Results: Over 4 years, mean age of breast II onset was earlier among obese girls (8.8 years) than normal girls (9.2 years) and lean girls (9.3 years). The prevalence (%) of early-maturation in the obese, normal, and lean groups was 25.9%, 11.1%, and 7.4%, respectively. Obesity was associated with an increased risk for breast stage II (year 2: RR, 6.3; 95%CI, 1.9-21.1 and year 3: RR, 6.9; 95%CI, 0.8-60.1). None of the girls experienced menarche in the first year; however, by the fourth year 50.0%of obese girls had menarche onset, which was higher than normal weight (27.5%) and lean girls (8.1%). Themean estradiol level increased with age in the obese, normal, and lean groups. The mean estradiol concentration was higher in obese girls than in normal and lean girls throughout the 4-year period (P&lt;0.05). Conclusions: Childhood obesity contributes to early onset of puberty and elevated levels of estradiol in girls. Copyright:","author":[{"dropping-particle":"","family":"Zhai","given":"Lingling","non-dropping-particle":"","parse-names":false,"suffix":""},{"dropping-particle":"","family":"Liu","given":"Jihong","non-dropping-particle":"","parse-names":false,"suffix":""},{"dropping-particle":"","family":"Zhao","given":"Jian","non-dropping-particle":"","parse-names":false,"suffix":""},{"dropping-particle":"","family":"Liu","given":"Junxiu","non-dropping-particle":"","parse-names":false,"suffix":""},{"dropping-particle":"","family":"Bai","given":"Yinglong","non-dropping-particle":"","parse-names":false,"suffix":""},{"dropping-particle":"","family":"Jia","given":"Lihong","non-dropping-particle":"","parse-names":false,"suffix":""},{"dropping-particle":"","family":"Yao","given":"Xingjia","non-dropping-particle":"","parse-names":false,"suffix":""}],"container-title":"PLoS ONE","id":"ITEM-1","issue":"8","issued":{"date-parts":[["2015","8","6"]]},"page":"e0134656","publisher":"Public Library of Science","title":"Association of obesity with onset of puberty and sex hormones in Chinese girls: A 4-year longitudinal study","type":"article-journal","volume":"10"},"uris":["http://www.mendeley.com/documents/?uuid=6b7efc6d-3717-39c3-b4c1-0725ecb21c14"]}],"mendeley":{"formattedCitation":"(Zhai &lt;i&gt;et al.&lt;/i&gt;, 2015)","plainTextFormattedCitation":"(Zhai et al., 2015)","previouslyFormattedCitation":"(Zhai &lt;i&gt;et al.&lt;/i&gt;, 2015)"},"properties":{"noteIndex":0},"schema":"https://github.com/citation-style-language/schema/raw/master/csl-citation.json"}</w:instrText>
      </w:r>
      <w:r w:rsidRPr="0035519F">
        <w:fldChar w:fldCharType="separate"/>
      </w:r>
      <w:r w:rsidR="00D11F03" w:rsidRPr="0035519F">
        <w:rPr>
          <w:noProof/>
        </w:rPr>
        <w:t xml:space="preserve">(Zhai </w:t>
      </w:r>
      <w:r w:rsidR="00D11F03" w:rsidRPr="0035519F">
        <w:rPr>
          <w:i/>
          <w:noProof/>
        </w:rPr>
        <w:t>et al.</w:t>
      </w:r>
      <w:r w:rsidR="00D11F03" w:rsidRPr="0035519F">
        <w:rPr>
          <w:noProof/>
        </w:rPr>
        <w:t>, 2015)</w:t>
      </w:r>
      <w:r w:rsidRPr="0035519F">
        <w:fldChar w:fldCharType="end"/>
      </w:r>
      <w:r w:rsidR="0003017A" w:rsidRPr="0035519F">
        <w:t>.</w:t>
      </w:r>
      <w:r w:rsidR="008D19E9" w:rsidRPr="0035519F">
        <w:t xml:space="preserve"> Pada pria, hormon t</w:t>
      </w:r>
      <w:r w:rsidR="00B70ACD" w:rsidRPr="0035519F">
        <w:t>estosteron berperan</w:t>
      </w:r>
      <w:r w:rsidR="008D19E9" w:rsidRPr="0035519F">
        <w:t xml:space="preserve"> penting</w:t>
      </w:r>
      <w:r w:rsidR="00B70ACD" w:rsidRPr="0035519F">
        <w:t xml:space="preserve"> dalam patologi penyakit metabolik seperti obesitas. Kadar testosteron yang rendah dikaitkan dengan peningkatan massa lemak (terutama adipositas sentral) dan pe</w:t>
      </w:r>
      <w:r w:rsidR="0003017A" w:rsidRPr="0035519F">
        <w:t>ngurangan massa lemak pada pria</w:t>
      </w:r>
      <w:r w:rsidR="004F465C" w:rsidRPr="0035519F">
        <w:t xml:space="preserve"> </w:t>
      </w:r>
      <w:r w:rsidR="008D19E9" w:rsidRPr="0035519F">
        <w:fldChar w:fldCharType="begin" w:fldLock="1"/>
      </w:r>
      <w:r w:rsidR="00D11F03" w:rsidRPr="0035519F">
        <w:instrText>ADDIN CSL_CITATION {"citationItems":[{"id":"ITEM-1","itemData":{"DOI":"10.1111/obr.12282","ISSN":"1467789X","PMID":"25982085","abstract":"Testosterone is a key hormone in the pathology of metabolic diseases such as obesity. Low testosterone levels are associated with increased fat mass (particularly central adiposity) and reduced lean mass in males. These morphological features are linked to metabolic dysfunction, and testosterone deficiency is associated with energy imbalance, impaired glucose control, reduced insulin sensitivity and dyslipidaemia. A bidirectional relationship between testosterone and obesity underpins this association indicated by the hypogonadal-obesity cycle and evidence weight loss can lead to increased testosterone levels. Androgenic effects on enzymatic pathways of fatty acid metabolism, glucose control and energy utilization are apparent and often tissue specific with differential effects noted in different regional fat depots, muscle and liver to potentially explain the mechanisms of testosterone action. Testosterone replacement therapy demonstrates beneficial effects on measures of obesity that are partially explained by both direct metabolic actions on adipose and muscle and also potentially by increasing motivation, vigour and energy allowing obese individuals to engage in more active lifestyles. The degree of these beneficial effects may be dependent on the treatment modality with longer term administration often achieving greater improvements. Testosterone replacement may therefore potentially be an effective adjunctive treatment for weight management in obese men with concomitant hypogonadism.","author":[{"dropping-particle":"","family":"Kelly","given":"D. M.","non-dropping-particle":"","parse-names":false,"suffix":""},{"dropping-particle":"","family":"Jones","given":"T. H.","non-dropping-particle":"","parse-names":false,"suffix":""}],"container-title":"Obesity Reviews","id":"ITEM-1","issue":"7","issued":{"date-parts":[["2015","7","1"]]},"page":"581-606","publisher":"Obes Rev","title":"Testosterone and obesity","type":"article-journal","volume":"16"},"uris":["http://www.mendeley.com/documents/?uuid=47e8e56b-f3a6-3e44-8e2f-44e6d02664c7"]}],"mendeley":{"formattedCitation":"(Kelly and Jones, 2015)","plainTextFormattedCitation":"(Kelly and Jones, 2015)","previouslyFormattedCitation":"(Kelly and Jones, 2015)"},"properties":{"noteIndex":0},"schema":"https://github.com/citation-style-language/schema/raw/master/csl-citation.json"}</w:instrText>
      </w:r>
      <w:r w:rsidR="008D19E9" w:rsidRPr="0035519F">
        <w:fldChar w:fldCharType="separate"/>
      </w:r>
      <w:r w:rsidR="00D11F03" w:rsidRPr="0035519F">
        <w:rPr>
          <w:noProof/>
        </w:rPr>
        <w:t>(Kelly and Jones, 2015)</w:t>
      </w:r>
      <w:r w:rsidR="008D19E9" w:rsidRPr="0035519F">
        <w:fldChar w:fldCharType="end"/>
      </w:r>
      <w:r w:rsidR="0003017A" w:rsidRPr="0035519F">
        <w:t>.</w:t>
      </w:r>
    </w:p>
    <w:p w14:paraId="7559CF36" w14:textId="77777777" w:rsidR="007757AB" w:rsidRPr="0035519F" w:rsidRDefault="007757AB" w:rsidP="0003017A">
      <w:pPr>
        <w:pStyle w:val="ListParagraph"/>
        <w:widowControl w:val="0"/>
        <w:numPr>
          <w:ilvl w:val="1"/>
          <w:numId w:val="28"/>
        </w:numPr>
        <w:tabs>
          <w:tab w:val="left" w:pos="2221"/>
        </w:tabs>
        <w:autoSpaceDE w:val="0"/>
        <w:autoSpaceDN w:val="0"/>
        <w:spacing w:after="0" w:line="480" w:lineRule="auto"/>
        <w:ind w:left="720" w:right="144" w:hanging="284"/>
        <w:contextualSpacing w:val="0"/>
        <w:jc w:val="both"/>
        <w:rPr>
          <w:rFonts w:ascii="Arial" w:hAnsi="Arial" w:cs="Arial"/>
          <w:sz w:val="24"/>
          <w:szCs w:val="24"/>
          <w:lang w:val="id-ID"/>
        </w:rPr>
      </w:pPr>
      <w:r w:rsidRPr="0035519F">
        <w:rPr>
          <w:rFonts w:ascii="Arial" w:hAnsi="Arial" w:cs="Arial"/>
          <w:sz w:val="24"/>
          <w:szCs w:val="24"/>
          <w:lang w:val="id-ID"/>
        </w:rPr>
        <w:t>Hormon</w:t>
      </w:r>
      <w:r w:rsidRPr="0035519F">
        <w:rPr>
          <w:rFonts w:ascii="Arial" w:hAnsi="Arial" w:cs="Arial"/>
          <w:spacing w:val="-5"/>
          <w:sz w:val="24"/>
          <w:szCs w:val="24"/>
          <w:lang w:val="id-ID"/>
        </w:rPr>
        <w:t xml:space="preserve"> </w:t>
      </w:r>
      <w:r w:rsidRPr="0035519F">
        <w:rPr>
          <w:rFonts w:ascii="Arial" w:hAnsi="Arial" w:cs="Arial"/>
          <w:sz w:val="24"/>
          <w:szCs w:val="24"/>
          <w:lang w:val="id-ID"/>
        </w:rPr>
        <w:t>tiroksin,</w:t>
      </w:r>
      <w:r w:rsidRPr="0035519F">
        <w:rPr>
          <w:rFonts w:ascii="Arial" w:hAnsi="Arial" w:cs="Arial"/>
          <w:spacing w:val="-2"/>
          <w:sz w:val="24"/>
          <w:szCs w:val="24"/>
          <w:lang w:val="id-ID"/>
        </w:rPr>
        <w:t xml:space="preserve"> </w:t>
      </w:r>
      <w:r w:rsidR="0031032D" w:rsidRPr="0035519F">
        <w:rPr>
          <w:rFonts w:ascii="Arial" w:hAnsi="Arial" w:cs="Arial"/>
          <w:i/>
          <w:spacing w:val="-2"/>
          <w:sz w:val="24"/>
          <w:szCs w:val="24"/>
        </w:rPr>
        <w:t>Growth Hormone</w:t>
      </w:r>
      <w:r w:rsidR="0031032D" w:rsidRPr="0035519F">
        <w:rPr>
          <w:rFonts w:ascii="Arial" w:hAnsi="Arial" w:cs="Arial"/>
          <w:spacing w:val="-2"/>
          <w:sz w:val="24"/>
          <w:szCs w:val="24"/>
        </w:rPr>
        <w:t xml:space="preserve"> (</w:t>
      </w:r>
      <w:r w:rsidR="0003017A" w:rsidRPr="0035519F">
        <w:rPr>
          <w:rFonts w:ascii="Arial" w:hAnsi="Arial" w:cs="Arial"/>
          <w:sz w:val="24"/>
          <w:szCs w:val="24"/>
        </w:rPr>
        <w:t>GH</w:t>
      </w:r>
      <w:r w:rsidR="0031032D" w:rsidRPr="0035519F">
        <w:rPr>
          <w:rFonts w:ascii="Arial" w:hAnsi="Arial" w:cs="Arial"/>
          <w:sz w:val="24"/>
          <w:szCs w:val="24"/>
        </w:rPr>
        <w:t>)</w:t>
      </w:r>
      <w:r w:rsidRPr="0035519F">
        <w:rPr>
          <w:rFonts w:ascii="Arial" w:hAnsi="Arial" w:cs="Arial"/>
          <w:i/>
          <w:spacing w:val="1"/>
          <w:sz w:val="24"/>
          <w:szCs w:val="24"/>
          <w:lang w:val="id-ID"/>
        </w:rPr>
        <w:t xml:space="preserve"> </w:t>
      </w:r>
      <w:r w:rsidRPr="0035519F">
        <w:rPr>
          <w:rFonts w:ascii="Arial" w:hAnsi="Arial" w:cs="Arial"/>
          <w:sz w:val="24"/>
          <w:szCs w:val="24"/>
          <w:lang w:val="id-ID"/>
        </w:rPr>
        <w:t>dan</w:t>
      </w:r>
      <w:r w:rsidRPr="0035519F">
        <w:rPr>
          <w:rFonts w:ascii="Arial" w:hAnsi="Arial" w:cs="Arial"/>
          <w:spacing w:val="-3"/>
          <w:sz w:val="24"/>
          <w:szCs w:val="24"/>
          <w:lang w:val="id-ID"/>
        </w:rPr>
        <w:t xml:space="preserve"> </w:t>
      </w:r>
      <w:r w:rsidRPr="0035519F">
        <w:rPr>
          <w:rFonts w:ascii="Arial" w:hAnsi="Arial" w:cs="Arial"/>
          <w:sz w:val="24"/>
          <w:szCs w:val="24"/>
          <w:lang w:val="id-ID"/>
        </w:rPr>
        <w:t>glukokortikoid</w:t>
      </w:r>
    </w:p>
    <w:p w14:paraId="116F4787" w14:textId="77777777" w:rsidR="007757AB" w:rsidRPr="0035519F" w:rsidRDefault="007757AB" w:rsidP="0003017A">
      <w:pPr>
        <w:pStyle w:val="BodyText"/>
        <w:spacing w:line="480" w:lineRule="auto"/>
        <w:ind w:left="720" w:right="32" w:firstLine="424"/>
        <w:jc w:val="both"/>
      </w:pPr>
      <w:r w:rsidRPr="0035519F">
        <w:t>Peningkatan kadar glukokortikoid seperti pada pasien dengan Sindrom Cushing menyebabkan obesitas abdominal, dislipidemia, resistensi insulin dan hipertensi. Stres kronik disertai dengan kelebihan kalori dapat berkontribusi terhadap meningkatnya risiko obesitas, terutama obesitas sentral yang dimediasi oleh aksis hipo</w:t>
      </w:r>
      <w:r w:rsidR="0003017A" w:rsidRPr="0035519F">
        <w:t>talamik-pituitari-adrenal (HPA)</w:t>
      </w:r>
      <w:r w:rsidR="004F465C" w:rsidRPr="0035519F">
        <w:t xml:space="preserve"> </w:t>
      </w:r>
      <w:r w:rsidRPr="0035519F">
        <w:fldChar w:fldCharType="begin" w:fldLock="1"/>
      </w:r>
      <w:r w:rsidR="00D11F03" w:rsidRPr="0035519F">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author":[{"dropping-particle":"","family":"Tchernof","given":"André","non-dropping-particle":"","parse-names":false,"suffix":""},{"dropping-particle":"","family":"Després","given":"Jean-Pierre","non-dropping-particle":"","parse-names":false,"suffix":""}],"container-title":"Physiological Reviews","id":"ITEM-1","issue":"1","issued":{"date-parts":[["2013","1"]]},"page":"359-404","title":"Pathophysiology of Human Visceral Obesity: An Update","type":"article-journal","volume":"93"},"uris":["http://www.mendeley.com/documents/?uuid=e1d1b7fd-73ad-4c5b-8286-6b56add85f2c","http://www.mendeley.com/documents/?uuid=d89dd35f-a20e-4455-9aa0-1cc73c1bfe7e"]}],"mendeley":{"formattedCitation":"(Tchernof and J.-P. Després, 2013)","plainTextFormattedCitation":"(Tchernof and J.-P. Després, 2013)","previouslyFormattedCitation":"(Tchernof and J.-P. Després, 2013)"},"properties":{"noteIndex":0},"schema":"https://github.com/citation-style-language/schema/raw/master/csl-citation.json"}</w:instrText>
      </w:r>
      <w:r w:rsidRPr="0035519F">
        <w:fldChar w:fldCharType="separate"/>
      </w:r>
      <w:r w:rsidR="00D11F03" w:rsidRPr="0035519F">
        <w:rPr>
          <w:noProof/>
        </w:rPr>
        <w:t>(Tchernof and J.-P. Després, 2013)</w:t>
      </w:r>
      <w:r w:rsidRPr="0035519F">
        <w:fldChar w:fldCharType="end"/>
      </w:r>
      <w:r w:rsidRPr="0035519F">
        <w:t xml:space="preserve">. Stres menyebabkan pelepasan hormon kortisol yang dapat menyebabkan peningkatan nafsu makan. </w:t>
      </w:r>
      <w:r w:rsidRPr="0035519F">
        <w:rPr>
          <w:lang w:val="id-ID"/>
        </w:rPr>
        <w:t>Tiroksin</w:t>
      </w:r>
      <w:r w:rsidRPr="0035519F">
        <w:t xml:space="preserve"> dapat</w:t>
      </w:r>
      <w:r w:rsidRPr="0035519F">
        <w:rPr>
          <w:lang w:val="id-ID"/>
        </w:rPr>
        <w:t xml:space="preserve"> meningkatkan</w:t>
      </w:r>
      <w:r w:rsidRPr="0035519F">
        <w:rPr>
          <w:spacing w:val="1"/>
          <w:lang w:val="id-ID"/>
        </w:rPr>
        <w:t xml:space="preserve"> </w:t>
      </w:r>
      <w:r w:rsidRPr="0035519F">
        <w:rPr>
          <w:i/>
          <w:lang w:val="id-ID"/>
        </w:rPr>
        <w:t>metabolic</w:t>
      </w:r>
      <w:r w:rsidRPr="0035519F">
        <w:rPr>
          <w:i/>
          <w:spacing w:val="1"/>
          <w:lang w:val="id-ID"/>
        </w:rPr>
        <w:t xml:space="preserve"> </w:t>
      </w:r>
      <w:r w:rsidRPr="0035519F">
        <w:rPr>
          <w:i/>
          <w:lang w:val="id-ID"/>
        </w:rPr>
        <w:t>rate</w:t>
      </w:r>
      <w:r w:rsidRPr="0035519F">
        <w:rPr>
          <w:lang w:val="id-ID"/>
        </w:rPr>
        <w:t xml:space="preserve"> 50-100%</w:t>
      </w:r>
      <w:r w:rsidRPr="0035519F">
        <w:rPr>
          <w:spacing w:val="1"/>
          <w:lang w:val="id-ID"/>
        </w:rPr>
        <w:t xml:space="preserve"> </w:t>
      </w:r>
      <w:r w:rsidRPr="0035519F">
        <w:rPr>
          <w:lang w:val="id-ID"/>
        </w:rPr>
        <w:t>di</w:t>
      </w:r>
      <w:r w:rsidRPr="0035519F">
        <w:rPr>
          <w:spacing w:val="1"/>
          <w:lang w:val="id-ID"/>
        </w:rPr>
        <w:t xml:space="preserve"> </w:t>
      </w:r>
      <w:r w:rsidRPr="0035519F">
        <w:rPr>
          <w:lang w:val="id-ID"/>
        </w:rPr>
        <w:t>atas</w:t>
      </w:r>
      <w:r w:rsidRPr="0035519F">
        <w:rPr>
          <w:spacing w:val="1"/>
          <w:lang w:val="id-ID"/>
        </w:rPr>
        <w:t xml:space="preserve"> </w:t>
      </w:r>
      <w:r w:rsidRPr="0035519F">
        <w:rPr>
          <w:lang w:val="id-ID"/>
        </w:rPr>
        <w:t>normal</w:t>
      </w:r>
      <w:r w:rsidRPr="0035519F">
        <w:rPr>
          <w:spacing w:val="1"/>
          <w:lang w:val="id-ID"/>
        </w:rPr>
        <w:t xml:space="preserve"> </w:t>
      </w:r>
      <w:r w:rsidRPr="0035519F">
        <w:rPr>
          <w:lang w:val="id-ID"/>
        </w:rPr>
        <w:t>ketika</w:t>
      </w:r>
      <w:r w:rsidRPr="0035519F">
        <w:rPr>
          <w:spacing w:val="1"/>
          <w:lang w:val="id-ID"/>
        </w:rPr>
        <w:t xml:space="preserve"> </w:t>
      </w:r>
      <w:r w:rsidRPr="0035519F">
        <w:rPr>
          <w:lang w:val="id-ID"/>
        </w:rPr>
        <w:t>glandula</w:t>
      </w:r>
      <w:r w:rsidRPr="0035519F">
        <w:rPr>
          <w:spacing w:val="1"/>
          <w:lang w:val="id-ID"/>
        </w:rPr>
        <w:t xml:space="preserve"> </w:t>
      </w:r>
      <w:r w:rsidRPr="0035519F">
        <w:rPr>
          <w:lang w:val="id-ID"/>
        </w:rPr>
        <w:t>tiroid</w:t>
      </w:r>
      <w:r w:rsidRPr="0035519F">
        <w:rPr>
          <w:spacing w:val="1"/>
          <w:lang w:val="id-ID"/>
        </w:rPr>
        <w:t xml:space="preserve"> </w:t>
      </w:r>
      <w:r w:rsidRPr="0035519F">
        <w:rPr>
          <w:lang w:val="id-ID"/>
        </w:rPr>
        <w:t>mensekresikan jumlah maksimal tiroksin</w:t>
      </w:r>
      <w:r w:rsidRPr="0035519F">
        <w:t xml:space="preserve">. </w:t>
      </w:r>
      <w:r w:rsidR="0003017A" w:rsidRPr="0035519F">
        <w:rPr>
          <w:i/>
          <w:lang w:val="id-ID"/>
        </w:rPr>
        <w:t>G</w:t>
      </w:r>
      <w:r w:rsidR="0003017A" w:rsidRPr="0035519F">
        <w:rPr>
          <w:i/>
        </w:rPr>
        <w:t xml:space="preserve">rowth </w:t>
      </w:r>
      <w:r w:rsidR="0003017A" w:rsidRPr="0035519F">
        <w:rPr>
          <w:i/>
          <w:lang w:val="id-ID"/>
        </w:rPr>
        <w:t>h</w:t>
      </w:r>
      <w:r w:rsidR="0003017A" w:rsidRPr="0035519F">
        <w:rPr>
          <w:i/>
        </w:rPr>
        <w:t>ormone</w:t>
      </w:r>
      <w:r w:rsidRPr="0035519F">
        <w:rPr>
          <w:i/>
          <w:spacing w:val="1"/>
          <w:lang w:val="id-ID"/>
        </w:rPr>
        <w:t xml:space="preserve"> </w:t>
      </w:r>
      <w:r w:rsidRPr="0035519F">
        <w:rPr>
          <w:lang w:val="id-ID"/>
        </w:rPr>
        <w:t>meningkatkan</w:t>
      </w:r>
      <w:r w:rsidRPr="0035519F">
        <w:rPr>
          <w:spacing w:val="1"/>
          <w:lang w:val="id-ID"/>
        </w:rPr>
        <w:t xml:space="preserve"> </w:t>
      </w:r>
      <w:r w:rsidRPr="0035519F">
        <w:rPr>
          <w:i/>
          <w:lang w:val="id-ID"/>
        </w:rPr>
        <w:t>metabolic</w:t>
      </w:r>
      <w:r w:rsidRPr="0035519F">
        <w:rPr>
          <w:i/>
          <w:spacing w:val="1"/>
          <w:lang w:val="id-ID"/>
        </w:rPr>
        <w:t xml:space="preserve"> </w:t>
      </w:r>
      <w:r w:rsidRPr="0035519F">
        <w:rPr>
          <w:i/>
          <w:lang w:val="id-ID"/>
        </w:rPr>
        <w:t>rate</w:t>
      </w:r>
      <w:r w:rsidRPr="0035519F">
        <w:rPr>
          <w:i/>
          <w:spacing w:val="1"/>
          <w:lang w:val="id-ID"/>
        </w:rPr>
        <w:t xml:space="preserve"> </w:t>
      </w:r>
      <w:r w:rsidRPr="0035519F">
        <w:rPr>
          <w:lang w:val="id-ID"/>
        </w:rPr>
        <w:t>melalui</w:t>
      </w:r>
      <w:r w:rsidRPr="0035519F">
        <w:rPr>
          <w:spacing w:val="1"/>
          <w:lang w:val="id-ID"/>
        </w:rPr>
        <w:t xml:space="preserve"> </w:t>
      </w:r>
      <w:r w:rsidRPr="0035519F">
        <w:rPr>
          <w:lang w:val="id-ID"/>
        </w:rPr>
        <w:t>stimulasi</w:t>
      </w:r>
      <w:r w:rsidRPr="0035519F">
        <w:rPr>
          <w:spacing w:val="1"/>
          <w:lang w:val="id-ID"/>
        </w:rPr>
        <w:t xml:space="preserve"> </w:t>
      </w:r>
      <w:r w:rsidRPr="0035519F">
        <w:rPr>
          <w:lang w:val="id-ID"/>
        </w:rPr>
        <w:t>metabolisme</w:t>
      </w:r>
      <w:r w:rsidRPr="0035519F">
        <w:rPr>
          <w:spacing w:val="1"/>
          <w:lang w:val="id-ID"/>
        </w:rPr>
        <w:t xml:space="preserve"> </w:t>
      </w:r>
      <w:r w:rsidRPr="0035519F">
        <w:rPr>
          <w:lang w:val="id-ID"/>
        </w:rPr>
        <w:t>sel</w:t>
      </w:r>
      <w:r w:rsidRPr="0035519F">
        <w:rPr>
          <w:spacing w:val="1"/>
          <w:lang w:val="id-ID"/>
        </w:rPr>
        <w:t xml:space="preserve"> </w:t>
      </w:r>
      <w:r w:rsidRPr="0035519F">
        <w:rPr>
          <w:lang w:val="id-ID"/>
        </w:rPr>
        <w:t>dan</w:t>
      </w:r>
      <w:r w:rsidRPr="0035519F">
        <w:rPr>
          <w:spacing w:val="1"/>
          <w:lang w:val="id-ID"/>
        </w:rPr>
        <w:t xml:space="preserve"> </w:t>
      </w:r>
      <w:r w:rsidRPr="0035519F">
        <w:rPr>
          <w:lang w:val="id-ID"/>
        </w:rPr>
        <w:t>meningkatkan</w:t>
      </w:r>
      <w:r w:rsidRPr="0035519F">
        <w:rPr>
          <w:spacing w:val="1"/>
          <w:lang w:val="id-ID"/>
        </w:rPr>
        <w:t xml:space="preserve"> </w:t>
      </w:r>
      <w:r w:rsidRPr="0035519F">
        <w:rPr>
          <w:lang w:val="id-ID"/>
        </w:rPr>
        <w:t>massa</w:t>
      </w:r>
      <w:r w:rsidRPr="0035519F">
        <w:rPr>
          <w:spacing w:val="1"/>
          <w:lang w:val="id-ID"/>
        </w:rPr>
        <w:t xml:space="preserve"> </w:t>
      </w:r>
      <w:r w:rsidRPr="0035519F">
        <w:rPr>
          <w:lang w:val="id-ID"/>
        </w:rPr>
        <w:t>otot</w:t>
      </w:r>
      <w:r w:rsidRPr="0035519F">
        <w:rPr>
          <w:spacing w:val="1"/>
          <w:lang w:val="id-ID"/>
        </w:rPr>
        <w:t xml:space="preserve"> </w:t>
      </w:r>
      <w:r w:rsidRPr="0035519F">
        <w:rPr>
          <w:lang w:val="id-ID"/>
        </w:rPr>
        <w:t>skeletal</w:t>
      </w:r>
      <w:r w:rsidR="004F465C" w:rsidRPr="0035519F">
        <w:t xml:space="preserve"> </w:t>
      </w:r>
      <w:r w:rsidRPr="0035519F">
        <w:fldChar w:fldCharType="begin" w:fldLock="1"/>
      </w:r>
      <w:r w:rsidR="00D11F03" w:rsidRPr="0035519F">
        <w:instrText>ADDIN CSL_CITATION {"citationItems":[{"id":"ITEM-1","itemData":{"author":[{"dropping-particle":"","family":"Hall","given":"J.E","non-dropping-particle":"","parse-names":false,"suffix":""}],"editor":[{"dropping-particle":"","family":"Guyton","given":"Arthur","non-dropping-particle":"","parse-names":false,"suffix":""},{"dropping-particle":"","family":"Hall","given":"John","non-dropping-particle":"","parse-names":false,"suffix":""}],"id":"ITEM-1","issued":{"date-parts":[["2016"]]},"publisher":"Elsevier Saunders","publisher-place":"Philadelphia","title":"Textbook of Medical Physiology","type":"book"},"uris":["http://www.mendeley.com/documents/?uuid=f2608da3-77bf-4cb1-9213-be625839c547","http://www.mendeley.com/documents/?uuid=04318423-4951-41fa-aca1-c98e9ae189c5"]}],"mendeley":{"formattedCitation":"(Hall, 2016)","plainTextFormattedCitation":"(Hall, 2016)","previouslyFormattedCitation":"(Hall, 2016)"},"properties":{"noteIndex":0},"schema":"https://github.com/citation-style-language/schema/raw/master/csl-citation.json"}</w:instrText>
      </w:r>
      <w:r w:rsidRPr="0035519F">
        <w:fldChar w:fldCharType="separate"/>
      </w:r>
      <w:r w:rsidR="00D11F03" w:rsidRPr="0035519F">
        <w:rPr>
          <w:noProof/>
        </w:rPr>
        <w:t>(Hall, 2016)</w:t>
      </w:r>
      <w:r w:rsidRPr="0035519F">
        <w:fldChar w:fldCharType="end"/>
      </w:r>
      <w:r w:rsidRPr="0035519F">
        <w:rPr>
          <w:spacing w:val="1"/>
          <w:lang w:val="id-ID"/>
        </w:rPr>
        <w:t>.</w:t>
      </w:r>
    </w:p>
    <w:p w14:paraId="7517B1B9" w14:textId="77777777" w:rsidR="007757AB" w:rsidRPr="0035519F" w:rsidRDefault="007757AB" w:rsidP="0003017A">
      <w:pPr>
        <w:pStyle w:val="ListParagraph"/>
        <w:widowControl w:val="0"/>
        <w:numPr>
          <w:ilvl w:val="1"/>
          <w:numId w:val="28"/>
        </w:numPr>
        <w:tabs>
          <w:tab w:val="left" w:pos="1134"/>
          <w:tab w:val="left" w:pos="1309"/>
          <w:tab w:val="left" w:pos="1418"/>
        </w:tabs>
        <w:autoSpaceDE w:val="0"/>
        <w:autoSpaceDN w:val="0"/>
        <w:spacing w:after="0" w:line="480" w:lineRule="auto"/>
        <w:ind w:left="720" w:hanging="284"/>
        <w:jc w:val="both"/>
        <w:rPr>
          <w:rFonts w:ascii="Arial" w:hAnsi="Arial" w:cs="Arial"/>
          <w:sz w:val="24"/>
          <w:szCs w:val="24"/>
          <w:lang w:val="id-ID"/>
        </w:rPr>
      </w:pPr>
      <w:r w:rsidRPr="0035519F">
        <w:rPr>
          <w:rFonts w:ascii="Arial" w:hAnsi="Arial" w:cs="Arial"/>
          <w:sz w:val="24"/>
          <w:szCs w:val="24"/>
          <w:lang w:val="id-ID"/>
        </w:rPr>
        <w:t>Diet</w:t>
      </w:r>
    </w:p>
    <w:p w14:paraId="290A0271" w14:textId="77777777" w:rsidR="007757AB" w:rsidRPr="0035519F" w:rsidRDefault="0044523D" w:rsidP="0003017A">
      <w:pPr>
        <w:pStyle w:val="BodyText"/>
        <w:tabs>
          <w:tab w:val="left" w:pos="588"/>
        </w:tabs>
        <w:spacing w:line="480" w:lineRule="auto"/>
        <w:ind w:left="720" w:right="32" w:firstLine="425"/>
        <w:jc w:val="both"/>
      </w:pPr>
      <w:r w:rsidRPr="0035519F">
        <w:t xml:space="preserve">Manusia cenderung lebih menyukai jenis makanan </w:t>
      </w:r>
      <w:r w:rsidR="00C647F6" w:rsidRPr="0035519F">
        <w:t>tinggi kalori</w:t>
      </w:r>
      <w:r w:rsidRPr="0035519F">
        <w:t xml:space="preserve"> dan berlemak. Hal ini membuat manusia rentan terhad</w:t>
      </w:r>
      <w:r w:rsidR="0031032D" w:rsidRPr="0035519F">
        <w:t>ap lingkungan obesogenik modern</w:t>
      </w:r>
      <w:r w:rsidR="00E100F3" w:rsidRPr="0035519F">
        <w:t xml:space="preserve"> yan</w:t>
      </w:r>
      <w:r w:rsidR="0016001C" w:rsidRPr="0035519F">
        <w:t>g</w:t>
      </w:r>
      <w:r w:rsidR="0031032D" w:rsidRPr="0035519F">
        <w:t xml:space="preserve"> menyebabkan</w:t>
      </w:r>
      <w:r w:rsidRPr="0035519F">
        <w:t xml:space="preserve"> peningkatan </w:t>
      </w:r>
      <w:r w:rsidR="0003017A" w:rsidRPr="0035519F">
        <w:rPr>
          <w:i/>
        </w:rPr>
        <w:t>intake</w:t>
      </w:r>
      <w:r w:rsidRPr="0035519F">
        <w:t xml:space="preserve"> energi </w:t>
      </w:r>
      <w:r w:rsidRPr="0035519F">
        <w:lastRenderedPageBreak/>
        <w:t>dan peningkatan risiko obesitas. Makanan cepat saji atau makanan yang dibawa pulang</w:t>
      </w:r>
      <w:r w:rsidR="0031032D" w:rsidRPr="0035519F">
        <w:t xml:space="preserve"> (</w:t>
      </w:r>
      <w:r w:rsidR="0031032D" w:rsidRPr="0035519F">
        <w:rPr>
          <w:i/>
        </w:rPr>
        <w:t>take away</w:t>
      </w:r>
      <w:r w:rsidR="0031032D" w:rsidRPr="0035519F">
        <w:t xml:space="preserve">) </w:t>
      </w:r>
      <w:r w:rsidRPr="0035519F">
        <w:t>biasanya mengandung lemak tinggi</w:t>
      </w:r>
      <w:r w:rsidR="0031032D" w:rsidRPr="0035519F">
        <w:t>,</w:t>
      </w:r>
      <w:r w:rsidRPr="0035519F">
        <w:t xml:space="preserve"> </w:t>
      </w:r>
      <w:r w:rsidR="00C647F6" w:rsidRPr="0035519F">
        <w:t>kalori</w:t>
      </w:r>
      <w:r w:rsidR="0031032D" w:rsidRPr="0035519F">
        <w:t xml:space="preserve"> tinggi</w:t>
      </w:r>
      <w:r w:rsidRPr="0035519F">
        <w:t xml:space="preserve"> dan rendah serat.</w:t>
      </w:r>
      <w:r w:rsidR="00C647F6" w:rsidRPr="0035519F">
        <w:t xml:space="preserve"> Pola diet seperti ini akan meningkatkan berat badan juga dapat menyebabkan hiperins</w:t>
      </w:r>
      <w:r w:rsidR="004F465C" w:rsidRPr="0035519F">
        <w:t xml:space="preserve">ulinemia dan resistensi insulin </w:t>
      </w:r>
      <w:r w:rsidR="00254191" w:rsidRPr="0035519F">
        <w:fldChar w:fldCharType="begin" w:fldLock="1"/>
      </w:r>
      <w:r w:rsidR="00D11F03" w:rsidRPr="0035519F">
        <w:instrText>ADDIN CSL_CITATION {"citationItems":[{"id":"ITEM-1","itemData":{"ISSN":"2580-9776","abstract":"Latar belakang : Obesitas merupakan masalah kesehatan yang disebabkan oleh berbagai faktor salah satunya dari faktor diet. Diet tinggi sukrosa dan fruktosa dapat memicu terjadinya masalah gizi lebih yaitu  overweight  dan obesitas. Diet tinggi sukrosa dan fruktosa jika dilakukan seseorang yang mengalami obesitas akan menyebabkan masalah kesehatan seperti penyakit metabolik.   Tujuan:  Tujuan penulisan artikel ini adalah adalah membahas pengaruh diet tinggi sukrosa dan fruktosa terhadap obesitas.   Metode:  Penelusuran artikel berdasarkan literatur dalam 10 tahun terakhir (2010-2020) menggunakan database elektronik seperti  Google Scholar, Scopus, Science Direct, dan PubMed/Medline  yang menganalisis pengaruh diet tinggi sukrosa dan fruktosa terhadap obesitas   Ulasan:  Hasil penelusuran penelitian menunjukkan bahwa diet tinggi sukrosa dan fruktosa dapat menyebabkan kenaikan berat badan,  overweight , obesitas, meningkatkan lingkar pinggang, meningkatkan lemak dalam tubuh dan inflamasi pada jaringan adiposa. Dampak penyakit penyerta dari diet tinggi sukrosa dan fruktosa yaitu  Nonalcoholic Fatty Liver Disease , kerusakan hati, penurunan  energy expenditure  dan stress oksidatif pada ginjal.     Kesimpulan:  Diet tinggi sukrosa dan fruktosa menyebabkan  kenaikan berat badan hingga masalah gizi lebih yaitu  overweight  dan obesitas. Dampak diet tinggi sukrosa dan fruktosa dengan penyakit akibat obesitas yakni menyebabkan NAFLD ( Nonalcoholic Fatty Liver Disease ). Penelitian terkait diet tinggi sukrosa dan fruktosa banyak dilakukan pada hewan coba. Penelitian selanjutnya diharapkan banyak dilakukan pada manusia juga, agar nantinya bisa dibandingkan dengan hasil penelitian dengan hewan coba, hasil tersebut sesuai dengan teori atau tidak.","author":[{"dropping-particle":"","family":"Anggreini","given":"Alvia","non-dropping-particle":"","parse-names":false,"suffix":""},{"dropping-particle":"","family":"Sutoyo","given":"Deandrya Ardya R.","non-dropping-particle":"","parse-names":false,"suffix":""},{"dropping-particle":"","family":"Atmaka","given":"Dominikus Raditya","non-dropping-particle":"","parse-names":false,"suffix":""}],"container-title":"Amerta Nutrition","id":"ITEM-1","issue":"2","issued":{"date-parts":[["2021","6","21"]]},"page":"173-179","title":"The Effect of Sucrose and Fructose Diet on Obesity in Test Animals: A Review","type":"article-journal","volume":"5"},"uris":["http://www.mendeley.com/documents/?uuid=3b6fe5f7-cd6c-37a1-bb0b-8e0b481398d7"]},{"id":"ITEM-2","itemData":{"DOI":"10.15167/2421-4248/jpmh2018.59.3.830","ISSN":"24214248","PMID":"30397681","abstract":"Nowadays, the prevalence of both fast food consumption and overweight/obesity has been increased. This study aimed to estimate the prevalence of fast food consumption and to assess its association with abdominal and general obesity. In an analytical cross-sectional study, 300 students were selected randomly from two largest universities in Qom, center of Iran, studying in medical and basic sciences fields in 2015. Data collection was conducted by a modified version of NELSON’s fast food questionnaire and anthropometric measures including Waist-Hip Ratio (WHR) and Body Mass Index (BMI). Chi-square, independent t-test, and multivariate logistic regression were used for statistical analysis. According to our results, 72.4% (67.4% in females vs 80.7% in males) had at least one type of fast food consumption in the recent month including sandwich 44.4%, pizza 39.7%, and fried chicken 13.8%, The obesity prevalence based on BMI and WHR was 21.3% (95% CI: 19.4, 23.2%) and 33.2% (95% CI: 0.7, 35.7), respectively. Fast food consumption was related to abdominal obesity as WHR (OR: 1.46, 95% CI: 1.11, 2.26), but was not related to general obesity as BMI (OR: 0.97, 95% CI: 0.63, 1.52). The prevalence of fast food consumption and obesity/ overweight in Iranian student is high. Fast food consumption was associated with abdominal obesity based WHR, but did not related to general obesity based on BMI.","author":[{"dropping-particle":"","family":"Mohammadbeigi","given":"A.","non-dropping-particle":"","parse-names":false,"suffix":""},{"dropping-particle":"","family":"Asgarian","given":"A.","non-dropping-particle":"","parse-names":false,"suffix":""},{"dropping-particle":"","family":"Moshir","given":"E.","non-dropping-particle":"","parse-names":false,"suffix":""},{"dropping-particle":"","family":"Heidari","given":"H.","non-dropping-particle":"","parse-names":false,"suffix":""},{"dropping-particle":"","family":"Afrashteh","given":"S.","non-dropping-particle":"","parse-names":false,"suffix":""},{"dropping-particle":"","family":"Khazaei","given":"S.","non-dropping-particle":"","parse-names":false,"suffix":""},{"dropping-particle":"","family":"Ansari","given":"H.","non-dropping-particle":"","parse-names":false,"suffix":""}],"container-title":"Journal of Preventive Medicine and Hygiene","id":"ITEM-2","issue":"3","issued":{"date-parts":[["2018"]]},"page":"E236-E240","publisher":"Pacini Editore","title":"Fast food consumption and overweight/obesity prevalence in students and its association with general and abdominal obesity","type":"article-journal","volume":"59"},"uris":["http://www.mendeley.com/documents/?uuid=82edc95b-0192-3325-947a-940722313650"]}],"mendeley":{"formattedCitation":"(Mohammadbeigi &lt;i&gt;et al.&lt;/i&gt;, 2018; Anggreini, Sutoyo and Atmaka, 2021)","plainTextFormattedCitation":"(Mohammadbeigi et al., 2018; Anggreini, Sutoyo and Atmaka, 2021)","previouslyFormattedCitation":"(Mohammadbeigi &lt;i&gt;et al.&lt;/i&gt;, 2018; Anggreini, Sutoyo and Atmaka, 2021)"},"properties":{"noteIndex":0},"schema":"https://github.com/citation-style-language/schema/raw/master/csl-citation.json"}</w:instrText>
      </w:r>
      <w:r w:rsidR="00254191" w:rsidRPr="0035519F">
        <w:fldChar w:fldCharType="separate"/>
      </w:r>
      <w:r w:rsidR="00D11F03" w:rsidRPr="0035519F">
        <w:rPr>
          <w:noProof/>
        </w:rPr>
        <w:t xml:space="preserve">(Mohammadbeigi </w:t>
      </w:r>
      <w:r w:rsidR="00D11F03" w:rsidRPr="0035519F">
        <w:rPr>
          <w:i/>
          <w:noProof/>
        </w:rPr>
        <w:t>et al.</w:t>
      </w:r>
      <w:r w:rsidR="00D11F03" w:rsidRPr="0035519F">
        <w:rPr>
          <w:noProof/>
        </w:rPr>
        <w:t>, 2018; Anggreini, Sutoyo and Atmaka, 2021)</w:t>
      </w:r>
      <w:r w:rsidR="00254191" w:rsidRPr="0035519F">
        <w:fldChar w:fldCharType="end"/>
      </w:r>
      <w:r w:rsidR="004F465C" w:rsidRPr="0035519F">
        <w:t>.</w:t>
      </w:r>
    </w:p>
    <w:p w14:paraId="000C62D3" w14:textId="77777777" w:rsidR="007757AB" w:rsidRPr="0035519F" w:rsidRDefault="007757AB" w:rsidP="0003017A">
      <w:pPr>
        <w:pStyle w:val="ListParagraph"/>
        <w:widowControl w:val="0"/>
        <w:numPr>
          <w:ilvl w:val="1"/>
          <w:numId w:val="28"/>
        </w:numPr>
        <w:tabs>
          <w:tab w:val="left" w:pos="3261"/>
        </w:tabs>
        <w:autoSpaceDE w:val="0"/>
        <w:autoSpaceDN w:val="0"/>
        <w:spacing w:after="0" w:line="480" w:lineRule="auto"/>
        <w:ind w:left="720" w:right="144" w:hanging="284"/>
        <w:jc w:val="both"/>
        <w:rPr>
          <w:rFonts w:ascii="Arial" w:hAnsi="Arial" w:cs="Arial"/>
          <w:sz w:val="24"/>
          <w:szCs w:val="24"/>
          <w:lang w:val="id-ID"/>
        </w:rPr>
      </w:pPr>
      <w:r w:rsidRPr="0035519F">
        <w:rPr>
          <w:rFonts w:ascii="Arial" w:hAnsi="Arial" w:cs="Arial"/>
          <w:sz w:val="24"/>
          <w:szCs w:val="24"/>
          <w:lang w:val="id-ID"/>
        </w:rPr>
        <w:t xml:space="preserve">Gaya </w:t>
      </w:r>
      <w:r w:rsidRPr="0035519F">
        <w:rPr>
          <w:rFonts w:ascii="Arial" w:hAnsi="Arial" w:cs="Arial"/>
          <w:sz w:val="24"/>
          <w:szCs w:val="24"/>
        </w:rPr>
        <w:t xml:space="preserve">hidup </w:t>
      </w:r>
      <w:r w:rsidRPr="0035519F">
        <w:rPr>
          <w:rFonts w:ascii="Arial" w:hAnsi="Arial" w:cs="Arial"/>
          <w:i/>
          <w:sz w:val="24"/>
          <w:szCs w:val="24"/>
        </w:rPr>
        <w:t>sedentary</w:t>
      </w:r>
    </w:p>
    <w:p w14:paraId="7637EDD9" w14:textId="6B5F445A" w:rsidR="007757AB" w:rsidRPr="0035519F" w:rsidRDefault="00550BD4" w:rsidP="0003017A">
      <w:pPr>
        <w:spacing w:after="0" w:line="480" w:lineRule="auto"/>
        <w:ind w:left="720" w:right="32" w:firstLine="426"/>
        <w:jc w:val="both"/>
        <w:rPr>
          <w:rFonts w:ascii="Arial" w:hAnsi="Arial" w:cs="Arial"/>
          <w:sz w:val="24"/>
          <w:szCs w:val="24"/>
        </w:rPr>
      </w:pPr>
      <w:r w:rsidRPr="0035519F">
        <w:rPr>
          <w:rFonts w:ascii="Arial" w:hAnsi="Arial" w:cs="Arial"/>
          <w:sz w:val="24"/>
          <w:szCs w:val="24"/>
          <w:lang w:val="id-ID"/>
        </w:rPr>
        <w:t xml:space="preserve">Studi eksperimental pada manusia telah menunjukkan bahwa </w:t>
      </w:r>
      <w:r w:rsidRPr="0035519F">
        <w:rPr>
          <w:rFonts w:ascii="Arial" w:hAnsi="Arial" w:cs="Arial"/>
          <w:sz w:val="24"/>
          <w:szCs w:val="24"/>
        </w:rPr>
        <w:t>gaya hidup</w:t>
      </w:r>
      <w:r w:rsidRPr="0035519F">
        <w:rPr>
          <w:rFonts w:ascii="Arial" w:hAnsi="Arial" w:cs="Arial"/>
          <w:sz w:val="24"/>
          <w:szCs w:val="24"/>
          <w:lang w:val="id-ID"/>
        </w:rPr>
        <w:t xml:space="preserve"> </w:t>
      </w:r>
      <w:r w:rsidRPr="0035519F">
        <w:rPr>
          <w:rFonts w:ascii="Arial" w:hAnsi="Arial" w:cs="Arial"/>
          <w:i/>
          <w:sz w:val="24"/>
          <w:szCs w:val="24"/>
          <w:lang w:val="id-ID"/>
        </w:rPr>
        <w:t>sedentary</w:t>
      </w:r>
      <w:r w:rsidRPr="0035519F">
        <w:rPr>
          <w:rFonts w:ascii="Arial" w:hAnsi="Arial" w:cs="Arial"/>
          <w:sz w:val="24"/>
          <w:szCs w:val="24"/>
          <w:lang w:val="id-ID"/>
        </w:rPr>
        <w:t xml:space="preserve"> dikaitkan dengan pengurangan</w:t>
      </w:r>
      <w:r w:rsidR="0031032D" w:rsidRPr="0035519F">
        <w:rPr>
          <w:rFonts w:ascii="Arial" w:hAnsi="Arial" w:cs="Arial"/>
          <w:sz w:val="24"/>
          <w:szCs w:val="24"/>
        </w:rPr>
        <w:t xml:space="preserve"> penggunaan</w:t>
      </w:r>
      <w:r w:rsidRPr="0035519F">
        <w:rPr>
          <w:rFonts w:ascii="Arial" w:hAnsi="Arial" w:cs="Arial"/>
          <w:sz w:val="24"/>
          <w:szCs w:val="24"/>
          <w:lang w:val="id-ID"/>
        </w:rPr>
        <w:t xml:space="preserve"> energi, </w:t>
      </w:r>
      <w:r w:rsidRPr="0035519F">
        <w:rPr>
          <w:rFonts w:ascii="Arial" w:hAnsi="Arial" w:cs="Arial"/>
          <w:sz w:val="24"/>
          <w:szCs w:val="24"/>
        </w:rPr>
        <w:t xml:space="preserve">terjadinya </w:t>
      </w:r>
      <w:r w:rsidRPr="0035519F">
        <w:rPr>
          <w:rFonts w:ascii="Arial" w:hAnsi="Arial" w:cs="Arial"/>
          <w:sz w:val="24"/>
          <w:szCs w:val="24"/>
          <w:lang w:val="id-ID"/>
        </w:rPr>
        <w:t>resistensi insulin, gangguan sensitivitas insulin dan akumulasi lemak perut.</w:t>
      </w:r>
      <w:r w:rsidRPr="0035519F">
        <w:t xml:space="preserve"> </w:t>
      </w:r>
      <w:r w:rsidRPr="0035519F">
        <w:rPr>
          <w:rFonts w:ascii="Arial" w:hAnsi="Arial" w:cs="Arial"/>
          <w:sz w:val="24"/>
          <w:szCs w:val="24"/>
        </w:rPr>
        <w:t xml:space="preserve">Gaya hidup </w:t>
      </w:r>
      <w:r w:rsidRPr="0035519F">
        <w:rPr>
          <w:rFonts w:ascii="Arial" w:hAnsi="Arial" w:cs="Arial"/>
          <w:i/>
          <w:sz w:val="24"/>
          <w:szCs w:val="24"/>
        </w:rPr>
        <w:t>sedentary</w:t>
      </w:r>
      <w:r w:rsidRPr="0035519F">
        <w:rPr>
          <w:rFonts w:ascii="Arial" w:hAnsi="Arial" w:cs="Arial"/>
          <w:sz w:val="24"/>
          <w:szCs w:val="24"/>
        </w:rPr>
        <w:t xml:space="preserve"> </w:t>
      </w:r>
      <w:r w:rsidRPr="0035519F">
        <w:rPr>
          <w:rFonts w:ascii="Arial" w:hAnsi="Arial" w:cs="Arial"/>
          <w:sz w:val="24"/>
          <w:szCs w:val="24"/>
          <w:lang w:val="id-ID"/>
        </w:rPr>
        <w:t xml:space="preserve">dikaitkan dengan </w:t>
      </w:r>
      <w:r w:rsidR="0003017A" w:rsidRPr="0035519F">
        <w:rPr>
          <w:rFonts w:ascii="Arial" w:hAnsi="Arial" w:cs="Arial"/>
          <w:i/>
          <w:sz w:val="24"/>
          <w:szCs w:val="24"/>
          <w:lang w:val="id-ID"/>
        </w:rPr>
        <w:t>intake</w:t>
      </w:r>
      <w:r w:rsidRPr="0035519F">
        <w:rPr>
          <w:rFonts w:ascii="Arial" w:hAnsi="Arial" w:cs="Arial"/>
          <w:sz w:val="24"/>
          <w:szCs w:val="24"/>
          <w:lang w:val="id-ID"/>
        </w:rPr>
        <w:t xml:space="preserve"> energi yang lebih tinggi, </w:t>
      </w:r>
      <w:r w:rsidRPr="0035519F">
        <w:rPr>
          <w:rFonts w:ascii="Arial" w:hAnsi="Arial" w:cs="Arial"/>
          <w:sz w:val="24"/>
          <w:szCs w:val="24"/>
        </w:rPr>
        <w:t>keadaan ini</w:t>
      </w:r>
      <w:r w:rsidRPr="0035519F">
        <w:rPr>
          <w:rFonts w:ascii="Arial" w:hAnsi="Arial" w:cs="Arial"/>
          <w:sz w:val="24"/>
          <w:szCs w:val="24"/>
          <w:lang w:val="id-ID"/>
        </w:rPr>
        <w:t xml:space="preserve"> </w:t>
      </w:r>
      <w:r w:rsidRPr="0035519F">
        <w:rPr>
          <w:rFonts w:ascii="Arial" w:hAnsi="Arial" w:cs="Arial"/>
          <w:sz w:val="24"/>
          <w:szCs w:val="24"/>
        </w:rPr>
        <w:t xml:space="preserve">dapat mempengaruhi dan </w:t>
      </w:r>
      <w:r w:rsidRPr="0035519F">
        <w:rPr>
          <w:rFonts w:ascii="Arial" w:hAnsi="Arial" w:cs="Arial"/>
          <w:sz w:val="24"/>
          <w:szCs w:val="24"/>
          <w:lang w:val="id-ID"/>
        </w:rPr>
        <w:t xml:space="preserve">mengacaukan </w:t>
      </w:r>
      <w:r w:rsidRPr="0035519F">
        <w:rPr>
          <w:rFonts w:ascii="Arial" w:hAnsi="Arial" w:cs="Arial"/>
          <w:sz w:val="24"/>
          <w:szCs w:val="24"/>
        </w:rPr>
        <w:t xml:space="preserve">pembentukan </w:t>
      </w:r>
      <w:r w:rsidR="0003017A" w:rsidRPr="0035519F">
        <w:rPr>
          <w:rFonts w:ascii="Arial" w:hAnsi="Arial" w:cs="Arial"/>
          <w:sz w:val="24"/>
          <w:szCs w:val="24"/>
          <w:lang w:val="id-ID"/>
        </w:rPr>
        <w:t>adiposit tubuh</w:t>
      </w:r>
      <w:r w:rsidR="004F465C" w:rsidRPr="0035519F">
        <w:rPr>
          <w:rFonts w:ascii="Arial" w:hAnsi="Arial" w:cs="Arial"/>
          <w:sz w:val="24"/>
          <w:szCs w:val="24"/>
        </w:rPr>
        <w:t xml:space="preserve"> </w:t>
      </w:r>
      <w:r w:rsidRPr="0035519F">
        <w:rPr>
          <w:rFonts w:ascii="Arial" w:hAnsi="Arial" w:cs="Arial"/>
          <w:sz w:val="24"/>
          <w:szCs w:val="24"/>
          <w:lang w:val="id-ID"/>
        </w:rPr>
        <w:fldChar w:fldCharType="begin" w:fldLock="1"/>
      </w:r>
      <w:r w:rsidR="00D11F03" w:rsidRPr="0035519F">
        <w:rPr>
          <w:rFonts w:ascii="Arial" w:hAnsi="Arial" w:cs="Arial"/>
          <w:sz w:val="24"/>
          <w:szCs w:val="24"/>
          <w:lang w:val="id-ID"/>
        </w:rPr>
        <w:instrText>ADDIN CSL_CITATION {"citationItems":[{"id":"ITEM-1","itemData":{"DOI":"10.1016/J.AMEPRE.2011.05.002","ISSN":"1873-2607","PMID":"21767726","abstract":"Context: Sedentary behavior is implicated in youth and adult overweight and obesity. However, the relationship between sedentary behavior and weight status is often small or inconsistent, with few studies controlling for confounding factors such as diet and physical activity. Diet has been hypothesized to covary with some sedentary behaviors. It is opportune, therefore, to review whether dietary intake is associated with sedentary behavior in young people and adults. This may allow for better interpretation of the diversity of findings concerning sedentary behavior and weight status. Evidence acquisition: Published English-language studies were located from computerized and manual searches in early 2010. Included studies were observational studies assessing an association between at least one sedentary behavior and at least one aspect of dietary intake in children (aged &lt;11 years), adolescents (aged 1218 years), or adults (aged &gt;18 years). Evidence synthesis: Fifty-three studies, totaling 111 independent samples, were eligible for this review. Sedentary behavior in children (n=19, independent samples=24), adolescents (n=26, independent samples=72), and adults (n=11, independent samples=14) appears to be clearly associated with elements of a less healthy diet including lower fruit and vegetable consumption; higher consumption of energy-dense snacks, drinks, and fast foods; and higher total energy intake. Strengths of association were mainly in the small-to-moderate range. Conclusions: The association drawn mainly from cross-sectional studies is that sedentary behavior, usually assessed as screen time and predominantly TV viewing, is associated with unhealthy dietary behaviors in children, adolescents, and adults. Interventions need to be developed that target reductions in sedentary time to test whether diet also changes. © 2011 American Journal of Preventive Medicine.","author":[{"dropping-particle":"","family":"Pearson","given":"Natalie","non-dropping-particle":"","parse-names":false,"suffix":""},{"dropping-particle":"","family":"Biddle","given":"Stuart J.H.","non-dropping-particle":"","parse-names":false,"suffix":""}],"container-title":"American journal of preventive medicine","id":"ITEM-1","issue":"2","issued":{"date-parts":[["2011"]]},"page":"178-188","publisher":"Am J Prev Med","title":"Sedentary behavior and dietary intake in children, adolescents, and adults. A systematic review","type":"article-journal","volume":"41"},"uris":["http://www.mendeley.com/documents/?uuid=cfaf13a5-9610-3d07-b80c-40e96d1def0b"]},{"id":"ITEM-2","itemData":{"DOI":"10.1016/J.METABOL.2010.08.014","ISSN":"1532-8600","PMID":"21067784","abstract":"Prolonged periods of limited muscle activity can reduce insulin action. Acute changes in low muscle activity (ie, sitting) have not been assessed. In addition, unless energy intake is reduced during sitting to match low expenditure, the concurrent energy surplus may explain lower insulin action. The objective of the study was to evaluate the acute effect of sitting, with and without energy surplus, on insulin action. Fourteen young (26.1 ± 4.5 years, mean ± SD), nonobese (23.7% ± 7.1% fat), fit (peak oxygen consumption = 49.1 ± 3.3 mL·kg-1·min -1) men (n = 7) and women (n = 7) completed three 24-hour conditions: (1) an active, no-sitting condition (high energy expenditure of 2944 ± 124 kcal with energy intake matched to expenditure) = NO-SIT; (2) low energy expenditure (sitting) of 2195 ± 121 kcal with no reduction in energy intake (energy surplus) = SIT; and (3) sitting with energy intake reduced to 2139 ± 118 kcal to match low expenditure (energy balance) = SIT-BAL. Insulin action was measured the following morning during a continuous infusion of [6,6-2H]-glucose. Data were analyzed using linear mixed-effects models with planned contrasts. Compared with NO-SIT, insulin action, defined as whole-body rate of glucose disappearance normalized to mean plasma insulin, was reduced by 39% in SIT (P &lt; .001) and by 18% in SIT-BAL (P = .07). Insulin action was higher in SIT-BAL compared with SIT (P = .04). One day of sitting considerably reduced insulin action; this effect was minimized, but not prevented, when energy intake was reduced to match expenditure. Strategies to limit daily sitting may reduce metabolic disease risk. © 2011 Elsevier Inc. All rights reserved.","author":[{"dropping-particle":"","family":"Stephens","given":"Brooke R.","non-dropping-particle":"","parse-names":false,"suffix":""},{"dropping-particle":"","family":"Granados","given":"Kirsten","non-dropping-particle":"","parse-names":false,"suffix":""},{"dropping-particle":"","family":"Zderic","given":"Theodore W.","non-dropping-particle":"","parse-names":false,"suffix":""},{"dropping-particle":"","family":"Hamilton","given":"Marc T.","non-dropping-particle":"","parse-names":false,"suffix":""},{"dropping-particle":"","family":"Braun","given":"Barry","non-dropping-particle":"","parse-names":false,"suffix":""}],"container-title":"Metabolism: clinical and experimental","id":"ITEM-2","issue":"7","issued":{"date-parts":[["2011","7"]]},"page":"941-949","publisher":"Metabolism","title":"Effects of 1 day of inactivity on insulin action in healthy men and women: interaction with energy intake","type":"article-journal","volume":"60"},"uris":["http://www.mendeley.com/documents/?uuid=3e5cbb85-17f2-32b4-97a2-38b4f7899285"]}],"mendeley":{"formattedCitation":"(Pearson and Biddle, 2011; Stephens &lt;i&gt;et al.&lt;/i&gt;, 2011)","plainTextFormattedCitation":"(Pearson and Biddle, 2011; Stephens et al., 2011)","previouslyFormattedCitation":"(Pearson and Biddle, 2011; Stephens &lt;i&gt;et al.&lt;/i&gt;, 2011)"},"properties":{"noteIndex":0},"schema":"https://github.com/citation-style-language/schema/raw/master/csl-citation.json"}</w:instrText>
      </w:r>
      <w:r w:rsidRPr="0035519F">
        <w:rPr>
          <w:rFonts w:ascii="Arial" w:hAnsi="Arial" w:cs="Arial"/>
          <w:sz w:val="24"/>
          <w:szCs w:val="24"/>
          <w:lang w:val="id-ID"/>
        </w:rPr>
        <w:fldChar w:fldCharType="separate"/>
      </w:r>
      <w:r w:rsidR="00D11F03" w:rsidRPr="0035519F">
        <w:rPr>
          <w:rFonts w:ascii="Arial" w:hAnsi="Arial" w:cs="Arial"/>
          <w:noProof/>
          <w:sz w:val="24"/>
          <w:szCs w:val="24"/>
          <w:lang w:val="id-ID"/>
        </w:rPr>
        <w:t xml:space="preserve">(Pearson and Biddle, 2011; Stephens </w:t>
      </w:r>
      <w:r w:rsidR="00D11F03" w:rsidRPr="0035519F">
        <w:rPr>
          <w:rFonts w:ascii="Arial" w:hAnsi="Arial" w:cs="Arial"/>
          <w:i/>
          <w:noProof/>
          <w:sz w:val="24"/>
          <w:szCs w:val="24"/>
          <w:lang w:val="id-ID"/>
        </w:rPr>
        <w:t>et al.</w:t>
      </w:r>
      <w:r w:rsidR="00D11F03" w:rsidRPr="0035519F">
        <w:rPr>
          <w:rFonts w:ascii="Arial" w:hAnsi="Arial" w:cs="Arial"/>
          <w:noProof/>
          <w:sz w:val="24"/>
          <w:szCs w:val="24"/>
          <w:lang w:val="id-ID"/>
        </w:rPr>
        <w:t>, 2011)</w:t>
      </w:r>
      <w:r w:rsidRPr="0035519F">
        <w:rPr>
          <w:rFonts w:ascii="Arial" w:hAnsi="Arial" w:cs="Arial"/>
          <w:sz w:val="24"/>
          <w:szCs w:val="24"/>
          <w:lang w:val="id-ID"/>
        </w:rPr>
        <w:fldChar w:fldCharType="end"/>
      </w:r>
      <w:r w:rsidR="0003017A" w:rsidRPr="0035519F">
        <w:rPr>
          <w:rFonts w:ascii="Arial" w:hAnsi="Arial" w:cs="Arial"/>
          <w:sz w:val="24"/>
          <w:szCs w:val="24"/>
        </w:rPr>
        <w:t>.</w:t>
      </w:r>
      <w:r w:rsidRPr="0035519F">
        <w:rPr>
          <w:rFonts w:ascii="Arial" w:hAnsi="Arial" w:cs="Arial"/>
          <w:sz w:val="24"/>
          <w:szCs w:val="24"/>
        </w:rPr>
        <w:t xml:space="preserve"> </w:t>
      </w:r>
      <w:r w:rsidR="007757AB" w:rsidRPr="0035519F">
        <w:rPr>
          <w:rFonts w:ascii="Arial" w:hAnsi="Arial" w:cs="Arial"/>
          <w:sz w:val="24"/>
          <w:szCs w:val="24"/>
        </w:rPr>
        <w:t>Penelitian menunjukkan aktivitas fis</w:t>
      </w:r>
      <w:r w:rsidRPr="0035519F">
        <w:rPr>
          <w:rFonts w:ascii="Arial" w:hAnsi="Arial" w:cs="Arial"/>
          <w:sz w:val="24"/>
          <w:szCs w:val="24"/>
        </w:rPr>
        <w:t>i</w:t>
      </w:r>
      <w:r w:rsidR="007757AB" w:rsidRPr="0035519F">
        <w:rPr>
          <w:rFonts w:ascii="Arial" w:hAnsi="Arial" w:cs="Arial"/>
          <w:sz w:val="24"/>
          <w:szCs w:val="24"/>
        </w:rPr>
        <w:t>k yang teratur dan berolahraga berhubungan den</w:t>
      </w:r>
      <w:r w:rsidR="0003017A" w:rsidRPr="0035519F">
        <w:rPr>
          <w:rFonts w:ascii="Arial" w:hAnsi="Arial" w:cs="Arial"/>
          <w:sz w:val="24"/>
          <w:szCs w:val="24"/>
        </w:rPr>
        <w:t>gan menurunnya lingkar pinggang</w:t>
      </w:r>
      <w:r w:rsidR="004F465C" w:rsidRPr="0035519F">
        <w:rPr>
          <w:rFonts w:ascii="Arial" w:hAnsi="Arial" w:cs="Arial"/>
          <w:sz w:val="24"/>
          <w:szCs w:val="24"/>
        </w:rPr>
        <w:t xml:space="preserve"> </w:t>
      </w:r>
      <w:r w:rsidR="007757AB"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author":[{"dropping-particle":"","family":"Tchernof","given":"André","non-dropping-particle":"","parse-names":false,"suffix":""},{"dropping-particle":"","family":"Després","given":"Jean-Pierre","non-dropping-particle":"","parse-names":false,"suffix":""}],"container-title":"Physiological Reviews","id":"ITEM-1","issue":"1","issued":{"date-parts":[["2013","1"]]},"page":"359-404","title":"Pathophysiology of Human Visceral Obesity: An Update","type":"article-journal","volume":"93"},"uris":["http://www.mendeley.com/documents/?uuid=e1d1b7fd-73ad-4c5b-8286-6b56add85f2c","http://www.mendeley.com/documents/?uuid=d89dd35f-a20e-4455-9aa0-1cc73c1bfe7e"]},{"id":"ITEM-2","itemData":{"DOI":"10.1056/NEJMra1514009","ISSN":"0028-4793","PMID":"28099824","abstract":"Seven of the top 10 leading causes of death and disability in the United States today are chronic diseases (e.g., cancer and diabetes).1 Preven- tion and treatment of most of these conditions must address the close link with obesity. People who are overweight or obese account for more than two thirds of the U.S. population1 and are overrepresented in primary care practices.2 Some professional organizations now classify obesity, defined as a body-mass index (BMI, the weight in kilograms divided by the square of the height in meters) of 30 or higher, as a disease.3 Management of overweight (BMI, ≥25) or obesity in the clinical setting, alone or in combination with a chronic disease, is the focus of this review","author":[{"dropping-particle":"","family":"Heymsfield","given":"Steven B.","non-dropping-particle":"","parse-names":false,"suffix":""},{"dropping-particle":"","family":"Wadden","given":"Thomas A.","non-dropping-particle":"","parse-names":false,"suffix":""}],"container-title":"New England Journal of Medicine","editor":[{"dropping-particle":"","family":"Longo","given":"Dan L.","non-dropping-particle":"","parse-names":false,"suffix":""}],"id":"ITEM-2","issue":"3","issued":{"date-parts":[["2017","1"]]},"page":"254-266","title":"Mechanisms, Pathophysiology, and Management of Obesity","type":"article-journal","volume":"376"},"uris":["http://www.mendeley.com/documents/?uuid=1b5f5de3-723a-4d40-b88f-6cb8da8c7fb9","http://www.mendeley.com/documents/?uuid=58a1fca0-8654-4c60-9caf-09aad35f26c7","http://www.mendeley.com/documents/?uuid=2d4caed8-b7cb-4d82-b924-7f3d4c941441"]}],"mendeley":{"formattedCitation":"(Tchernof and J.-P. Després, 2013; Heymsfield and Wadden, 2017)","plainTextFormattedCitation":"(Tchernof and J.-P. Després, 2013; Heymsfield and Wadden, 2017)","previouslyFormattedCitation":"(Tchernof and J.-P. Després, 2013; Heymsfield and Wadden, 2017)"},"properties":{"noteIndex":0},"schema":"https://github.com/citation-style-language/schema/raw/master/csl-citation.json"}</w:instrText>
      </w:r>
      <w:r w:rsidR="007757AB" w:rsidRPr="0035519F">
        <w:rPr>
          <w:rFonts w:ascii="Arial" w:hAnsi="Arial" w:cs="Arial"/>
          <w:sz w:val="24"/>
          <w:szCs w:val="24"/>
        </w:rPr>
        <w:fldChar w:fldCharType="separate"/>
      </w:r>
      <w:r w:rsidR="00D11F03" w:rsidRPr="0035519F">
        <w:rPr>
          <w:rFonts w:ascii="Arial" w:hAnsi="Arial" w:cs="Arial"/>
          <w:noProof/>
          <w:sz w:val="24"/>
          <w:szCs w:val="24"/>
        </w:rPr>
        <w:t>(Tchernof and J.-P. Després, 2013; Heymsfield and Wadden, 2017)</w:t>
      </w:r>
      <w:r w:rsidR="007757AB" w:rsidRPr="0035519F">
        <w:rPr>
          <w:rFonts w:ascii="Arial" w:hAnsi="Arial" w:cs="Arial"/>
          <w:sz w:val="24"/>
          <w:szCs w:val="24"/>
        </w:rPr>
        <w:fldChar w:fldCharType="end"/>
      </w:r>
      <w:r w:rsidR="007757AB" w:rsidRPr="0035519F">
        <w:rPr>
          <w:rFonts w:ascii="Arial" w:hAnsi="Arial" w:cs="Arial"/>
          <w:sz w:val="24"/>
          <w:szCs w:val="24"/>
        </w:rPr>
        <w:t>.</w:t>
      </w:r>
    </w:p>
    <w:p w14:paraId="40CE2522" w14:textId="77777777" w:rsidR="006E0438" w:rsidRPr="0035519F" w:rsidRDefault="006E0438" w:rsidP="0003017A">
      <w:pPr>
        <w:spacing w:after="0" w:line="480" w:lineRule="auto"/>
        <w:ind w:left="720" w:right="32" w:firstLine="426"/>
        <w:jc w:val="both"/>
        <w:rPr>
          <w:rFonts w:ascii="Arial" w:hAnsi="Arial" w:cs="Arial"/>
          <w:sz w:val="24"/>
          <w:szCs w:val="24"/>
          <w:lang w:val="id-ID"/>
        </w:rPr>
      </w:pPr>
    </w:p>
    <w:p w14:paraId="2B03E0FC" w14:textId="77777777" w:rsidR="007757AB" w:rsidRPr="0035519F" w:rsidRDefault="007757AB" w:rsidP="00BA23FD">
      <w:pPr>
        <w:pStyle w:val="ListParagraph"/>
        <w:numPr>
          <w:ilvl w:val="0"/>
          <w:numId w:val="25"/>
        </w:numPr>
        <w:spacing w:after="0" w:line="480" w:lineRule="auto"/>
        <w:ind w:left="426" w:hanging="426"/>
        <w:outlineLvl w:val="2"/>
        <w:rPr>
          <w:rFonts w:ascii="Arial" w:hAnsi="Arial" w:cs="Arial"/>
          <w:b/>
          <w:sz w:val="24"/>
          <w:szCs w:val="24"/>
        </w:rPr>
      </w:pPr>
      <w:bookmarkStart w:id="32" w:name="_Toc111022762"/>
      <w:r w:rsidRPr="0035519F">
        <w:rPr>
          <w:rFonts w:ascii="Arial" w:hAnsi="Arial" w:cs="Arial"/>
          <w:b/>
          <w:sz w:val="24"/>
          <w:szCs w:val="24"/>
        </w:rPr>
        <w:t>Patofisiologi</w:t>
      </w:r>
      <w:r w:rsidR="00A83F25" w:rsidRPr="0035519F">
        <w:rPr>
          <w:rFonts w:ascii="Arial" w:hAnsi="Arial" w:cs="Arial"/>
          <w:b/>
          <w:sz w:val="24"/>
          <w:szCs w:val="24"/>
        </w:rPr>
        <w:t xml:space="preserve"> </w:t>
      </w:r>
      <w:r w:rsidR="00A83F25" w:rsidRPr="0035519F">
        <w:rPr>
          <w:rFonts w:ascii="Arial" w:hAnsi="Arial" w:cs="Arial"/>
          <w:sz w:val="24"/>
          <w:szCs w:val="24"/>
        </w:rPr>
        <w:fldChar w:fldCharType="begin" w:fldLock="1"/>
      </w:r>
      <w:r w:rsidR="00BA1CDD" w:rsidRPr="0035519F">
        <w:rPr>
          <w:rFonts w:ascii="Arial" w:hAnsi="Arial" w:cs="Arial"/>
          <w:sz w:val="24"/>
          <w:szCs w:val="24"/>
        </w:rPr>
        <w:instrText>ADDIN CSL_CITATION {"citationItems":[{"id":"ITEM-1","itemData":{"DOI":"10.1038/emm.2016.4","abstract":"Accumulated evidence from genetic animal models suggests that the brain, particularly the hypothalamus, has a key role in the homeostatic regulation of energy and glucose metabolism. The brain integrates multiple metabolic inputs from the periphery through nutrients, gut-derived satiety signals and adiposity-related hormones. The brain modulates various aspects of metabolism, such as food intake, energy expenditure, insulin secretion, hepatic glucose production and glucose/fatty acid metabolism in adipose tissue and skeletal muscle. Highly coordinated interactions between the brain and peripheral metabolic organs are critical for the maintenance of energy and glucose homeostasis. Defective crosstalk between the brain and peripheral organs contributes to the development of obesity and type 2 diabetes. Here we comprehensively review the above topics, discussing the main findings related to the role of the brain in the homeostatic regulation of energy and glucose metabolism. CENTRAL REGULATION OF ENERGY METABOLISM In normal individuals, food intake and energy expenditure are tightly regulated by homeostatic mechanisms to maintain energy balance. Substantial evidence indicates that the brain, particularly the hypothalamus, is primarily responsible for the regulation of energy homeostasis. 1 The brain monitors changes in the body energy state by sensing alterations in the plasma levels of key metabolic hormones and nutrients. Specialized neuronal networks in the brain coordinate adaptive changes in food intake and energy expenditure in response to altered metabolic conditions (Figure 1). 2,3 Brain regulation of food intake The hypothalamus is considered a key organ in the regulation of food intake. The hypothalamic arcuate nucleus (ARC) is adjacent to the median eminence, one of the circumventricular organs, and surrounds the third cerebroventricle. Thus, hormones and nutrients in the systemic circulation and the cerebrospinal fluid can easily access the ARC. Anatomically, the ARC is considered a hypothalamic area that primarily senses metabolic signals from the periphery via the systemic circulation. 4 In the ARC, there are two distinct neuronal populations: one group of neurons produces the orexigenic neuropeptides neuropeptide Y (NPY) and agouti-related peptide (AgRP), whereas the other subset of neurons expresses the anorexigenic neuropeptides proopiomelanocortin (POMC), and cocaine-and amphetamine-regulated transcript. These neurons are the first-order …","author":[{"dropping-particle":"","family":"Roh","given":"Eun","non-dropping-particle":"","parse-names":false,"suffix":""},{"dropping-particle":"","family":"Song","given":"Do Kyeong","non-dropping-particle":"","parse-names":false,"suffix":""},{"dropping-particle":"","family":"Kim","given":"Min-Seon","non-dropping-particle":"","parse-names":false,"suffix":""}],"container-title":"Experimental &amp; Molecular Medicine","id":"ITEM-1","issued":{"date-parts":[["2016"]]},"page":"216","title":"Emerging role of the brain in the homeostatic regulation of energy and glucose metabolism","type":"article-journal","volume":"48"},"uris":["http://www.mendeley.com/documents/?uuid=df1de0f4-8109-3e5d-ac0c-1738dcd21752"]}],"mendeley":{"formattedCitation":"(Roh, Song and M.-S. Kim, 2016)","plainTextFormattedCitation":"(Roh, Song and M.-S. Kim, 2016)","previouslyFormattedCitation":"(Roh, Song and M.-S. Kim, 2016)"},"properties":{"noteIndex":0},"schema":"https://github.com/citation-style-language/schema/raw/master/csl-citation.json"}</w:instrText>
      </w:r>
      <w:r w:rsidR="00A83F25" w:rsidRPr="0035519F">
        <w:rPr>
          <w:rFonts w:ascii="Arial" w:hAnsi="Arial" w:cs="Arial"/>
          <w:sz w:val="24"/>
          <w:szCs w:val="24"/>
        </w:rPr>
        <w:fldChar w:fldCharType="separate"/>
      </w:r>
      <w:r w:rsidR="00965F4C" w:rsidRPr="0035519F">
        <w:rPr>
          <w:rFonts w:ascii="Arial" w:hAnsi="Arial" w:cs="Arial"/>
          <w:noProof/>
          <w:sz w:val="24"/>
          <w:szCs w:val="24"/>
        </w:rPr>
        <w:t>(Roh, Song and M.-S. Kim, 2016)</w:t>
      </w:r>
      <w:r w:rsidR="00A83F25" w:rsidRPr="0035519F">
        <w:rPr>
          <w:rFonts w:ascii="Arial" w:hAnsi="Arial" w:cs="Arial"/>
          <w:sz w:val="24"/>
          <w:szCs w:val="24"/>
        </w:rPr>
        <w:fldChar w:fldCharType="end"/>
      </w:r>
      <w:r w:rsidR="00A83F25" w:rsidRPr="0035519F">
        <w:rPr>
          <w:rFonts w:ascii="Arial" w:hAnsi="Arial" w:cs="Arial"/>
          <w:sz w:val="24"/>
          <w:szCs w:val="24"/>
        </w:rPr>
        <w:t>.</w:t>
      </w:r>
      <w:bookmarkEnd w:id="32"/>
    </w:p>
    <w:p w14:paraId="4EDADD3E" w14:textId="77777777" w:rsidR="00B140C8" w:rsidRPr="0035519F" w:rsidRDefault="0003017A" w:rsidP="007757AB">
      <w:pPr>
        <w:spacing w:after="0" w:line="480" w:lineRule="auto"/>
        <w:ind w:left="426" w:firstLine="567"/>
        <w:jc w:val="both"/>
        <w:rPr>
          <w:rFonts w:ascii="Arial" w:hAnsi="Arial" w:cs="Arial"/>
          <w:sz w:val="24"/>
          <w:szCs w:val="24"/>
        </w:rPr>
      </w:pPr>
      <w:r w:rsidRPr="0035519F">
        <w:rPr>
          <w:rFonts w:ascii="Arial" w:hAnsi="Arial" w:cs="Arial"/>
          <w:i/>
          <w:sz w:val="24"/>
          <w:szCs w:val="24"/>
        </w:rPr>
        <w:t>Intake</w:t>
      </w:r>
      <w:r w:rsidR="00AE4F81" w:rsidRPr="0035519F">
        <w:rPr>
          <w:rFonts w:ascii="Arial" w:hAnsi="Arial" w:cs="Arial"/>
          <w:sz w:val="24"/>
          <w:szCs w:val="24"/>
          <w:lang w:val="id-ID"/>
        </w:rPr>
        <w:t xml:space="preserve"> makanan dan </w:t>
      </w:r>
      <w:r w:rsidRPr="0035519F">
        <w:rPr>
          <w:rFonts w:ascii="Arial" w:hAnsi="Arial" w:cs="Arial"/>
          <w:sz w:val="24"/>
          <w:szCs w:val="24"/>
          <w:lang w:val="id-ID"/>
        </w:rPr>
        <w:t>penggunaan</w:t>
      </w:r>
      <w:r w:rsidR="00AE4F81" w:rsidRPr="0035519F">
        <w:rPr>
          <w:rFonts w:ascii="Arial" w:hAnsi="Arial" w:cs="Arial"/>
          <w:sz w:val="24"/>
          <w:szCs w:val="24"/>
          <w:lang w:val="id-ID"/>
        </w:rPr>
        <w:t xml:space="preserve"> energi </w:t>
      </w:r>
      <w:r w:rsidR="00B140C8" w:rsidRPr="0035519F">
        <w:rPr>
          <w:rFonts w:ascii="Arial" w:hAnsi="Arial" w:cs="Arial"/>
          <w:sz w:val="24"/>
          <w:szCs w:val="24"/>
          <w:lang w:val="id-ID"/>
        </w:rPr>
        <w:t xml:space="preserve">pada individu normal </w:t>
      </w:r>
      <w:r w:rsidR="00AE4F81" w:rsidRPr="0035519F">
        <w:rPr>
          <w:rFonts w:ascii="Arial" w:hAnsi="Arial" w:cs="Arial"/>
          <w:sz w:val="24"/>
          <w:szCs w:val="24"/>
          <w:lang w:val="id-ID"/>
        </w:rPr>
        <w:t>diatur secara ketat oleh mekanisme homeostatis untuk menjaga keseimbangan energi. Bukti sub</w:t>
      </w:r>
      <w:r w:rsidR="00B140C8" w:rsidRPr="0035519F">
        <w:rPr>
          <w:rFonts w:ascii="Arial" w:hAnsi="Arial" w:cs="Arial"/>
          <w:sz w:val="24"/>
          <w:szCs w:val="24"/>
          <w:lang w:val="id-ID"/>
        </w:rPr>
        <w:t>stansial menunjukkan bahwa otak khususnya hipotalamus bertanggung jawab dalam</w:t>
      </w:r>
      <w:r w:rsidR="00AE4F81" w:rsidRPr="0035519F">
        <w:rPr>
          <w:rFonts w:ascii="Arial" w:hAnsi="Arial" w:cs="Arial"/>
          <w:sz w:val="24"/>
          <w:szCs w:val="24"/>
          <w:lang w:val="id-ID"/>
        </w:rPr>
        <w:t xml:space="preserve"> pengaturan </w:t>
      </w:r>
      <w:r w:rsidR="00AE4F81" w:rsidRPr="0035519F">
        <w:rPr>
          <w:rFonts w:ascii="Arial" w:hAnsi="Arial" w:cs="Arial"/>
          <w:sz w:val="24"/>
          <w:szCs w:val="24"/>
          <w:lang w:val="id-ID"/>
        </w:rPr>
        <w:lastRenderedPageBreak/>
        <w:t>homeos</w:t>
      </w:r>
      <w:r w:rsidR="00B140C8" w:rsidRPr="0035519F">
        <w:rPr>
          <w:rFonts w:ascii="Arial" w:hAnsi="Arial" w:cs="Arial"/>
          <w:sz w:val="24"/>
          <w:szCs w:val="24"/>
          <w:lang w:val="id-ID"/>
        </w:rPr>
        <w:t>tasis energi.</w:t>
      </w:r>
      <w:r w:rsidR="00AE4F81" w:rsidRPr="0035519F">
        <w:rPr>
          <w:rFonts w:ascii="Arial" w:hAnsi="Arial" w:cs="Arial"/>
          <w:sz w:val="24"/>
          <w:szCs w:val="24"/>
          <w:lang w:val="id-ID"/>
        </w:rPr>
        <w:t xml:space="preserve"> Otak memantau perubahan status energi tubuh dengan merasakan perubahan kadar ho</w:t>
      </w:r>
      <w:r w:rsidR="00B140C8" w:rsidRPr="0035519F">
        <w:rPr>
          <w:rFonts w:ascii="Arial" w:hAnsi="Arial" w:cs="Arial"/>
          <w:sz w:val="24"/>
          <w:szCs w:val="24"/>
          <w:lang w:val="id-ID"/>
        </w:rPr>
        <w:t xml:space="preserve">rmon dan nutrisi metabolik </w:t>
      </w:r>
      <w:r w:rsidR="0031032D" w:rsidRPr="0035519F">
        <w:rPr>
          <w:rFonts w:ascii="Arial" w:hAnsi="Arial" w:cs="Arial"/>
          <w:sz w:val="24"/>
          <w:szCs w:val="24"/>
        </w:rPr>
        <w:t xml:space="preserve">yang </w:t>
      </w:r>
      <w:r w:rsidR="00B140C8" w:rsidRPr="0035519F">
        <w:rPr>
          <w:rFonts w:ascii="Arial" w:hAnsi="Arial" w:cs="Arial"/>
          <w:sz w:val="24"/>
          <w:szCs w:val="24"/>
          <w:lang w:val="id-ID"/>
        </w:rPr>
        <w:t>penting</w:t>
      </w:r>
      <w:r w:rsidR="0031032D" w:rsidRPr="0035519F">
        <w:rPr>
          <w:rFonts w:ascii="Arial" w:hAnsi="Arial" w:cs="Arial"/>
          <w:sz w:val="24"/>
          <w:szCs w:val="24"/>
        </w:rPr>
        <w:t xml:space="preserve"> di</w:t>
      </w:r>
      <w:r w:rsidR="00AE4F81" w:rsidRPr="0035519F">
        <w:rPr>
          <w:rFonts w:ascii="Arial" w:hAnsi="Arial" w:cs="Arial"/>
          <w:sz w:val="24"/>
          <w:szCs w:val="24"/>
          <w:lang w:val="id-ID"/>
        </w:rPr>
        <w:t xml:space="preserve"> dalam plasma. </w:t>
      </w:r>
      <w:r w:rsidR="00B140C8" w:rsidRPr="0035519F">
        <w:rPr>
          <w:rFonts w:ascii="Arial" w:hAnsi="Arial" w:cs="Arial"/>
          <w:sz w:val="24"/>
          <w:szCs w:val="24"/>
        </w:rPr>
        <w:t>O</w:t>
      </w:r>
      <w:r w:rsidR="00AE4F81" w:rsidRPr="0035519F">
        <w:rPr>
          <w:rFonts w:ascii="Arial" w:hAnsi="Arial" w:cs="Arial"/>
          <w:sz w:val="24"/>
          <w:szCs w:val="24"/>
          <w:lang w:val="id-ID"/>
        </w:rPr>
        <w:t xml:space="preserve">tak </w:t>
      </w:r>
      <w:r w:rsidR="00B140C8" w:rsidRPr="0035519F">
        <w:rPr>
          <w:rFonts w:ascii="Arial" w:hAnsi="Arial" w:cs="Arial"/>
          <w:sz w:val="24"/>
          <w:szCs w:val="24"/>
        </w:rPr>
        <w:t xml:space="preserve">akan </w:t>
      </w:r>
      <w:r w:rsidR="00AE4F81" w:rsidRPr="0035519F">
        <w:rPr>
          <w:rFonts w:ascii="Arial" w:hAnsi="Arial" w:cs="Arial"/>
          <w:sz w:val="24"/>
          <w:szCs w:val="24"/>
          <w:lang w:val="id-ID"/>
        </w:rPr>
        <w:t>meng</w:t>
      </w:r>
      <w:r w:rsidR="00B140C8" w:rsidRPr="0035519F">
        <w:rPr>
          <w:rFonts w:ascii="Arial" w:hAnsi="Arial" w:cs="Arial"/>
          <w:sz w:val="24"/>
          <w:szCs w:val="24"/>
        </w:rPr>
        <w:t>k</w:t>
      </w:r>
      <w:r w:rsidR="00AE4F81" w:rsidRPr="0035519F">
        <w:rPr>
          <w:rFonts w:ascii="Arial" w:hAnsi="Arial" w:cs="Arial"/>
          <w:sz w:val="24"/>
          <w:szCs w:val="24"/>
          <w:lang w:val="id-ID"/>
        </w:rPr>
        <w:t>oordinasikan perubahan</w:t>
      </w:r>
      <w:r w:rsidRPr="0035519F">
        <w:rPr>
          <w:rFonts w:ascii="Arial" w:hAnsi="Arial" w:cs="Arial"/>
          <w:sz w:val="24"/>
          <w:szCs w:val="24"/>
        </w:rPr>
        <w:t xml:space="preserve"> yang bersifat</w:t>
      </w:r>
      <w:r w:rsidR="00AE4F81" w:rsidRPr="0035519F">
        <w:rPr>
          <w:rFonts w:ascii="Arial" w:hAnsi="Arial" w:cs="Arial"/>
          <w:sz w:val="24"/>
          <w:szCs w:val="24"/>
          <w:lang w:val="id-ID"/>
        </w:rPr>
        <w:t xml:space="preserve"> adaptif dalam </w:t>
      </w:r>
      <w:r w:rsidR="00B140C8" w:rsidRPr="0035519F">
        <w:rPr>
          <w:rFonts w:ascii="Arial" w:hAnsi="Arial" w:cs="Arial"/>
          <w:sz w:val="24"/>
          <w:szCs w:val="24"/>
        </w:rPr>
        <w:t xml:space="preserve">hal </w:t>
      </w:r>
      <w:r w:rsidRPr="0035519F">
        <w:rPr>
          <w:rFonts w:ascii="Arial" w:hAnsi="Arial" w:cs="Arial"/>
          <w:i/>
          <w:sz w:val="24"/>
          <w:szCs w:val="24"/>
          <w:lang w:val="id-ID"/>
        </w:rPr>
        <w:t>intake</w:t>
      </w:r>
      <w:r w:rsidR="00AE4F81" w:rsidRPr="0035519F">
        <w:rPr>
          <w:rFonts w:ascii="Arial" w:hAnsi="Arial" w:cs="Arial"/>
          <w:sz w:val="24"/>
          <w:szCs w:val="24"/>
          <w:lang w:val="id-ID"/>
        </w:rPr>
        <w:t xml:space="preserve"> makanan dan </w:t>
      </w:r>
      <w:r w:rsidRPr="0035519F">
        <w:rPr>
          <w:rFonts w:ascii="Arial" w:hAnsi="Arial" w:cs="Arial"/>
          <w:sz w:val="24"/>
          <w:szCs w:val="24"/>
          <w:lang w:val="id-ID"/>
        </w:rPr>
        <w:t>penggunaan</w:t>
      </w:r>
      <w:r w:rsidR="00AE4F81" w:rsidRPr="0035519F">
        <w:rPr>
          <w:rFonts w:ascii="Arial" w:hAnsi="Arial" w:cs="Arial"/>
          <w:sz w:val="24"/>
          <w:szCs w:val="24"/>
          <w:lang w:val="id-ID"/>
        </w:rPr>
        <w:t xml:space="preserve"> energi sebagai respons terhadap </w:t>
      </w:r>
      <w:r w:rsidR="00B140C8" w:rsidRPr="0035519F">
        <w:rPr>
          <w:rFonts w:ascii="Arial" w:hAnsi="Arial" w:cs="Arial"/>
          <w:sz w:val="24"/>
          <w:szCs w:val="24"/>
        </w:rPr>
        <w:t xml:space="preserve">perubahan </w:t>
      </w:r>
      <w:r w:rsidR="00AE4F81" w:rsidRPr="0035519F">
        <w:rPr>
          <w:rFonts w:ascii="Arial" w:hAnsi="Arial" w:cs="Arial"/>
          <w:sz w:val="24"/>
          <w:szCs w:val="24"/>
          <w:lang w:val="id-ID"/>
        </w:rPr>
        <w:t>kondisi metabolisme</w:t>
      </w:r>
      <w:r w:rsidRPr="0035519F">
        <w:rPr>
          <w:rFonts w:ascii="Arial" w:hAnsi="Arial" w:cs="Arial"/>
          <w:sz w:val="24"/>
          <w:szCs w:val="24"/>
        </w:rPr>
        <w:t xml:space="preserve"> </w:t>
      </w:r>
      <w:r w:rsidR="004F465C" w:rsidRPr="0035519F">
        <w:rPr>
          <w:rFonts w:ascii="Arial" w:hAnsi="Arial" w:cs="Arial"/>
          <w:sz w:val="24"/>
          <w:szCs w:val="24"/>
        </w:rPr>
        <w:t>(</w:t>
      </w:r>
      <w:r w:rsidRPr="0035519F">
        <w:rPr>
          <w:rFonts w:ascii="Arial" w:hAnsi="Arial" w:cs="Arial"/>
          <w:sz w:val="24"/>
          <w:szCs w:val="24"/>
        </w:rPr>
        <w:t>Gambar 3</w:t>
      </w:r>
      <w:r w:rsidR="00A83F25" w:rsidRPr="0035519F">
        <w:rPr>
          <w:rFonts w:ascii="Arial" w:hAnsi="Arial" w:cs="Arial"/>
          <w:sz w:val="24"/>
          <w:szCs w:val="24"/>
        </w:rPr>
        <w:t>)</w:t>
      </w:r>
      <w:r w:rsidR="00965F4C" w:rsidRPr="0035519F">
        <w:rPr>
          <w:rFonts w:ascii="Arial" w:hAnsi="Arial" w:cs="Arial"/>
          <w:sz w:val="24"/>
          <w:szCs w:val="24"/>
        </w:rPr>
        <w:t xml:space="preserve">, </w:t>
      </w:r>
      <w:r w:rsidR="00965F4C" w:rsidRPr="0035519F">
        <w:rPr>
          <w:rFonts w:ascii="Arial" w:hAnsi="Arial" w:cs="Arial"/>
          <w:sz w:val="24"/>
          <w:szCs w:val="24"/>
        </w:rPr>
        <w:fldChar w:fldCharType="begin" w:fldLock="1"/>
      </w:r>
      <w:r w:rsidR="00BA1CDD" w:rsidRPr="0035519F">
        <w:rPr>
          <w:rFonts w:ascii="Arial" w:hAnsi="Arial" w:cs="Arial"/>
          <w:sz w:val="24"/>
          <w:szCs w:val="24"/>
        </w:rPr>
        <w:instrText>ADDIN CSL_CITATION {"citationItems":[{"id":"ITEM-1","itemData":{"DOI":"10.1038/emm.2016.4","ISSN":"2092-6413","PMID":"26964832","abstract":"Accumulated evidence from genetic animal models suggests that the brain, particularly the hypothalamus, has a key role in the homeostatic regulation of energy and glucose metabolism. The brain integrates multiple metabolic inputs from the periphery through nutrients, gut-derived satiety signals and adiposity-related hormones. The brain modulates various aspects of metabolism, such as food intake, energy expenditure, insulin secretion, hepatic glucose production and glucose/fatty acid metabolism in adipose tissue and skeletal muscle. Highly coordinated interactions between the brain and peripheral metabolic organs are critical for the maintenance of energy and glucose homeostasis. Defective crosstalk between the brain and peripheral organs contributes to the development of obesity and type 2 diabetes. Here we comprehensively review the above topics, discussing the main findings related to the role of the brain in the homeostatic regulation of energy and glucose metabolism. Highly coordinated interactions between the brain and other organs of the body are critical for controlling the supply of energy from food. Min-Seon Kim and colleagues at the University of Ulsan in South Korea review these interactions, particularly the role of hypothalamus, a part of brain. They focus on the processes that keep energy supply and glucose metabolism within appropriate limits. The brain monitors energy intake by sensing gut hormones released when we eat, and by detecting nutrients in the blood. The brain also receives signals reporting the amounts of fatty or “adipose” tissue in the body. In response to these and other signals the brain controls food intake and metabolism. Understanding the systems that control glucose and energy balance will help to develop new drugs to combat obesity and diabetes.","author":[{"dropping-particle":"","family":"Roh","given":"Eun","non-dropping-particle":"","parse-names":false,"suffix":""},{"dropping-particle":"","family":"Song","given":"Do Kyeong","non-dropping-particle":"","parse-names":false,"suffix":""},{"dropping-particle":"","family":"Kim","given":"Min Seon","non-dropping-particle":"","parse-names":false,"suffix":""}],"container-title":"Experimental &amp; Molecular Medicine 2016 48:3","id":"ITEM-1","issue":"3","issued":{"date-parts":[["2016","3","11"]]},"page":"e216-e216","publisher":"Nature Publishing Group","title":"Emerging role of the brain in the homeostatic regulation of energy and glucose metabolism","type":"article-journal","volume":"48"},"uris":["http://www.mendeley.com/documents/?uuid=e72318ed-85a7-3986-b85a-2df39359101a"]}],"mendeley":{"formattedCitation":"(Roh, Song and M. S. Kim, 2016)","plainTextFormattedCitation":"(Roh, Song and M. S. Kim, 2016)","previouslyFormattedCitation":"(Roh, Song and M. S. Kim, 2016)"},"properties":{"noteIndex":0},"schema":"https://github.com/citation-style-language/schema/raw/master/csl-citation.json"}</w:instrText>
      </w:r>
      <w:r w:rsidR="00965F4C" w:rsidRPr="0035519F">
        <w:rPr>
          <w:rFonts w:ascii="Arial" w:hAnsi="Arial" w:cs="Arial"/>
          <w:sz w:val="24"/>
          <w:szCs w:val="24"/>
        </w:rPr>
        <w:fldChar w:fldCharType="separate"/>
      </w:r>
      <w:r w:rsidR="00965F4C" w:rsidRPr="0035519F">
        <w:rPr>
          <w:rFonts w:ascii="Arial" w:hAnsi="Arial" w:cs="Arial"/>
          <w:noProof/>
          <w:sz w:val="24"/>
          <w:szCs w:val="24"/>
        </w:rPr>
        <w:t>(Roh, Song and M. S. Kim, 2016)</w:t>
      </w:r>
      <w:r w:rsidR="00965F4C" w:rsidRPr="0035519F">
        <w:rPr>
          <w:rFonts w:ascii="Arial" w:hAnsi="Arial" w:cs="Arial"/>
          <w:sz w:val="24"/>
          <w:szCs w:val="24"/>
        </w:rPr>
        <w:fldChar w:fldCharType="end"/>
      </w:r>
      <w:r w:rsidR="00965F4C" w:rsidRPr="0035519F">
        <w:rPr>
          <w:rFonts w:ascii="Arial" w:hAnsi="Arial" w:cs="Arial"/>
          <w:sz w:val="24"/>
          <w:szCs w:val="24"/>
        </w:rPr>
        <w:t>.</w:t>
      </w:r>
    </w:p>
    <w:p w14:paraId="3D66681E" w14:textId="77777777" w:rsidR="005A1CBB" w:rsidRPr="0035519F" w:rsidRDefault="005A1CBB" w:rsidP="00E100F3">
      <w:pPr>
        <w:spacing w:after="0" w:line="240" w:lineRule="auto"/>
        <w:jc w:val="center"/>
        <w:rPr>
          <w:rFonts w:ascii="Arial" w:hAnsi="Arial" w:cs="Arial"/>
          <w:sz w:val="24"/>
          <w:szCs w:val="24"/>
          <w:lang w:val="id-ID"/>
        </w:rPr>
      </w:pPr>
      <w:r w:rsidRPr="0035519F">
        <w:rPr>
          <w:noProof/>
        </w:rPr>
        <w:drawing>
          <wp:inline distT="0" distB="0" distL="0" distR="0" wp14:anchorId="222EF19F" wp14:editId="7DF82BD6">
            <wp:extent cx="3756173" cy="2536825"/>
            <wp:effectExtent l="76200" t="38100" r="73025" b="1111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271" t="25633" r="26997" b="18235"/>
                    <a:stretch/>
                  </pic:blipFill>
                  <pic:spPr bwMode="auto">
                    <a:xfrm>
                      <a:off x="0" y="0"/>
                      <a:ext cx="3774249" cy="2549033"/>
                    </a:xfrm>
                    <a:prstGeom prst="rect">
                      <a:avLst/>
                    </a:prstGeom>
                    <a:ln w="19050" cap="flat" cmpd="sng" algn="ctr">
                      <a:solidFill>
                        <a:schemeClr val="tx1"/>
                      </a:solidFill>
                      <a:prstDash val="solid"/>
                      <a:round/>
                      <a:headEnd type="none" w="med" len="med"/>
                      <a:tailEnd type="none" w="med" len="med"/>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CB52383" w14:textId="5ECEF57D" w:rsidR="001B68C7" w:rsidRPr="0035519F" w:rsidRDefault="001C440B" w:rsidP="00461E06">
      <w:pPr>
        <w:pStyle w:val="Caption"/>
        <w:ind w:left="2340" w:right="1011" w:hanging="1350"/>
        <w:jc w:val="both"/>
        <w:rPr>
          <w:rFonts w:ascii="Arial" w:hAnsi="Arial" w:cs="Arial"/>
          <w:i w:val="0"/>
          <w:color w:val="auto"/>
          <w:sz w:val="24"/>
          <w:szCs w:val="20"/>
        </w:rPr>
      </w:pPr>
      <w:bookmarkStart w:id="33" w:name="_Toc111873691"/>
      <w:r w:rsidRPr="0035519F">
        <w:rPr>
          <w:rFonts w:ascii="Arial" w:hAnsi="Arial" w:cs="Arial"/>
          <w:i w:val="0"/>
          <w:color w:val="auto"/>
          <w:sz w:val="24"/>
          <w:szCs w:val="20"/>
        </w:rPr>
        <w:t xml:space="preserve">Gambar </w:t>
      </w:r>
      <w:r w:rsidRPr="0035519F">
        <w:rPr>
          <w:rFonts w:ascii="Arial" w:hAnsi="Arial" w:cs="Arial"/>
          <w:i w:val="0"/>
          <w:color w:val="auto"/>
          <w:sz w:val="24"/>
          <w:szCs w:val="20"/>
        </w:rPr>
        <w:fldChar w:fldCharType="begin"/>
      </w:r>
      <w:r w:rsidRPr="0035519F">
        <w:rPr>
          <w:rFonts w:ascii="Arial" w:hAnsi="Arial" w:cs="Arial"/>
          <w:i w:val="0"/>
          <w:color w:val="auto"/>
          <w:sz w:val="24"/>
          <w:szCs w:val="20"/>
        </w:rPr>
        <w:instrText xml:space="preserve"> SEQ Gambar \* ARABIC </w:instrText>
      </w:r>
      <w:r w:rsidRPr="0035519F">
        <w:rPr>
          <w:rFonts w:ascii="Arial" w:hAnsi="Arial" w:cs="Arial"/>
          <w:i w:val="0"/>
          <w:color w:val="auto"/>
          <w:sz w:val="24"/>
          <w:szCs w:val="20"/>
        </w:rPr>
        <w:fldChar w:fldCharType="separate"/>
      </w:r>
      <w:r w:rsidR="005B4074">
        <w:rPr>
          <w:rFonts w:ascii="Arial" w:hAnsi="Arial" w:cs="Arial"/>
          <w:i w:val="0"/>
          <w:noProof/>
          <w:color w:val="auto"/>
          <w:sz w:val="24"/>
          <w:szCs w:val="20"/>
        </w:rPr>
        <w:t>3</w:t>
      </w:r>
      <w:r w:rsidRPr="0035519F">
        <w:rPr>
          <w:rFonts w:ascii="Arial" w:hAnsi="Arial" w:cs="Arial"/>
          <w:i w:val="0"/>
          <w:color w:val="auto"/>
          <w:sz w:val="24"/>
          <w:szCs w:val="20"/>
        </w:rPr>
        <w:fldChar w:fldCharType="end"/>
      </w:r>
      <w:r w:rsidR="001B68C7" w:rsidRPr="0035519F">
        <w:rPr>
          <w:rFonts w:ascii="Arial" w:hAnsi="Arial" w:cs="Arial"/>
          <w:i w:val="0"/>
          <w:color w:val="auto"/>
          <w:sz w:val="24"/>
          <w:szCs w:val="20"/>
        </w:rPr>
        <w:t xml:space="preserve">. </w:t>
      </w:r>
      <w:r w:rsidR="00A83F25" w:rsidRPr="0035519F">
        <w:rPr>
          <w:rFonts w:ascii="Arial" w:hAnsi="Arial" w:cs="Arial"/>
          <w:i w:val="0"/>
          <w:color w:val="auto"/>
          <w:sz w:val="24"/>
          <w:szCs w:val="20"/>
        </w:rPr>
        <w:t xml:space="preserve">Integrasi sinyal metabolisme perifer dan sistem saraf pusat mempertahankan homeostasis energi </w:t>
      </w:r>
      <w:r w:rsidR="00085CBD" w:rsidRPr="0035519F">
        <w:rPr>
          <w:rFonts w:ascii="Arial" w:hAnsi="Arial" w:cs="Arial"/>
          <w:i w:val="0"/>
          <w:color w:val="auto"/>
          <w:sz w:val="24"/>
          <w:szCs w:val="20"/>
        </w:rPr>
        <w:fldChar w:fldCharType="begin" w:fldLock="1"/>
      </w:r>
      <w:r w:rsidR="00BA1CDD" w:rsidRPr="0035519F">
        <w:rPr>
          <w:rFonts w:ascii="Arial" w:hAnsi="Arial" w:cs="Arial"/>
          <w:i w:val="0"/>
          <w:color w:val="auto"/>
          <w:sz w:val="24"/>
          <w:szCs w:val="20"/>
        </w:rPr>
        <w:instrText>ADDIN CSL_CITATION {"citationItems":[{"id":"ITEM-1","itemData":{"DOI":"10.1038/emm.2016.4","abstract":"Accumulated evidence from genetic animal models suggests that the brain, particularly the hypothalamus, has a key role in the homeostatic regulation of energy and glucose metabolism. The brain integrates multiple metabolic inputs from the periphery through nutrients, gut-derived satiety signals and adiposity-related hormones. The brain modulates various aspects of metabolism, such as food intake, energy expenditure, insulin secretion, hepatic glucose production and glucose/fatty acid metabolism in adipose tissue and skeletal muscle. Highly coordinated interactions between the brain and peripheral metabolic organs are critical for the maintenance of energy and glucose homeostasis. Defective crosstalk between the brain and peripheral organs contributes to the development of obesity and type 2 diabetes. Here we comprehensively review the above topics, discussing the main findings related to the role of the brain in the homeostatic regulation of energy and glucose metabolism. CENTRAL REGULATION OF ENERGY METABOLISM In normal individuals, food intake and energy expenditure are tightly regulated by homeostatic mechanisms to maintain energy balance. Substantial evidence indicates that the brain, particularly the hypothalamus, is primarily responsible for the regulation of energy homeostasis. 1 The brain monitors changes in the body energy state by sensing alterations in the plasma levels of key metabolic hormones and nutrients. Specialized neuronal networks in the brain coordinate adaptive changes in food intake and energy expenditure in response to altered metabolic conditions (Figure 1). 2,3 Brain regulation of food intake The hypothalamus is considered a key organ in the regulation of food intake. The hypothalamic arcuate nucleus (ARC) is adjacent to the median eminence, one of the circumventricular organs, and surrounds the third cerebroventricle. Thus, hormones and nutrients in the systemic circulation and the cerebrospinal fluid can easily access the ARC. Anatomically, the ARC is considered a hypothalamic area that primarily senses metabolic signals from the periphery via the systemic circulation. 4 In the ARC, there are two distinct neuronal populations: one group of neurons produces the orexigenic neuropeptides neuropeptide Y (NPY) and agouti-related peptide (AgRP), whereas the other subset of neurons expresses the anorexigenic neuropeptides proopiomelanocortin (POMC), and cocaine-and amphetamine-regulated transcript. These neurons are the first-order …","author":[{"dropping-particle":"","family":"Roh","given":"Eun","non-dropping-particle":"","parse-names":false,"suffix":""},{"dropping-particle":"","family":"Song","given":"Do Kyeong","non-dropping-particle":"","parse-names":false,"suffix":""},{"dropping-particle":"","family":"Kim","given":"Min-Seon","non-dropping-particle":"","parse-names":false,"suffix":""}],"container-title":"Experimental &amp; Molecular Medicine","id":"ITEM-1","issued":{"date-parts":[["2016"]]},"page":"216","title":"Emerging role of the brain in the homeostatic regulation of energy and glucose metabolism","type":"article-journal","volume":"48"},"uris":["http://www.mendeley.com/documents/?uuid=df1de0f4-8109-3e5d-ac0c-1738dcd21752"]}],"mendeley":{"formattedCitation":"(Roh, Song and M.-S. Kim, 2016)","plainTextFormattedCitation":"(Roh, Song and M.-S. Kim, 2016)","previouslyFormattedCitation":"(Roh, Song and M.-S. Kim, 2016)"},"properties":{"noteIndex":0},"schema":"https://github.com/citation-style-language/schema/raw/master/csl-citation.json"}</w:instrText>
      </w:r>
      <w:r w:rsidR="00085CBD" w:rsidRPr="0035519F">
        <w:rPr>
          <w:rFonts w:ascii="Arial" w:hAnsi="Arial" w:cs="Arial"/>
          <w:i w:val="0"/>
          <w:color w:val="auto"/>
          <w:sz w:val="24"/>
          <w:szCs w:val="20"/>
        </w:rPr>
        <w:fldChar w:fldCharType="separate"/>
      </w:r>
      <w:r w:rsidR="00965F4C" w:rsidRPr="0035519F">
        <w:rPr>
          <w:rFonts w:ascii="Arial" w:hAnsi="Arial" w:cs="Arial"/>
          <w:i w:val="0"/>
          <w:noProof/>
          <w:color w:val="auto"/>
          <w:sz w:val="24"/>
          <w:szCs w:val="20"/>
        </w:rPr>
        <w:t>(Roh, Song and M.-S. Kim, 2016)</w:t>
      </w:r>
      <w:r w:rsidR="00085CBD" w:rsidRPr="0035519F">
        <w:rPr>
          <w:rFonts w:ascii="Arial" w:hAnsi="Arial" w:cs="Arial"/>
          <w:i w:val="0"/>
          <w:color w:val="auto"/>
          <w:sz w:val="24"/>
          <w:szCs w:val="20"/>
        </w:rPr>
        <w:fldChar w:fldCharType="end"/>
      </w:r>
      <w:r w:rsidR="0003017A" w:rsidRPr="0035519F">
        <w:rPr>
          <w:rFonts w:ascii="Arial" w:hAnsi="Arial" w:cs="Arial"/>
          <w:i w:val="0"/>
          <w:color w:val="auto"/>
          <w:sz w:val="24"/>
          <w:szCs w:val="20"/>
        </w:rPr>
        <w:t>.</w:t>
      </w:r>
      <w:bookmarkEnd w:id="33"/>
    </w:p>
    <w:p w14:paraId="6C201F8B" w14:textId="77777777" w:rsidR="004F465C" w:rsidRPr="0035519F" w:rsidRDefault="004F465C" w:rsidP="00A83F25">
      <w:pPr>
        <w:spacing w:after="0" w:line="240" w:lineRule="auto"/>
        <w:rPr>
          <w:rFonts w:ascii="Arial" w:hAnsi="Arial" w:cs="Arial"/>
          <w:sz w:val="24"/>
          <w:szCs w:val="24"/>
        </w:rPr>
      </w:pPr>
    </w:p>
    <w:p w14:paraId="2767183A" w14:textId="77777777" w:rsidR="00BF5A33" w:rsidRPr="0035519F" w:rsidRDefault="00BF5A33" w:rsidP="00363776">
      <w:pPr>
        <w:pStyle w:val="ListParagraph"/>
        <w:numPr>
          <w:ilvl w:val="1"/>
          <w:numId w:val="31"/>
        </w:numPr>
        <w:spacing w:after="0" w:line="480" w:lineRule="auto"/>
        <w:ind w:left="810"/>
        <w:jc w:val="both"/>
        <w:rPr>
          <w:rFonts w:ascii="Arial" w:hAnsi="Arial" w:cs="Arial"/>
          <w:sz w:val="24"/>
          <w:szCs w:val="24"/>
        </w:rPr>
      </w:pPr>
      <w:r w:rsidRPr="0035519F">
        <w:rPr>
          <w:rFonts w:ascii="Arial" w:hAnsi="Arial" w:cs="Arial"/>
          <w:sz w:val="24"/>
          <w:szCs w:val="24"/>
        </w:rPr>
        <w:t>Peran Otak dalam regulasi intake makanan</w:t>
      </w:r>
      <w:r w:rsidR="0003017A" w:rsidRPr="0035519F">
        <w:rPr>
          <w:rFonts w:ascii="Arial" w:hAnsi="Arial" w:cs="Arial"/>
          <w:sz w:val="24"/>
          <w:szCs w:val="24"/>
        </w:rPr>
        <w:t>.</w:t>
      </w:r>
    </w:p>
    <w:p w14:paraId="39191EF2" w14:textId="77777777" w:rsidR="001B68C7" w:rsidRPr="0035519F" w:rsidRDefault="001B68C7" w:rsidP="005F6778">
      <w:pPr>
        <w:spacing w:after="0" w:line="480" w:lineRule="auto"/>
        <w:ind w:left="810" w:firstLine="630"/>
        <w:jc w:val="both"/>
        <w:rPr>
          <w:rFonts w:ascii="Arial" w:hAnsi="Arial" w:cs="Arial"/>
          <w:sz w:val="24"/>
          <w:szCs w:val="24"/>
        </w:rPr>
      </w:pPr>
      <w:r w:rsidRPr="0035519F">
        <w:rPr>
          <w:rFonts w:ascii="Arial" w:hAnsi="Arial" w:cs="Arial"/>
          <w:sz w:val="24"/>
          <w:szCs w:val="24"/>
        </w:rPr>
        <w:t xml:space="preserve">Otak mengintegrasikan sinyal metabolik dari jaringan perifer seperti hati, pankreas, jaringan adiposa, usus dan otot. Jaringan saraf khusus di otak </w:t>
      </w:r>
      <w:r w:rsidR="0003017A" w:rsidRPr="0035519F">
        <w:rPr>
          <w:rFonts w:ascii="Arial" w:hAnsi="Arial" w:cs="Arial"/>
          <w:sz w:val="24"/>
          <w:szCs w:val="24"/>
        </w:rPr>
        <w:t xml:space="preserve">akan </w:t>
      </w:r>
      <w:r w:rsidRPr="0035519F">
        <w:rPr>
          <w:rFonts w:ascii="Arial" w:hAnsi="Arial" w:cs="Arial"/>
          <w:sz w:val="24"/>
          <w:szCs w:val="24"/>
        </w:rPr>
        <w:t xml:space="preserve">mengkoordinasikan perubahan adaptif </w:t>
      </w:r>
      <w:r w:rsidR="0003017A" w:rsidRPr="0035519F">
        <w:rPr>
          <w:rFonts w:ascii="Arial" w:hAnsi="Arial" w:cs="Arial"/>
          <w:sz w:val="24"/>
          <w:szCs w:val="24"/>
        </w:rPr>
        <w:t>dari</w:t>
      </w:r>
      <w:r w:rsidRPr="0035519F">
        <w:rPr>
          <w:rFonts w:ascii="Arial" w:hAnsi="Arial" w:cs="Arial"/>
          <w:sz w:val="24"/>
          <w:szCs w:val="24"/>
        </w:rPr>
        <w:t xml:space="preserve"> </w:t>
      </w:r>
      <w:r w:rsidR="0003017A" w:rsidRPr="0035519F">
        <w:rPr>
          <w:rFonts w:ascii="Arial" w:hAnsi="Arial" w:cs="Arial"/>
          <w:i/>
          <w:sz w:val="24"/>
          <w:szCs w:val="24"/>
        </w:rPr>
        <w:t>intake</w:t>
      </w:r>
      <w:r w:rsidRPr="0035519F">
        <w:rPr>
          <w:rFonts w:ascii="Arial" w:hAnsi="Arial" w:cs="Arial"/>
          <w:sz w:val="24"/>
          <w:szCs w:val="24"/>
        </w:rPr>
        <w:t xml:space="preserve"> makanan dan </w:t>
      </w:r>
      <w:r w:rsidR="0003017A" w:rsidRPr="0035519F">
        <w:rPr>
          <w:rFonts w:ascii="Arial" w:hAnsi="Arial" w:cs="Arial"/>
          <w:sz w:val="24"/>
          <w:szCs w:val="24"/>
        </w:rPr>
        <w:t>penggunaan</w:t>
      </w:r>
      <w:r w:rsidRPr="0035519F">
        <w:rPr>
          <w:rFonts w:ascii="Arial" w:hAnsi="Arial" w:cs="Arial"/>
          <w:sz w:val="24"/>
          <w:szCs w:val="24"/>
        </w:rPr>
        <w:t xml:space="preserve"> energi sebagai respons terhadap kondisi </w:t>
      </w:r>
      <w:r w:rsidR="00A92C5E" w:rsidRPr="0035519F">
        <w:rPr>
          <w:rFonts w:ascii="Arial" w:hAnsi="Arial" w:cs="Arial"/>
          <w:sz w:val="24"/>
          <w:szCs w:val="24"/>
        </w:rPr>
        <w:t xml:space="preserve">perubahan </w:t>
      </w:r>
      <w:r w:rsidRPr="0035519F">
        <w:rPr>
          <w:rFonts w:ascii="Arial" w:hAnsi="Arial" w:cs="Arial"/>
          <w:sz w:val="24"/>
          <w:szCs w:val="24"/>
        </w:rPr>
        <w:t>metabolisme. Neuropeptida Y</w:t>
      </w:r>
      <w:r w:rsidR="0089448C" w:rsidRPr="0035519F">
        <w:rPr>
          <w:rFonts w:ascii="Arial" w:hAnsi="Arial" w:cs="Arial"/>
          <w:sz w:val="24"/>
          <w:szCs w:val="24"/>
        </w:rPr>
        <w:t xml:space="preserve"> (NPY) </w:t>
      </w:r>
      <w:r w:rsidRPr="0035519F">
        <w:rPr>
          <w:rFonts w:ascii="Arial" w:hAnsi="Arial" w:cs="Arial"/>
          <w:sz w:val="24"/>
          <w:szCs w:val="24"/>
        </w:rPr>
        <w:t xml:space="preserve">/ </w:t>
      </w:r>
      <w:r w:rsidRPr="0035519F">
        <w:rPr>
          <w:rFonts w:ascii="Arial" w:hAnsi="Arial" w:cs="Arial"/>
          <w:i/>
          <w:sz w:val="24"/>
          <w:szCs w:val="24"/>
        </w:rPr>
        <w:t>agouti related protein</w:t>
      </w:r>
      <w:r w:rsidR="0089448C" w:rsidRPr="0035519F">
        <w:rPr>
          <w:rFonts w:ascii="Arial" w:hAnsi="Arial" w:cs="Arial"/>
          <w:i/>
          <w:sz w:val="24"/>
          <w:szCs w:val="24"/>
        </w:rPr>
        <w:t xml:space="preserve"> Y </w:t>
      </w:r>
      <w:r w:rsidR="0089448C" w:rsidRPr="0035519F">
        <w:rPr>
          <w:rFonts w:ascii="Arial" w:hAnsi="Arial" w:cs="Arial"/>
          <w:sz w:val="24"/>
          <w:szCs w:val="24"/>
        </w:rPr>
        <w:t>(AgPY)</w:t>
      </w:r>
      <w:r w:rsidRPr="0035519F">
        <w:rPr>
          <w:rFonts w:ascii="Arial" w:hAnsi="Arial" w:cs="Arial"/>
          <w:sz w:val="24"/>
          <w:szCs w:val="24"/>
        </w:rPr>
        <w:t xml:space="preserve"> dan </w:t>
      </w:r>
      <w:r w:rsidRPr="0035519F">
        <w:rPr>
          <w:rFonts w:ascii="Arial" w:hAnsi="Arial" w:cs="Arial"/>
          <w:i/>
          <w:sz w:val="24"/>
          <w:szCs w:val="24"/>
        </w:rPr>
        <w:t>proopiomelanocortin</w:t>
      </w:r>
      <w:r w:rsidR="0089448C" w:rsidRPr="0035519F">
        <w:rPr>
          <w:rFonts w:ascii="Arial" w:hAnsi="Arial" w:cs="Arial"/>
          <w:sz w:val="24"/>
          <w:szCs w:val="24"/>
        </w:rPr>
        <w:t xml:space="preserve"> (P</w:t>
      </w:r>
      <w:r w:rsidR="00BF5A33" w:rsidRPr="0035519F">
        <w:rPr>
          <w:rFonts w:ascii="Arial" w:hAnsi="Arial" w:cs="Arial"/>
          <w:sz w:val="24"/>
          <w:szCs w:val="24"/>
        </w:rPr>
        <w:t>O</w:t>
      </w:r>
      <w:r w:rsidR="0089448C" w:rsidRPr="0035519F">
        <w:rPr>
          <w:rFonts w:ascii="Arial" w:hAnsi="Arial" w:cs="Arial"/>
          <w:sz w:val="24"/>
          <w:szCs w:val="24"/>
        </w:rPr>
        <w:t>MC)</w:t>
      </w:r>
      <w:r w:rsidRPr="0035519F">
        <w:rPr>
          <w:rFonts w:ascii="Arial" w:hAnsi="Arial" w:cs="Arial"/>
          <w:sz w:val="24"/>
          <w:szCs w:val="24"/>
        </w:rPr>
        <w:t xml:space="preserve"> </w:t>
      </w:r>
      <w:r w:rsidRPr="0035519F">
        <w:rPr>
          <w:rFonts w:ascii="Arial" w:hAnsi="Arial" w:cs="Arial"/>
          <w:sz w:val="24"/>
          <w:szCs w:val="24"/>
        </w:rPr>
        <w:lastRenderedPageBreak/>
        <w:t xml:space="preserve">menghasilkan neuron tertentu di dalam nukleus arkuata </w:t>
      </w:r>
      <w:r w:rsidR="00BF5A33" w:rsidRPr="0035519F">
        <w:rPr>
          <w:rFonts w:ascii="Arial" w:hAnsi="Arial" w:cs="Arial"/>
          <w:sz w:val="24"/>
          <w:szCs w:val="24"/>
        </w:rPr>
        <w:t xml:space="preserve">(ACR) </w:t>
      </w:r>
      <w:r w:rsidRPr="0035519F">
        <w:rPr>
          <w:rFonts w:ascii="Arial" w:hAnsi="Arial" w:cs="Arial"/>
          <w:sz w:val="24"/>
          <w:szCs w:val="24"/>
        </w:rPr>
        <w:t xml:space="preserve">hipotalamus yang akan merasakan keadaan energi tubuh. Neuron ini memproyeksikan sinyal ke nukleus hipotalamus </w:t>
      </w:r>
      <w:r w:rsidR="0003017A" w:rsidRPr="0035519F">
        <w:rPr>
          <w:rFonts w:ascii="Arial" w:hAnsi="Arial" w:cs="Arial"/>
          <w:sz w:val="24"/>
          <w:szCs w:val="24"/>
        </w:rPr>
        <w:t>bagian lain</w:t>
      </w:r>
      <w:r w:rsidRPr="0035519F">
        <w:rPr>
          <w:rFonts w:ascii="Arial" w:hAnsi="Arial" w:cs="Arial"/>
          <w:sz w:val="24"/>
          <w:szCs w:val="24"/>
        </w:rPr>
        <w:t xml:space="preserve"> dan ke nukleus traktus solitarius di batang otak untuk mengontrol berbagai aspek </w:t>
      </w:r>
      <w:r w:rsidR="0003017A" w:rsidRPr="0035519F">
        <w:rPr>
          <w:rFonts w:ascii="Arial" w:hAnsi="Arial" w:cs="Arial"/>
          <w:sz w:val="24"/>
          <w:szCs w:val="24"/>
        </w:rPr>
        <w:t xml:space="preserve">dalam </w:t>
      </w:r>
      <w:r w:rsidRPr="0035519F">
        <w:rPr>
          <w:rFonts w:ascii="Arial" w:hAnsi="Arial" w:cs="Arial"/>
          <w:sz w:val="24"/>
          <w:szCs w:val="24"/>
        </w:rPr>
        <w:t xml:space="preserve">regulasi homeostatis keseimbangan energi. </w:t>
      </w:r>
    </w:p>
    <w:p w14:paraId="13C4F465" w14:textId="77777777" w:rsidR="00BF5A33" w:rsidRPr="0035519F" w:rsidRDefault="00BF5A33" w:rsidP="00BF5A33">
      <w:pPr>
        <w:spacing w:after="0" w:line="480" w:lineRule="auto"/>
        <w:ind w:left="900" w:hanging="450"/>
        <w:jc w:val="both"/>
        <w:rPr>
          <w:rFonts w:ascii="Arial" w:hAnsi="Arial" w:cs="Arial"/>
          <w:sz w:val="24"/>
          <w:szCs w:val="24"/>
        </w:rPr>
      </w:pPr>
      <w:r w:rsidRPr="0035519F">
        <w:rPr>
          <w:rFonts w:ascii="Arial" w:eastAsia="MS Mincho" w:hAnsi="Arial" w:cs="Arial"/>
          <w:sz w:val="24"/>
          <w:szCs w:val="24"/>
        </w:rPr>
        <w:t>b.</w:t>
      </w:r>
      <w:r w:rsidRPr="0035519F">
        <w:rPr>
          <w:rFonts w:ascii="Arial" w:hAnsi="Arial" w:cs="Arial"/>
          <w:sz w:val="24"/>
          <w:szCs w:val="24"/>
        </w:rPr>
        <w:t xml:space="preserve"> </w:t>
      </w:r>
      <w:r w:rsidR="00DC326D" w:rsidRPr="0035519F">
        <w:rPr>
          <w:rFonts w:ascii="Arial" w:hAnsi="Arial" w:cs="Arial"/>
          <w:sz w:val="24"/>
          <w:szCs w:val="24"/>
        </w:rPr>
        <w:t xml:space="preserve"> Peran otak dalam regulasi </w:t>
      </w:r>
      <w:r w:rsidR="0031032D" w:rsidRPr="0035519F">
        <w:rPr>
          <w:rFonts w:ascii="Arial" w:hAnsi="Arial" w:cs="Arial"/>
          <w:sz w:val="24"/>
          <w:szCs w:val="24"/>
        </w:rPr>
        <w:t>penggunaan</w:t>
      </w:r>
      <w:r w:rsidR="00DC326D" w:rsidRPr="0035519F">
        <w:rPr>
          <w:rFonts w:ascii="Arial" w:hAnsi="Arial" w:cs="Arial"/>
          <w:sz w:val="24"/>
          <w:szCs w:val="24"/>
        </w:rPr>
        <w:t xml:space="preserve"> </w:t>
      </w:r>
      <w:r w:rsidR="00A83F25" w:rsidRPr="0035519F">
        <w:rPr>
          <w:rFonts w:ascii="Arial" w:hAnsi="Arial" w:cs="Arial"/>
          <w:sz w:val="24"/>
          <w:szCs w:val="24"/>
        </w:rPr>
        <w:t xml:space="preserve">energi. </w:t>
      </w:r>
    </w:p>
    <w:p w14:paraId="05E08F4D" w14:textId="77777777" w:rsidR="00DC326D" w:rsidRPr="0035519F" w:rsidRDefault="00DC326D" w:rsidP="005F6778">
      <w:pPr>
        <w:spacing w:after="0" w:line="480" w:lineRule="auto"/>
        <w:ind w:left="810" w:firstLine="450"/>
        <w:jc w:val="both"/>
        <w:rPr>
          <w:rFonts w:ascii="Arial" w:hAnsi="Arial" w:cs="Arial"/>
          <w:sz w:val="24"/>
          <w:szCs w:val="24"/>
        </w:rPr>
      </w:pPr>
      <w:r w:rsidRPr="0035519F">
        <w:rPr>
          <w:rFonts w:ascii="Arial" w:hAnsi="Arial" w:cs="Arial"/>
          <w:sz w:val="24"/>
          <w:szCs w:val="24"/>
        </w:rPr>
        <w:t xml:space="preserve">Otak memodulasi berbagai proses yang mengonsumsi energi, seperti aktivitas lokomotor, oksidasi asam lemak di otot rangka, dan </w:t>
      </w:r>
      <w:r w:rsidR="0003017A" w:rsidRPr="0035519F">
        <w:rPr>
          <w:rFonts w:ascii="Arial" w:hAnsi="Arial" w:cs="Arial"/>
          <w:sz w:val="24"/>
          <w:szCs w:val="24"/>
        </w:rPr>
        <w:t>termogenesis</w:t>
      </w:r>
      <w:r w:rsidRPr="0035519F">
        <w:rPr>
          <w:rFonts w:ascii="Arial" w:hAnsi="Arial" w:cs="Arial"/>
          <w:sz w:val="24"/>
          <w:szCs w:val="24"/>
        </w:rPr>
        <w:t>.</w:t>
      </w:r>
      <w:r w:rsidR="00F867C0" w:rsidRPr="0035519F">
        <w:rPr>
          <w:rFonts w:ascii="Arial" w:hAnsi="Arial" w:cs="Arial"/>
          <w:sz w:val="24"/>
          <w:szCs w:val="24"/>
        </w:rPr>
        <w:t xml:space="preserve"> Otak mengatur </w:t>
      </w:r>
      <w:r w:rsidR="0003017A" w:rsidRPr="0035519F">
        <w:rPr>
          <w:rFonts w:ascii="Arial" w:hAnsi="Arial" w:cs="Arial"/>
          <w:sz w:val="24"/>
          <w:szCs w:val="24"/>
        </w:rPr>
        <w:t>termogenesis</w:t>
      </w:r>
      <w:r w:rsidR="00F867C0" w:rsidRPr="0035519F">
        <w:rPr>
          <w:rFonts w:ascii="Arial" w:hAnsi="Arial" w:cs="Arial"/>
          <w:sz w:val="24"/>
          <w:szCs w:val="24"/>
        </w:rPr>
        <w:t xml:space="preserve"> BAT melalui modulasi sistem saraf simpatik. Norepinefrin yang dilepaskan dari terminal saraf simpatis bekerja pada reseptor ß3-adrenergik pada adiposit di BAT dan bantalan lemak inguinal.</w:t>
      </w:r>
      <w:r w:rsidR="00F867C0" w:rsidRPr="0035519F">
        <w:t xml:space="preserve"> </w:t>
      </w:r>
      <w:r w:rsidR="00F867C0" w:rsidRPr="0035519F">
        <w:rPr>
          <w:rFonts w:ascii="Arial" w:hAnsi="Arial" w:cs="Arial"/>
          <w:sz w:val="24"/>
          <w:szCs w:val="24"/>
        </w:rPr>
        <w:t xml:space="preserve">Termogenesis BAT penting untuk menjaga suhu tubuh sebagai respons terhadap paparan dingin serta berperan membuang kelebihan energi setelah </w:t>
      </w:r>
      <w:r w:rsidR="0003017A" w:rsidRPr="0035519F">
        <w:rPr>
          <w:rFonts w:ascii="Arial" w:hAnsi="Arial" w:cs="Arial"/>
          <w:i/>
          <w:sz w:val="24"/>
          <w:szCs w:val="24"/>
        </w:rPr>
        <w:t>intake</w:t>
      </w:r>
      <w:r w:rsidR="00F867C0" w:rsidRPr="0035519F">
        <w:rPr>
          <w:rFonts w:ascii="Arial" w:hAnsi="Arial" w:cs="Arial"/>
          <w:sz w:val="24"/>
          <w:szCs w:val="24"/>
        </w:rPr>
        <w:t xml:space="preserve"> kalori tinggi. Karena subst</w:t>
      </w:r>
      <w:r w:rsidR="0031032D" w:rsidRPr="0035519F">
        <w:rPr>
          <w:rFonts w:ascii="Arial" w:hAnsi="Arial" w:cs="Arial"/>
          <w:sz w:val="24"/>
          <w:szCs w:val="24"/>
        </w:rPr>
        <w:t>rat bahan bakar metabolik adalah</w:t>
      </w:r>
      <w:r w:rsidR="00F867C0" w:rsidRPr="0035519F">
        <w:rPr>
          <w:rFonts w:ascii="Arial" w:hAnsi="Arial" w:cs="Arial"/>
          <w:sz w:val="24"/>
          <w:szCs w:val="24"/>
        </w:rPr>
        <w:t xml:space="preserve"> glukosa dan asam lemak di</w:t>
      </w:r>
      <w:r w:rsidR="009E06BD" w:rsidRPr="0035519F">
        <w:rPr>
          <w:rFonts w:ascii="Arial" w:hAnsi="Arial" w:cs="Arial"/>
          <w:sz w:val="24"/>
          <w:szCs w:val="24"/>
        </w:rPr>
        <w:t>utilisasi</w:t>
      </w:r>
      <w:r w:rsidR="00F867C0" w:rsidRPr="0035519F">
        <w:rPr>
          <w:rFonts w:ascii="Arial" w:hAnsi="Arial" w:cs="Arial"/>
          <w:sz w:val="24"/>
          <w:szCs w:val="24"/>
        </w:rPr>
        <w:t xml:space="preserve"> selama termogenesis BAT, maka termogenesis BAT dapat mempengaruhi berat badan dan massa lemak tubuh.</w:t>
      </w:r>
    </w:p>
    <w:p w14:paraId="12E630D3" w14:textId="77777777" w:rsidR="00F867C0" w:rsidRPr="0035519F" w:rsidRDefault="00F867C0" w:rsidP="00F867C0">
      <w:pPr>
        <w:spacing w:after="0" w:line="480" w:lineRule="auto"/>
        <w:ind w:left="540"/>
        <w:jc w:val="both"/>
        <w:rPr>
          <w:rFonts w:ascii="Arial" w:hAnsi="Arial" w:cs="Arial"/>
          <w:sz w:val="24"/>
          <w:szCs w:val="24"/>
        </w:rPr>
      </w:pPr>
      <w:r w:rsidRPr="0035519F">
        <w:rPr>
          <w:rFonts w:ascii="Arial" w:hAnsi="Arial" w:cs="Arial"/>
          <w:sz w:val="24"/>
          <w:szCs w:val="24"/>
        </w:rPr>
        <w:t xml:space="preserve">c.  Sinyal perifer yang memodulasi metabolisme </w:t>
      </w:r>
      <w:r w:rsidR="00A83F25" w:rsidRPr="0035519F">
        <w:rPr>
          <w:rFonts w:ascii="Arial" w:hAnsi="Arial" w:cs="Arial"/>
          <w:sz w:val="24"/>
          <w:szCs w:val="24"/>
        </w:rPr>
        <w:t>energi</w:t>
      </w:r>
      <w:r w:rsidR="0003017A" w:rsidRPr="0035519F">
        <w:rPr>
          <w:rFonts w:ascii="Arial" w:hAnsi="Arial" w:cs="Arial"/>
          <w:sz w:val="24"/>
          <w:szCs w:val="24"/>
        </w:rPr>
        <w:t>.</w:t>
      </w:r>
    </w:p>
    <w:p w14:paraId="23EBDCCE" w14:textId="77777777" w:rsidR="0074310B" w:rsidRPr="0035519F" w:rsidRDefault="0074310B" w:rsidP="00363776">
      <w:pPr>
        <w:pStyle w:val="ListParagraph"/>
        <w:numPr>
          <w:ilvl w:val="0"/>
          <w:numId w:val="32"/>
        </w:numPr>
        <w:spacing w:after="0" w:line="480" w:lineRule="auto"/>
        <w:ind w:left="1350"/>
        <w:jc w:val="both"/>
        <w:rPr>
          <w:rFonts w:ascii="Arial" w:hAnsi="Arial" w:cs="Arial"/>
          <w:sz w:val="24"/>
          <w:szCs w:val="24"/>
        </w:rPr>
      </w:pPr>
      <w:r w:rsidRPr="0035519F">
        <w:rPr>
          <w:rFonts w:ascii="Arial" w:hAnsi="Arial" w:cs="Arial"/>
          <w:sz w:val="24"/>
          <w:szCs w:val="24"/>
        </w:rPr>
        <w:t>Sinyal adiposit</w:t>
      </w:r>
    </w:p>
    <w:p w14:paraId="2A828F9F" w14:textId="77777777" w:rsidR="0074310B" w:rsidRPr="0035519F" w:rsidRDefault="0074310B" w:rsidP="0003017A">
      <w:pPr>
        <w:pStyle w:val="ListParagraph"/>
        <w:spacing w:after="0" w:line="480" w:lineRule="auto"/>
        <w:ind w:left="1350" w:firstLine="360"/>
        <w:jc w:val="both"/>
        <w:rPr>
          <w:rFonts w:ascii="Arial" w:hAnsi="Arial" w:cs="Arial"/>
          <w:sz w:val="24"/>
          <w:szCs w:val="24"/>
        </w:rPr>
      </w:pPr>
      <w:r w:rsidRPr="0035519F">
        <w:rPr>
          <w:rFonts w:ascii="Arial" w:hAnsi="Arial" w:cs="Arial"/>
          <w:sz w:val="24"/>
          <w:szCs w:val="24"/>
        </w:rPr>
        <w:t xml:space="preserve">Sinyal adiposit adalah sinyal perifer bersirkulasi yang sebanding dengan jumlah total lemak yang disimpan dan menginformasikan otak tentang status energi yang tersimpan. </w:t>
      </w:r>
      <w:r w:rsidRPr="0035519F">
        <w:rPr>
          <w:rFonts w:ascii="Arial" w:hAnsi="Arial" w:cs="Arial"/>
          <w:sz w:val="24"/>
          <w:szCs w:val="24"/>
        </w:rPr>
        <w:lastRenderedPageBreak/>
        <w:t xml:space="preserve">Insulin adalah hormon yang pertama kali diidentifikasi sebagai sinyal adipositas. Insulin disekresikan oleh sel ß </w:t>
      </w:r>
      <w:r w:rsidR="0003017A" w:rsidRPr="0035519F">
        <w:rPr>
          <w:rFonts w:ascii="Arial" w:hAnsi="Arial" w:cs="Arial"/>
          <w:sz w:val="24"/>
          <w:szCs w:val="24"/>
        </w:rPr>
        <w:t xml:space="preserve">pankreas </w:t>
      </w:r>
      <w:r w:rsidRPr="0035519F">
        <w:rPr>
          <w:rFonts w:ascii="Arial" w:hAnsi="Arial" w:cs="Arial"/>
          <w:sz w:val="24"/>
          <w:szCs w:val="24"/>
        </w:rPr>
        <w:t>sebagai respons terhadap fluks energi. Konsentrasi insulin plasma meningkat sebanding dengan jumlah lemak yang disimpan.</w:t>
      </w:r>
      <w:r w:rsidR="00BD35AC" w:rsidRPr="0035519F">
        <w:rPr>
          <w:rFonts w:ascii="Arial" w:hAnsi="Arial" w:cs="Arial"/>
          <w:sz w:val="24"/>
          <w:szCs w:val="24"/>
        </w:rPr>
        <w:t xml:space="preserve"> Sinyal perifer berikutnya adalah Leptin, yang dianggap sebagai sinyal adipositas yang representatif. Reseptor yang diaktifkan oleh leptin diekspresikan di beberapa daer</w:t>
      </w:r>
      <w:r w:rsidR="008D2A2E" w:rsidRPr="0035519F">
        <w:rPr>
          <w:rFonts w:ascii="Arial" w:hAnsi="Arial" w:cs="Arial"/>
          <w:sz w:val="24"/>
          <w:szCs w:val="24"/>
        </w:rPr>
        <w:t>ah di otak, seperti hipotalamus</w:t>
      </w:r>
      <w:r w:rsidR="00BD35AC" w:rsidRPr="0035519F">
        <w:rPr>
          <w:rFonts w:ascii="Arial" w:hAnsi="Arial" w:cs="Arial"/>
          <w:sz w:val="24"/>
          <w:szCs w:val="24"/>
        </w:rPr>
        <w:t>.</w:t>
      </w:r>
    </w:p>
    <w:p w14:paraId="6DCC96DC" w14:textId="77777777" w:rsidR="0074310B" w:rsidRPr="0035519F" w:rsidRDefault="0074310B" w:rsidP="00363776">
      <w:pPr>
        <w:pStyle w:val="ListParagraph"/>
        <w:numPr>
          <w:ilvl w:val="0"/>
          <w:numId w:val="32"/>
        </w:numPr>
        <w:spacing w:after="0" w:line="480" w:lineRule="auto"/>
        <w:ind w:left="1350"/>
        <w:jc w:val="both"/>
        <w:rPr>
          <w:rFonts w:ascii="Arial" w:hAnsi="Arial" w:cs="Arial"/>
          <w:sz w:val="24"/>
          <w:szCs w:val="24"/>
        </w:rPr>
      </w:pPr>
      <w:r w:rsidRPr="0035519F">
        <w:rPr>
          <w:rFonts w:ascii="Arial" w:hAnsi="Arial" w:cs="Arial"/>
          <w:sz w:val="24"/>
          <w:szCs w:val="24"/>
        </w:rPr>
        <w:t>Sinyal Nutrien</w:t>
      </w:r>
      <w:r w:rsidR="0003017A" w:rsidRPr="0035519F">
        <w:rPr>
          <w:rFonts w:ascii="Arial" w:hAnsi="Arial" w:cs="Arial"/>
          <w:sz w:val="24"/>
          <w:szCs w:val="24"/>
        </w:rPr>
        <w:t>.</w:t>
      </w:r>
    </w:p>
    <w:p w14:paraId="5CC4566E" w14:textId="77777777" w:rsidR="00BD35AC" w:rsidRPr="0035519F" w:rsidRDefault="003308DD" w:rsidP="0003017A">
      <w:pPr>
        <w:pStyle w:val="ListParagraph"/>
        <w:spacing w:after="0" w:line="480" w:lineRule="auto"/>
        <w:ind w:left="1350" w:firstLine="450"/>
        <w:jc w:val="both"/>
        <w:rPr>
          <w:rFonts w:ascii="Arial" w:hAnsi="Arial" w:cs="Arial"/>
          <w:sz w:val="24"/>
          <w:szCs w:val="24"/>
        </w:rPr>
      </w:pPr>
      <w:r w:rsidRPr="0035519F">
        <w:rPr>
          <w:rFonts w:ascii="Arial" w:hAnsi="Arial" w:cs="Arial"/>
          <w:sz w:val="24"/>
          <w:szCs w:val="24"/>
        </w:rPr>
        <w:t>Nutrisi seperti glukosa, asam lemak dan asam amino memberikan informasi tentang ketersediaan nutrisi ke otak. Glukosa menandakan adanya suplai energi ke otak, sedangkan hipoglike</w:t>
      </w:r>
      <w:r w:rsidR="000C7941" w:rsidRPr="0035519F">
        <w:rPr>
          <w:rFonts w:ascii="Arial" w:hAnsi="Arial" w:cs="Arial"/>
          <w:sz w:val="24"/>
          <w:szCs w:val="24"/>
        </w:rPr>
        <w:t>mia menandakan defisit energi, sehingga</w:t>
      </w:r>
      <w:r w:rsidRPr="0035519F">
        <w:rPr>
          <w:rFonts w:ascii="Arial" w:hAnsi="Arial" w:cs="Arial"/>
          <w:sz w:val="24"/>
          <w:szCs w:val="24"/>
        </w:rPr>
        <w:t xml:space="preserve"> pemberian glukosa dan asam lemak rantai panjang </w:t>
      </w:r>
      <w:r w:rsidR="000C7941" w:rsidRPr="0035519F">
        <w:rPr>
          <w:rFonts w:ascii="Arial" w:hAnsi="Arial" w:cs="Arial"/>
          <w:sz w:val="24"/>
          <w:szCs w:val="24"/>
        </w:rPr>
        <w:t>dapat</w:t>
      </w:r>
      <w:r w:rsidRPr="0035519F">
        <w:rPr>
          <w:rFonts w:ascii="Arial" w:hAnsi="Arial" w:cs="Arial"/>
          <w:sz w:val="24"/>
          <w:szCs w:val="24"/>
        </w:rPr>
        <w:t xml:space="preserve"> menurunkan </w:t>
      </w:r>
      <w:r w:rsidR="0003017A" w:rsidRPr="0035519F">
        <w:rPr>
          <w:rFonts w:ascii="Arial" w:hAnsi="Arial" w:cs="Arial"/>
          <w:i/>
          <w:sz w:val="24"/>
          <w:szCs w:val="24"/>
        </w:rPr>
        <w:t>intake</w:t>
      </w:r>
      <w:r w:rsidRPr="0035519F">
        <w:rPr>
          <w:rFonts w:ascii="Arial" w:hAnsi="Arial" w:cs="Arial"/>
          <w:sz w:val="24"/>
          <w:szCs w:val="24"/>
        </w:rPr>
        <w:t xml:space="preserve"> makanan.</w:t>
      </w:r>
    </w:p>
    <w:p w14:paraId="73349200" w14:textId="77777777" w:rsidR="0074310B" w:rsidRPr="0035519F" w:rsidRDefault="0074310B" w:rsidP="00363776">
      <w:pPr>
        <w:pStyle w:val="ListParagraph"/>
        <w:numPr>
          <w:ilvl w:val="0"/>
          <w:numId w:val="32"/>
        </w:numPr>
        <w:spacing w:after="0" w:line="480" w:lineRule="auto"/>
        <w:ind w:left="1350"/>
        <w:jc w:val="both"/>
        <w:rPr>
          <w:rFonts w:ascii="Arial" w:hAnsi="Arial" w:cs="Arial"/>
          <w:sz w:val="24"/>
          <w:szCs w:val="24"/>
        </w:rPr>
      </w:pPr>
      <w:r w:rsidRPr="0035519F">
        <w:rPr>
          <w:rFonts w:ascii="Arial" w:hAnsi="Arial" w:cs="Arial"/>
          <w:sz w:val="24"/>
          <w:szCs w:val="24"/>
        </w:rPr>
        <w:t>Sinyal Gastrointestina</w:t>
      </w:r>
      <w:r w:rsidR="003626A6" w:rsidRPr="0035519F">
        <w:rPr>
          <w:rFonts w:ascii="Arial" w:hAnsi="Arial" w:cs="Arial"/>
          <w:sz w:val="24"/>
          <w:szCs w:val="24"/>
        </w:rPr>
        <w:t>l</w:t>
      </w:r>
      <w:r w:rsidR="0003017A" w:rsidRPr="0035519F">
        <w:rPr>
          <w:rFonts w:ascii="Arial" w:hAnsi="Arial" w:cs="Arial"/>
          <w:sz w:val="24"/>
          <w:szCs w:val="24"/>
        </w:rPr>
        <w:t>.</w:t>
      </w:r>
    </w:p>
    <w:p w14:paraId="42D1F440" w14:textId="77777777" w:rsidR="000C7941" w:rsidRPr="0035519F" w:rsidRDefault="000C7941" w:rsidP="0003017A">
      <w:pPr>
        <w:pStyle w:val="ListParagraph"/>
        <w:spacing w:after="0" w:line="480" w:lineRule="auto"/>
        <w:ind w:left="1350" w:firstLine="450"/>
        <w:jc w:val="both"/>
        <w:rPr>
          <w:rFonts w:ascii="Arial" w:hAnsi="Arial" w:cs="Arial"/>
          <w:sz w:val="24"/>
          <w:szCs w:val="24"/>
        </w:rPr>
      </w:pPr>
      <w:r w:rsidRPr="0035519F">
        <w:rPr>
          <w:rFonts w:ascii="Arial" w:hAnsi="Arial" w:cs="Arial"/>
          <w:sz w:val="24"/>
          <w:szCs w:val="24"/>
        </w:rPr>
        <w:t xml:space="preserve">Hormon yang disekresikan oleh usus sebagai respons terhadap makanan memberikan informasi tentang </w:t>
      </w:r>
      <w:r w:rsidR="0003017A" w:rsidRPr="0035519F">
        <w:rPr>
          <w:rFonts w:ascii="Arial" w:hAnsi="Arial" w:cs="Arial"/>
          <w:i/>
          <w:sz w:val="24"/>
          <w:szCs w:val="24"/>
        </w:rPr>
        <w:t>intake</w:t>
      </w:r>
      <w:r w:rsidRPr="0035519F">
        <w:rPr>
          <w:rFonts w:ascii="Arial" w:hAnsi="Arial" w:cs="Arial"/>
          <w:sz w:val="24"/>
          <w:szCs w:val="24"/>
        </w:rPr>
        <w:t xml:space="preserve"> energi. Cholecystokinin, peptide YY dan </w:t>
      </w:r>
      <w:r w:rsidR="006F4AE7" w:rsidRPr="0035519F">
        <w:rPr>
          <w:rFonts w:ascii="Arial" w:hAnsi="Arial" w:cs="Arial"/>
          <w:i/>
          <w:sz w:val="24"/>
          <w:szCs w:val="24"/>
        </w:rPr>
        <w:t>Glucagon like peptide-1</w:t>
      </w:r>
      <w:r w:rsidR="006F4AE7" w:rsidRPr="0035519F">
        <w:rPr>
          <w:rFonts w:ascii="Arial" w:hAnsi="Arial" w:cs="Arial"/>
          <w:sz w:val="24"/>
          <w:szCs w:val="24"/>
        </w:rPr>
        <w:t xml:space="preserve"> (</w:t>
      </w:r>
      <w:r w:rsidRPr="0035519F">
        <w:rPr>
          <w:rFonts w:ascii="Arial" w:hAnsi="Arial" w:cs="Arial"/>
          <w:sz w:val="24"/>
          <w:szCs w:val="24"/>
        </w:rPr>
        <w:t>GLP-1</w:t>
      </w:r>
      <w:r w:rsidR="006F4AE7" w:rsidRPr="0035519F">
        <w:rPr>
          <w:rFonts w:ascii="Arial" w:hAnsi="Arial" w:cs="Arial"/>
          <w:sz w:val="24"/>
          <w:szCs w:val="24"/>
        </w:rPr>
        <w:t>)</w:t>
      </w:r>
      <w:r w:rsidRPr="0035519F">
        <w:rPr>
          <w:rFonts w:ascii="Arial" w:hAnsi="Arial" w:cs="Arial"/>
          <w:sz w:val="24"/>
          <w:szCs w:val="24"/>
        </w:rPr>
        <w:t xml:space="preserve"> yang dilepaskan dari usus menginduksi rasa kenyang dengan bekerja pada saraf vagus atau di otak. GLP-1 disekresikan dari sel-L usus setelah makan. </w:t>
      </w:r>
      <w:r w:rsidR="0003017A" w:rsidRPr="0035519F">
        <w:rPr>
          <w:rFonts w:ascii="Arial" w:hAnsi="Arial" w:cs="Arial"/>
          <w:sz w:val="24"/>
          <w:szCs w:val="24"/>
        </w:rPr>
        <w:t>Sinyal</w:t>
      </w:r>
      <w:r w:rsidRPr="0035519F">
        <w:rPr>
          <w:rFonts w:ascii="Arial" w:hAnsi="Arial" w:cs="Arial"/>
          <w:sz w:val="24"/>
          <w:szCs w:val="24"/>
        </w:rPr>
        <w:t xml:space="preserve"> GLP-1 di </w:t>
      </w:r>
      <w:r w:rsidR="0003017A" w:rsidRPr="0035519F">
        <w:rPr>
          <w:rFonts w:ascii="Arial" w:hAnsi="Arial" w:cs="Arial"/>
          <w:sz w:val="24"/>
          <w:szCs w:val="24"/>
        </w:rPr>
        <w:t>sistem</w:t>
      </w:r>
      <w:r w:rsidRPr="0035519F">
        <w:rPr>
          <w:rFonts w:ascii="Arial" w:hAnsi="Arial" w:cs="Arial"/>
          <w:sz w:val="24"/>
          <w:szCs w:val="24"/>
        </w:rPr>
        <w:t xml:space="preserve"> saraf pusat maupun perifer akan </w:t>
      </w:r>
      <w:r w:rsidRPr="0035519F">
        <w:rPr>
          <w:rFonts w:ascii="Arial" w:hAnsi="Arial" w:cs="Arial"/>
          <w:sz w:val="24"/>
          <w:szCs w:val="24"/>
        </w:rPr>
        <w:lastRenderedPageBreak/>
        <w:t xml:space="preserve">meningkatkan rasa kenyang. Sebaliknya ghrelin disekresikan oleh </w:t>
      </w:r>
      <w:r w:rsidR="0003017A" w:rsidRPr="0035519F">
        <w:rPr>
          <w:rFonts w:ascii="Arial" w:hAnsi="Arial" w:cs="Arial"/>
          <w:sz w:val="24"/>
          <w:szCs w:val="24"/>
        </w:rPr>
        <w:t>usus</w:t>
      </w:r>
      <w:r w:rsidRPr="0035519F">
        <w:rPr>
          <w:rFonts w:ascii="Arial" w:hAnsi="Arial" w:cs="Arial"/>
          <w:sz w:val="24"/>
          <w:szCs w:val="24"/>
        </w:rPr>
        <w:t xml:space="preserve"> selama puasa dan akan meningkatkan </w:t>
      </w:r>
      <w:r w:rsidR="0003017A" w:rsidRPr="0035519F">
        <w:rPr>
          <w:rFonts w:ascii="Arial" w:hAnsi="Arial" w:cs="Arial"/>
          <w:i/>
          <w:sz w:val="24"/>
          <w:szCs w:val="24"/>
        </w:rPr>
        <w:t>intake</w:t>
      </w:r>
      <w:r w:rsidRPr="0035519F">
        <w:rPr>
          <w:rFonts w:ascii="Arial" w:hAnsi="Arial" w:cs="Arial"/>
          <w:sz w:val="24"/>
          <w:szCs w:val="24"/>
        </w:rPr>
        <w:t xml:space="preserve"> makanan.</w:t>
      </w:r>
    </w:p>
    <w:p w14:paraId="0B94049C" w14:textId="77777777" w:rsidR="0074310B" w:rsidRPr="0035519F" w:rsidRDefault="0074310B" w:rsidP="00363776">
      <w:pPr>
        <w:pStyle w:val="ListParagraph"/>
        <w:numPr>
          <w:ilvl w:val="0"/>
          <w:numId w:val="32"/>
        </w:numPr>
        <w:spacing w:after="0" w:line="480" w:lineRule="auto"/>
        <w:ind w:left="1350"/>
        <w:jc w:val="both"/>
        <w:rPr>
          <w:rFonts w:ascii="Arial" w:hAnsi="Arial" w:cs="Arial"/>
          <w:sz w:val="24"/>
          <w:szCs w:val="24"/>
        </w:rPr>
      </w:pPr>
      <w:r w:rsidRPr="0035519F">
        <w:rPr>
          <w:rFonts w:ascii="Arial" w:hAnsi="Arial" w:cs="Arial"/>
          <w:sz w:val="24"/>
          <w:szCs w:val="24"/>
        </w:rPr>
        <w:t>Sinyal dari organ lain</w:t>
      </w:r>
      <w:r w:rsidR="00A83F25" w:rsidRPr="0035519F">
        <w:rPr>
          <w:rFonts w:ascii="Arial" w:hAnsi="Arial" w:cs="Arial"/>
          <w:sz w:val="24"/>
          <w:szCs w:val="24"/>
        </w:rPr>
        <w:t>.</w:t>
      </w:r>
      <w:r w:rsidRPr="0035519F">
        <w:rPr>
          <w:rFonts w:ascii="Arial" w:hAnsi="Arial" w:cs="Arial"/>
          <w:sz w:val="24"/>
          <w:szCs w:val="24"/>
        </w:rPr>
        <w:t xml:space="preserve"> </w:t>
      </w:r>
    </w:p>
    <w:p w14:paraId="4881817B" w14:textId="77777777" w:rsidR="0039112C" w:rsidRPr="0035519F" w:rsidRDefault="000C7941" w:rsidP="001E7AAE">
      <w:pPr>
        <w:pStyle w:val="ListParagraph"/>
        <w:spacing w:after="0" w:line="480" w:lineRule="auto"/>
        <w:ind w:left="1350"/>
        <w:jc w:val="both"/>
        <w:rPr>
          <w:rFonts w:ascii="Arial" w:hAnsi="Arial" w:cs="Arial"/>
          <w:sz w:val="24"/>
          <w:szCs w:val="24"/>
        </w:rPr>
      </w:pPr>
      <w:r w:rsidRPr="0035519F">
        <w:rPr>
          <w:rFonts w:ascii="Arial" w:hAnsi="Arial" w:cs="Arial"/>
          <w:sz w:val="24"/>
          <w:szCs w:val="24"/>
        </w:rPr>
        <w:t xml:space="preserve">Interleukin-6 (IL-6) disintesis dan dilepaskan dari otot rangka yang berkontraksi selama aktivitas fisik. </w:t>
      </w:r>
      <w:r w:rsidR="008D2A2E" w:rsidRPr="0035519F">
        <w:rPr>
          <w:rFonts w:ascii="Arial" w:hAnsi="Arial" w:cs="Arial"/>
          <w:sz w:val="24"/>
          <w:szCs w:val="24"/>
        </w:rPr>
        <w:t xml:space="preserve">Interleukin-6 </w:t>
      </w:r>
      <w:r w:rsidRPr="0035519F">
        <w:rPr>
          <w:rFonts w:ascii="Arial" w:hAnsi="Arial" w:cs="Arial"/>
          <w:sz w:val="24"/>
          <w:szCs w:val="24"/>
        </w:rPr>
        <w:t xml:space="preserve">dapat memobilisasi lemak dari tempat penyimpanan untuk menyediakan energi ke otot. Kelebihan IL-6 merangsang </w:t>
      </w:r>
      <w:r w:rsidR="0003017A" w:rsidRPr="0035519F">
        <w:rPr>
          <w:rFonts w:ascii="Arial" w:hAnsi="Arial" w:cs="Arial"/>
          <w:sz w:val="24"/>
          <w:szCs w:val="24"/>
        </w:rPr>
        <w:t>penggunaan</w:t>
      </w:r>
      <w:r w:rsidRPr="0035519F">
        <w:rPr>
          <w:rFonts w:ascii="Arial" w:hAnsi="Arial" w:cs="Arial"/>
          <w:sz w:val="24"/>
          <w:szCs w:val="24"/>
        </w:rPr>
        <w:t xml:space="preserve"> energi,</w:t>
      </w:r>
      <w:r w:rsidR="0003017A" w:rsidRPr="0035519F">
        <w:rPr>
          <w:rFonts w:ascii="Arial" w:hAnsi="Arial" w:cs="Arial"/>
          <w:sz w:val="24"/>
          <w:szCs w:val="24"/>
        </w:rPr>
        <w:t xml:space="preserve"> sedangkan</w:t>
      </w:r>
      <w:r w:rsidRPr="0035519F">
        <w:rPr>
          <w:rFonts w:ascii="Arial" w:hAnsi="Arial" w:cs="Arial"/>
          <w:sz w:val="24"/>
          <w:szCs w:val="24"/>
        </w:rPr>
        <w:t xml:space="preserve"> kekurangan IL-6 dapat memicu onset </w:t>
      </w:r>
      <w:r w:rsidRPr="0035519F">
        <w:rPr>
          <w:rFonts w:ascii="Arial" w:hAnsi="Arial" w:cs="Arial"/>
          <w:i/>
          <w:sz w:val="24"/>
          <w:szCs w:val="24"/>
        </w:rPr>
        <w:t>mature-obesity</w:t>
      </w:r>
      <w:r w:rsidRPr="0035519F">
        <w:rPr>
          <w:rFonts w:ascii="Arial" w:hAnsi="Arial" w:cs="Arial"/>
          <w:sz w:val="24"/>
          <w:szCs w:val="24"/>
        </w:rPr>
        <w:t>.</w:t>
      </w:r>
    </w:p>
    <w:p w14:paraId="2B5116FD" w14:textId="77777777" w:rsidR="0099576F" w:rsidRPr="0035519F" w:rsidRDefault="0039112C" w:rsidP="007757AB">
      <w:pPr>
        <w:spacing w:after="0" w:line="480" w:lineRule="auto"/>
        <w:ind w:left="426" w:firstLine="567"/>
        <w:jc w:val="both"/>
        <w:rPr>
          <w:rFonts w:ascii="Arial" w:hAnsi="Arial" w:cs="Arial"/>
          <w:sz w:val="24"/>
          <w:szCs w:val="24"/>
        </w:rPr>
      </w:pPr>
      <w:r w:rsidRPr="0035519F">
        <w:rPr>
          <w:rFonts w:ascii="Arial" w:hAnsi="Arial" w:cs="Arial"/>
          <w:sz w:val="24"/>
          <w:szCs w:val="24"/>
        </w:rPr>
        <w:t>Gangguan kemampuan otak untuk mempertahankan homeostasis energi dapat mendasari kenaikan berat badan</w:t>
      </w:r>
      <w:r w:rsidR="0003017A" w:rsidRPr="0035519F">
        <w:rPr>
          <w:rFonts w:ascii="Arial" w:hAnsi="Arial" w:cs="Arial"/>
          <w:sz w:val="24"/>
          <w:szCs w:val="24"/>
        </w:rPr>
        <w:t xml:space="preserve"> yang</w:t>
      </w:r>
      <w:r w:rsidRPr="0035519F">
        <w:rPr>
          <w:rFonts w:ascii="Arial" w:hAnsi="Arial" w:cs="Arial"/>
          <w:sz w:val="24"/>
          <w:szCs w:val="24"/>
        </w:rPr>
        <w:t xml:space="preserve"> </w:t>
      </w:r>
      <w:r w:rsidR="001E7AAE" w:rsidRPr="0035519F">
        <w:rPr>
          <w:rFonts w:ascii="Arial" w:hAnsi="Arial" w:cs="Arial"/>
          <w:sz w:val="24"/>
          <w:szCs w:val="24"/>
        </w:rPr>
        <w:t xml:space="preserve">patologis dan </w:t>
      </w:r>
      <w:r w:rsidR="0003017A" w:rsidRPr="0035519F">
        <w:rPr>
          <w:rFonts w:ascii="Arial" w:hAnsi="Arial" w:cs="Arial"/>
          <w:sz w:val="24"/>
          <w:szCs w:val="24"/>
        </w:rPr>
        <w:t xml:space="preserve">menagkibatkan </w:t>
      </w:r>
      <w:r w:rsidR="001E7AAE" w:rsidRPr="0035519F">
        <w:rPr>
          <w:rFonts w:ascii="Arial" w:hAnsi="Arial" w:cs="Arial"/>
          <w:sz w:val="24"/>
          <w:szCs w:val="24"/>
        </w:rPr>
        <w:t>obesitas</w:t>
      </w:r>
      <w:r w:rsidRPr="0035519F">
        <w:rPr>
          <w:rFonts w:ascii="Arial" w:hAnsi="Arial" w:cs="Arial"/>
          <w:sz w:val="24"/>
          <w:szCs w:val="24"/>
        </w:rPr>
        <w:t>. Beberapa defek pada jalur umpan balik negatif dalam mekanisme homeostatis energi telah dikemukakan. gangguan sekresi hormon metabolik utama seperti insulin dan leptin dapat menjadi predisposisi kenaikan berat badan. Leptin secara primer bekerja pada neuron hipotalamus untuk mengatur keseimbangan energi, transfer leptin ke otak sangat mene</w:t>
      </w:r>
      <w:r w:rsidR="0099576F" w:rsidRPr="0035519F">
        <w:rPr>
          <w:rFonts w:ascii="Arial" w:hAnsi="Arial" w:cs="Arial"/>
          <w:sz w:val="24"/>
          <w:szCs w:val="24"/>
        </w:rPr>
        <w:t>n</w:t>
      </w:r>
      <w:r w:rsidRPr="0035519F">
        <w:rPr>
          <w:rFonts w:ascii="Arial" w:hAnsi="Arial" w:cs="Arial"/>
          <w:sz w:val="24"/>
          <w:szCs w:val="24"/>
        </w:rPr>
        <w:t xml:space="preserve">tukan </w:t>
      </w:r>
      <w:r w:rsidR="0099576F" w:rsidRPr="0035519F">
        <w:rPr>
          <w:rFonts w:ascii="Arial" w:hAnsi="Arial" w:cs="Arial"/>
          <w:sz w:val="24"/>
          <w:szCs w:val="24"/>
        </w:rPr>
        <w:t>aksi hipotalamus.</w:t>
      </w:r>
      <w:r w:rsidRPr="0035519F">
        <w:rPr>
          <w:rFonts w:ascii="Arial" w:hAnsi="Arial" w:cs="Arial"/>
          <w:sz w:val="24"/>
          <w:szCs w:val="24"/>
        </w:rPr>
        <w:t xml:space="preserve"> Konsentrasi leptin dalam plasma meningkat sebanding dengan </w:t>
      </w:r>
      <w:r w:rsidR="00981646" w:rsidRPr="0035519F">
        <w:rPr>
          <w:rFonts w:ascii="Arial" w:hAnsi="Arial" w:cs="Arial"/>
          <w:sz w:val="24"/>
          <w:szCs w:val="24"/>
        </w:rPr>
        <w:t>IMT</w:t>
      </w:r>
      <w:r w:rsidR="00085CBD" w:rsidRPr="0035519F">
        <w:rPr>
          <w:rFonts w:ascii="Arial" w:hAnsi="Arial" w:cs="Arial"/>
          <w:sz w:val="24"/>
          <w:szCs w:val="24"/>
        </w:rPr>
        <w:t>.</w:t>
      </w:r>
      <w:r w:rsidR="00A83F25" w:rsidRPr="0035519F">
        <w:rPr>
          <w:rFonts w:ascii="Arial" w:hAnsi="Arial" w:cs="Arial"/>
          <w:sz w:val="24"/>
          <w:szCs w:val="24"/>
        </w:rPr>
        <w:t xml:space="preserve"> </w:t>
      </w:r>
    </w:p>
    <w:p w14:paraId="60EBB070" w14:textId="77777777" w:rsidR="0040636E" w:rsidRPr="0035519F" w:rsidRDefault="00085CBD" w:rsidP="007757AB">
      <w:pPr>
        <w:spacing w:after="0" w:line="480" w:lineRule="auto"/>
        <w:ind w:left="426" w:firstLine="567"/>
        <w:jc w:val="both"/>
        <w:rPr>
          <w:rFonts w:ascii="Arial" w:hAnsi="Arial" w:cs="Arial"/>
          <w:sz w:val="24"/>
          <w:szCs w:val="24"/>
        </w:rPr>
      </w:pPr>
      <w:r w:rsidRPr="0035519F">
        <w:rPr>
          <w:rFonts w:ascii="Arial" w:hAnsi="Arial" w:cs="Arial"/>
          <w:sz w:val="24"/>
          <w:szCs w:val="24"/>
        </w:rPr>
        <w:t>Ketika jumlah energi lebih besar (dalam bentuk makanan) masuk ke dalam tubuh daripada yang dikeluarkan, maka berat badan tubuh meningkat dan sebagian besar kelebihan energi disimpan</w:t>
      </w:r>
      <w:r w:rsidR="0003017A" w:rsidRPr="0035519F">
        <w:rPr>
          <w:rFonts w:ascii="Arial" w:hAnsi="Arial" w:cs="Arial"/>
          <w:sz w:val="24"/>
          <w:szCs w:val="24"/>
        </w:rPr>
        <w:t xml:space="preserve"> dalam bentuk</w:t>
      </w:r>
      <w:r w:rsidRPr="0035519F">
        <w:rPr>
          <w:rFonts w:ascii="Arial" w:hAnsi="Arial" w:cs="Arial"/>
          <w:sz w:val="24"/>
          <w:szCs w:val="24"/>
        </w:rPr>
        <w:t xml:space="preserve"> lemak. Oleh karena itu, adipositas yang berlebihan (obesitas) </w:t>
      </w:r>
      <w:r w:rsidRPr="0035519F">
        <w:rPr>
          <w:rFonts w:ascii="Arial" w:hAnsi="Arial" w:cs="Arial"/>
          <w:sz w:val="24"/>
          <w:szCs w:val="24"/>
        </w:rPr>
        <w:lastRenderedPageBreak/>
        <w:t xml:space="preserve">disebabkan oleh </w:t>
      </w:r>
      <w:r w:rsidR="0003017A" w:rsidRPr="0035519F">
        <w:rPr>
          <w:rFonts w:ascii="Arial" w:hAnsi="Arial" w:cs="Arial"/>
          <w:i/>
          <w:sz w:val="24"/>
          <w:szCs w:val="24"/>
        </w:rPr>
        <w:t>intake</w:t>
      </w:r>
      <w:r w:rsidRPr="0035519F">
        <w:rPr>
          <w:rFonts w:ascii="Arial" w:hAnsi="Arial" w:cs="Arial"/>
          <w:sz w:val="24"/>
          <w:szCs w:val="24"/>
        </w:rPr>
        <w:t xml:space="preserve"> energi yang melebihi </w:t>
      </w:r>
      <w:r w:rsidR="0003017A" w:rsidRPr="0035519F">
        <w:rPr>
          <w:rFonts w:ascii="Arial" w:hAnsi="Arial" w:cs="Arial"/>
          <w:sz w:val="24"/>
          <w:szCs w:val="24"/>
        </w:rPr>
        <w:t>penggunaan</w:t>
      </w:r>
      <w:r w:rsidR="00F22BF2" w:rsidRPr="0035519F">
        <w:rPr>
          <w:rFonts w:ascii="Arial" w:hAnsi="Arial" w:cs="Arial"/>
          <w:sz w:val="24"/>
          <w:szCs w:val="24"/>
        </w:rPr>
        <w:t xml:space="preserve"> energi. Untuk setiap 9,</w:t>
      </w:r>
      <w:r w:rsidRPr="0035519F">
        <w:rPr>
          <w:rFonts w:ascii="Arial" w:hAnsi="Arial" w:cs="Arial"/>
          <w:sz w:val="24"/>
          <w:szCs w:val="24"/>
        </w:rPr>
        <w:t xml:space="preserve">3 Kalori kelebihan energi yang masuk ke dalam tubuh, akan disimpan kira-kira 1 gram lemak. Lemak disimpan terutama di adiposit pada jaringan subkutan dan di rongga intraperitoneal. Pada </w:t>
      </w:r>
      <w:r w:rsidR="0003017A" w:rsidRPr="0035519F">
        <w:rPr>
          <w:rFonts w:ascii="Arial" w:hAnsi="Arial" w:cs="Arial"/>
          <w:sz w:val="24"/>
          <w:szCs w:val="24"/>
        </w:rPr>
        <w:t>obesitas,</w:t>
      </w:r>
      <w:r w:rsidRPr="0035519F">
        <w:rPr>
          <w:rFonts w:ascii="Arial" w:hAnsi="Arial" w:cs="Arial"/>
          <w:sz w:val="24"/>
          <w:szCs w:val="24"/>
        </w:rPr>
        <w:t xml:space="preserve"> hati dan jaringan tubuh lainnya dapat men</w:t>
      </w:r>
      <w:r w:rsidR="0003017A" w:rsidRPr="0035519F">
        <w:rPr>
          <w:rFonts w:ascii="Arial" w:hAnsi="Arial" w:cs="Arial"/>
          <w:sz w:val="24"/>
          <w:szCs w:val="24"/>
        </w:rPr>
        <w:t>yimpan sejumlah besar lipid</w:t>
      </w:r>
      <w:r w:rsidR="00A83F25"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author":[{"dropping-particle":"","family":"Hall","given":"J.E","non-dropping-particle":"","parse-names":false,"suffix":""}],"editor":[{"dropping-particle":"","family":"Guyton","given":"Arthur","non-dropping-particle":"","parse-names":false,"suffix":""},{"dropping-particle":"","family":"Hall","given":"John","non-dropping-particle":"","parse-names":false,"suffix":""}],"id":"ITEM-1","issued":{"date-parts":[["2016"]]},"publisher":"Elsevier Saunders","publisher-place":"Philadelphia","title":"Textbook of Medical Physiology","type":"book"},"uris":["http://www.mendeley.com/documents/?uuid=f2608da3-77bf-4cb1-9213-be625839c547"]}],"mendeley":{"formattedCitation":"(Hall, 2016)","plainTextFormattedCitation":"(Hall, 2016)","previouslyFormattedCitation":"(Hall, 2016)"},"properties":{"noteIndex":0},"schema":"https://github.com/citation-style-language/schema/raw/master/csl-citation.json"}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(Hall, 2016)</w:t>
      </w:r>
      <w:r w:rsidR="0003017A" w:rsidRPr="0035519F">
        <w:rPr>
          <w:rFonts w:ascii="Arial" w:hAnsi="Arial" w:cs="Arial"/>
          <w:sz w:val="24"/>
          <w:szCs w:val="24"/>
        </w:rPr>
        <w:fldChar w:fldCharType="end"/>
      </w:r>
      <w:r w:rsidR="00F22BF2" w:rsidRPr="0035519F">
        <w:rPr>
          <w:rFonts w:ascii="Arial" w:hAnsi="Arial" w:cs="Arial"/>
          <w:sz w:val="24"/>
          <w:szCs w:val="24"/>
        </w:rPr>
        <w:t>.</w:t>
      </w:r>
    </w:p>
    <w:p w14:paraId="4CDCB24C" w14:textId="77777777" w:rsidR="004D0199" w:rsidRPr="0035519F" w:rsidRDefault="00F22BF2" w:rsidP="004D0199">
      <w:pPr>
        <w:spacing w:after="0" w:line="480" w:lineRule="auto"/>
        <w:ind w:left="426" w:firstLine="567"/>
        <w:jc w:val="both"/>
        <w:rPr>
          <w:rFonts w:ascii="Arial" w:hAnsi="Arial" w:cs="Arial"/>
          <w:sz w:val="24"/>
          <w:szCs w:val="24"/>
        </w:rPr>
      </w:pPr>
      <w:r w:rsidRPr="0035519F">
        <w:rPr>
          <w:rFonts w:ascii="Arial" w:hAnsi="Arial" w:cs="Arial"/>
          <w:i/>
          <w:sz w:val="24"/>
          <w:szCs w:val="24"/>
        </w:rPr>
        <w:t>White Adipose Tissue</w:t>
      </w:r>
      <w:r w:rsidRPr="0035519F">
        <w:rPr>
          <w:rFonts w:ascii="Arial" w:hAnsi="Arial" w:cs="Arial"/>
          <w:sz w:val="24"/>
          <w:szCs w:val="24"/>
        </w:rPr>
        <w:t xml:space="preserve"> adalah organ yang kompleks dan memiliki peran utama dalam kontrol homeostasis energi. Adiposit tidak hanya bertindak sebagai reservoir penyimpanan dan pemanfaatan energi, tetapi juga merasakan kebutuhan energi dan mengeluarkan faktor parakrin untuk mengatur metabolisme jaringan lainnya. Dalam keadaan energi tinggi</w:t>
      </w:r>
      <w:r w:rsidR="00560E4A" w:rsidRPr="0035519F">
        <w:rPr>
          <w:rFonts w:ascii="Arial" w:hAnsi="Arial" w:cs="Arial"/>
          <w:sz w:val="24"/>
          <w:szCs w:val="24"/>
        </w:rPr>
        <w:t xml:space="preserve"> di dalam tubuh</w:t>
      </w:r>
      <w:r w:rsidRPr="0035519F">
        <w:rPr>
          <w:rFonts w:ascii="Arial" w:hAnsi="Arial" w:cs="Arial"/>
          <w:sz w:val="24"/>
          <w:szCs w:val="24"/>
        </w:rPr>
        <w:t xml:space="preserve">, leptin disekresikan dari adiposit untuk mengurangi </w:t>
      </w:r>
      <w:r w:rsidR="0003017A" w:rsidRPr="0035519F">
        <w:rPr>
          <w:rFonts w:ascii="Arial" w:hAnsi="Arial" w:cs="Arial"/>
          <w:i/>
          <w:sz w:val="24"/>
          <w:szCs w:val="24"/>
        </w:rPr>
        <w:t>intake</w:t>
      </w:r>
      <w:r w:rsidRPr="0035519F">
        <w:rPr>
          <w:rFonts w:ascii="Arial" w:hAnsi="Arial" w:cs="Arial"/>
          <w:sz w:val="24"/>
          <w:szCs w:val="24"/>
        </w:rPr>
        <w:t xml:space="preserve"> makanan dan meningkatkan </w:t>
      </w:r>
      <w:r w:rsidR="0003017A" w:rsidRPr="0035519F">
        <w:rPr>
          <w:rFonts w:ascii="Arial" w:hAnsi="Arial" w:cs="Arial"/>
          <w:sz w:val="24"/>
          <w:szCs w:val="24"/>
        </w:rPr>
        <w:t>penggunaan</w:t>
      </w:r>
      <w:r w:rsidRPr="0035519F">
        <w:rPr>
          <w:rFonts w:ascii="Arial" w:hAnsi="Arial" w:cs="Arial"/>
          <w:sz w:val="24"/>
          <w:szCs w:val="24"/>
        </w:rPr>
        <w:t xml:space="preserve"> energi </w:t>
      </w:r>
      <w:r w:rsidR="00171E86" w:rsidRPr="0035519F">
        <w:rPr>
          <w:rFonts w:ascii="Arial" w:hAnsi="Arial" w:cs="Arial"/>
          <w:sz w:val="24"/>
          <w:szCs w:val="24"/>
        </w:rPr>
        <w:t>secara terpusat</w:t>
      </w:r>
      <w:r w:rsidR="00A83F25" w:rsidRPr="0035519F">
        <w:rPr>
          <w:rFonts w:ascii="Arial" w:hAnsi="Arial" w:cs="Arial"/>
          <w:sz w:val="24"/>
          <w:szCs w:val="24"/>
        </w:rPr>
        <w:t xml:space="preserve"> </w:t>
      </w:r>
      <w:r w:rsidR="00171E86"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{"citationItems":[{"id":"ITEM-1","itemData":{"DOI":"10.3390/ijms20092358","ISSN":"1422-0067","PMID":"31085992","abstract":"Obesity is a critical risk factor for the development of type 2 diabetes (T2D), and its prevalence is rising worldwide. White adipose tissue (WAT) has a crucial role in regulating systemic energy homeostasis. Adipose tissue expands by a combination of an increase in adipocyte size (hypertrophy) and number (hyperplasia). The recruitment and differentiation of adipose precursor cells in the subcutaneous adipose tissue (SAT), rather than merely inflating the cells, would be protective from the obesity-associated metabolic complications. In metabolically unhealthy obesity, the storage capacity of SAT, the largest WAT depot, is limited, and further caloric overload leads to the fat accumulation in ectopic tissues (e.g., liver, skeletal muscle, and heart) and in the visceral adipose depots, an event commonly defined as “lipotoxicity.” Excessive ectopic lipid accumulation leads to local inflammation and insulin resistance (IR). Indeed, overnutrition triggers uncontrolled inflammatory responses in WAT, leading to chronic low-grade inflammation, therefore fostering the progression of IR. This review summarizes the current knowledge on WAT dysfunction in obesity and its associated metabolic abnormalities, such as IR. A better understanding of the mechanisms regulating adipose tissue expansion in obesity is required for the development of future therapeutic approaches in obesity-associated metabolic complications.","author":[{"dropping-particle":"","family":"Longo","given":"Michele","non-dropping-particle":"","parse-names":false,"suffix":""},{"dropping-particle":"","family":"Zatterale","given":"Federica","non-dropping-particle":"","parse-names":false,"suffix":""},{"dropping-particle":"","family":"Naderi","given":"Jamal","non-dropping-particle":"","parse-names":false,"suffix":""},{"dropping-particle":"","family":"Parrillo","given":"Luca","non-dropping-particle":"","parse-names":false,"suffix":""},{"dropping-particle":"","family":"Formisano","given":"Pietro","non-dropping-particle":"","parse-names":false,"suffix":""},{"dropping-particle":"","family":"Raciti","given":"Gregory Alexander","non-dropping-particle":"","parse-names":false,"suffix":""},{"dropping-particle":"","family":"Beguinot","given":"Francesco","non-dropping-particle":"","parse-names":false,"suffix":""},{"dropping-particle":"","family":"Miele","given":"Claudia","non-dropping-particle":"","parse-names":false,"suffix":""}],"container-title":"International Journal of Molecular Sciences","id":"ITEM-1","issue":"9","issued":{"date-parts":[["2019","5"]]},"page":"2358","title":"Adipose Tissue Dysfunction as Determinant of Obesity-Associated Metabolic Complications","type":"article-journal","volume":"20"},"uris":["http://www.mendeley.com/documents/?uuid=00c6c372-1fd1-43ed-91ac-5343eb2b0c81"]}],"mendeley":{"formattedCitation":"(Longo &lt;i&gt;et al.&lt;/i&gt;, 2019)","plainTextFormattedCitation":"(Longo et al., 2019)","previouslyFormattedCitation":"(Longo &lt;i&gt;et al.&lt;/i&gt;, 2019)"},"properties":{"noteIndex":0},"schema":"https://github.com/citation-style-language/schema/raw/master/csl-citation.json"}</w:instrText>
      </w:r>
      <w:r w:rsidR="00171E86" w:rsidRPr="0035519F">
        <w:rPr>
          <w:rFonts w:ascii="Arial" w:hAnsi="Arial" w:cs="Arial"/>
          <w:sz w:val="24"/>
          <w:szCs w:val="24"/>
        </w:rPr>
        <w:fldChar w:fldCharType="separate"/>
      </w:r>
      <w:r w:rsidR="00D11F03" w:rsidRPr="0035519F">
        <w:rPr>
          <w:rFonts w:ascii="Arial" w:hAnsi="Arial" w:cs="Arial"/>
          <w:noProof/>
          <w:sz w:val="24"/>
          <w:szCs w:val="24"/>
        </w:rPr>
        <w:t xml:space="preserve">(Longo </w:t>
      </w:r>
      <w:r w:rsidR="00D11F03" w:rsidRPr="0035519F">
        <w:rPr>
          <w:rFonts w:ascii="Arial" w:hAnsi="Arial" w:cs="Arial"/>
          <w:i/>
          <w:noProof/>
          <w:sz w:val="24"/>
          <w:szCs w:val="24"/>
        </w:rPr>
        <w:t>et al.</w:t>
      </w:r>
      <w:r w:rsidR="00D11F03" w:rsidRPr="0035519F">
        <w:rPr>
          <w:rFonts w:ascii="Arial" w:hAnsi="Arial" w:cs="Arial"/>
          <w:noProof/>
          <w:sz w:val="24"/>
          <w:szCs w:val="24"/>
        </w:rPr>
        <w:t>, 2019)</w:t>
      </w:r>
      <w:r w:rsidR="00171E86" w:rsidRPr="0035519F">
        <w:rPr>
          <w:rFonts w:ascii="Arial" w:hAnsi="Arial" w:cs="Arial"/>
          <w:sz w:val="24"/>
          <w:szCs w:val="24"/>
        </w:rPr>
        <w:fldChar w:fldCharType="end"/>
      </w:r>
      <w:r w:rsidRPr="0035519F">
        <w:rPr>
          <w:rFonts w:ascii="Arial" w:hAnsi="Arial" w:cs="Arial"/>
          <w:sz w:val="24"/>
          <w:szCs w:val="24"/>
        </w:rPr>
        <w:t xml:space="preserve">. </w:t>
      </w:r>
      <w:r w:rsidR="0003017A" w:rsidRPr="0035519F">
        <w:rPr>
          <w:rFonts w:ascii="Arial" w:hAnsi="Arial" w:cs="Arial"/>
          <w:sz w:val="24"/>
          <w:szCs w:val="24"/>
        </w:rPr>
        <w:t>Akan tetapi</w:t>
      </w:r>
      <w:r w:rsidRPr="0035519F">
        <w:rPr>
          <w:rFonts w:ascii="Arial" w:hAnsi="Arial" w:cs="Arial"/>
          <w:sz w:val="24"/>
          <w:szCs w:val="24"/>
        </w:rPr>
        <w:t xml:space="preserve"> pada obesitas, WAT </w:t>
      </w:r>
      <w:r w:rsidR="000E77B2" w:rsidRPr="0035519F">
        <w:rPr>
          <w:rFonts w:ascii="Arial" w:hAnsi="Arial" w:cs="Arial"/>
          <w:sz w:val="24"/>
          <w:szCs w:val="24"/>
        </w:rPr>
        <w:t xml:space="preserve">mengalami </w:t>
      </w:r>
      <w:r w:rsidR="00560E4A" w:rsidRPr="0035519F">
        <w:rPr>
          <w:rFonts w:ascii="Arial" w:hAnsi="Arial" w:cs="Arial"/>
          <w:sz w:val="24"/>
          <w:szCs w:val="24"/>
        </w:rPr>
        <w:t>disfungsi berat</w:t>
      </w:r>
      <w:r w:rsidRPr="0035519F">
        <w:rPr>
          <w:rFonts w:ascii="Arial" w:hAnsi="Arial" w:cs="Arial"/>
          <w:sz w:val="24"/>
          <w:szCs w:val="24"/>
        </w:rPr>
        <w:t xml:space="preserve"> dan tidak </w:t>
      </w:r>
      <w:r w:rsidR="000E77B2" w:rsidRPr="0035519F">
        <w:rPr>
          <w:rFonts w:ascii="Arial" w:hAnsi="Arial" w:cs="Arial"/>
          <w:sz w:val="24"/>
          <w:szCs w:val="24"/>
        </w:rPr>
        <w:t>bekerja dengan</w:t>
      </w:r>
      <w:r w:rsidRPr="0035519F">
        <w:rPr>
          <w:rFonts w:ascii="Arial" w:hAnsi="Arial" w:cs="Arial"/>
          <w:sz w:val="24"/>
          <w:szCs w:val="24"/>
        </w:rPr>
        <w:t xml:space="preserve"> baik </w:t>
      </w:r>
      <w:r w:rsidR="00560E4A" w:rsidRPr="0035519F">
        <w:rPr>
          <w:rFonts w:ascii="Arial" w:hAnsi="Arial" w:cs="Arial"/>
          <w:sz w:val="24"/>
          <w:szCs w:val="24"/>
        </w:rPr>
        <w:t>dalam</w:t>
      </w:r>
      <w:r w:rsidRPr="0035519F">
        <w:rPr>
          <w:rFonts w:ascii="Arial" w:hAnsi="Arial" w:cs="Arial"/>
          <w:sz w:val="24"/>
          <w:szCs w:val="24"/>
        </w:rPr>
        <w:t xml:space="preserve"> menyimpan kelebihan energi. </w:t>
      </w:r>
      <w:r w:rsidR="00560E4A" w:rsidRPr="0035519F">
        <w:rPr>
          <w:rFonts w:ascii="Arial" w:hAnsi="Arial" w:cs="Arial"/>
          <w:sz w:val="24"/>
          <w:szCs w:val="24"/>
        </w:rPr>
        <w:t xml:space="preserve">Keadaan ini </w:t>
      </w:r>
      <w:r w:rsidRPr="0035519F">
        <w:rPr>
          <w:rFonts w:ascii="Arial" w:hAnsi="Arial" w:cs="Arial"/>
          <w:sz w:val="24"/>
          <w:szCs w:val="24"/>
        </w:rPr>
        <w:t xml:space="preserve">menginduksi deposisi lemak ektopik di jaringan lain yang </w:t>
      </w:r>
      <w:r w:rsidR="0003017A" w:rsidRPr="0035519F">
        <w:rPr>
          <w:rFonts w:ascii="Arial" w:hAnsi="Arial" w:cs="Arial"/>
          <w:sz w:val="24"/>
          <w:szCs w:val="24"/>
        </w:rPr>
        <w:t>menggangu regulas</w:t>
      </w:r>
      <w:r w:rsidR="000E77B2" w:rsidRPr="0035519F">
        <w:rPr>
          <w:rFonts w:ascii="Arial" w:hAnsi="Arial" w:cs="Arial"/>
          <w:sz w:val="24"/>
          <w:szCs w:val="24"/>
        </w:rPr>
        <w:t>i</w:t>
      </w:r>
      <w:r w:rsidR="0003017A" w:rsidRPr="0035519F">
        <w:rPr>
          <w:rFonts w:ascii="Arial" w:hAnsi="Arial" w:cs="Arial"/>
          <w:sz w:val="24"/>
          <w:szCs w:val="24"/>
        </w:rPr>
        <w:t xml:space="preserve"> homeostasis glukosa.</w:t>
      </w:r>
      <w:r w:rsidRPr="0035519F">
        <w:rPr>
          <w:rFonts w:ascii="Arial" w:hAnsi="Arial" w:cs="Arial"/>
          <w:sz w:val="24"/>
          <w:szCs w:val="24"/>
        </w:rPr>
        <w:t xml:space="preserve"> </w:t>
      </w:r>
      <w:r w:rsidR="0003017A" w:rsidRPr="0035519F">
        <w:rPr>
          <w:rFonts w:ascii="Arial" w:hAnsi="Arial" w:cs="Arial"/>
          <w:sz w:val="24"/>
          <w:szCs w:val="24"/>
        </w:rPr>
        <w:t>P</w:t>
      </w:r>
      <w:r w:rsidRPr="0035519F">
        <w:rPr>
          <w:rFonts w:ascii="Arial" w:hAnsi="Arial" w:cs="Arial"/>
          <w:sz w:val="24"/>
          <w:szCs w:val="24"/>
        </w:rPr>
        <w:t xml:space="preserve">eristiwa </w:t>
      </w:r>
      <w:r w:rsidR="0003017A" w:rsidRPr="0035519F">
        <w:rPr>
          <w:rFonts w:ascii="Arial" w:hAnsi="Arial" w:cs="Arial"/>
          <w:sz w:val="24"/>
          <w:szCs w:val="24"/>
        </w:rPr>
        <w:t xml:space="preserve">ini lebih dikenal sebagai </w:t>
      </w:r>
      <w:r w:rsidRPr="0035519F">
        <w:rPr>
          <w:rFonts w:ascii="Arial" w:hAnsi="Arial" w:cs="Arial"/>
          <w:sz w:val="24"/>
          <w:szCs w:val="24"/>
        </w:rPr>
        <w:t>"lipotoksisitas". Mekanisme ini menyebabkan</w:t>
      </w:r>
      <w:r w:rsidR="000E77B2" w:rsidRPr="0035519F">
        <w:rPr>
          <w:rFonts w:ascii="Arial" w:hAnsi="Arial" w:cs="Arial"/>
          <w:sz w:val="24"/>
          <w:szCs w:val="24"/>
        </w:rPr>
        <w:t xml:space="preserve"> </w:t>
      </w:r>
      <w:r w:rsidR="0016001C" w:rsidRPr="0035519F">
        <w:rPr>
          <w:rFonts w:ascii="Arial" w:hAnsi="Arial" w:cs="Arial"/>
          <w:sz w:val="24"/>
          <w:szCs w:val="24"/>
        </w:rPr>
        <w:t xml:space="preserve">resistensi </w:t>
      </w:r>
      <w:r w:rsidR="0003017A" w:rsidRPr="0035519F">
        <w:rPr>
          <w:rFonts w:ascii="Arial" w:hAnsi="Arial" w:cs="Arial"/>
          <w:sz w:val="24"/>
          <w:szCs w:val="24"/>
        </w:rPr>
        <w:t xml:space="preserve">/ </w:t>
      </w:r>
      <w:r w:rsidR="000E77B2" w:rsidRPr="0035519F">
        <w:rPr>
          <w:rFonts w:ascii="Arial" w:hAnsi="Arial" w:cs="Arial"/>
          <w:i/>
          <w:sz w:val="24"/>
          <w:szCs w:val="24"/>
        </w:rPr>
        <w:t>Insulin Resistance</w:t>
      </w:r>
      <w:r w:rsidRPr="0035519F">
        <w:rPr>
          <w:rFonts w:ascii="Arial" w:hAnsi="Arial" w:cs="Arial"/>
          <w:sz w:val="24"/>
          <w:szCs w:val="24"/>
        </w:rPr>
        <w:t xml:space="preserve"> </w:t>
      </w:r>
      <w:r w:rsidR="000E77B2" w:rsidRPr="0035519F">
        <w:rPr>
          <w:rFonts w:ascii="Arial" w:hAnsi="Arial" w:cs="Arial"/>
          <w:sz w:val="24"/>
          <w:szCs w:val="24"/>
        </w:rPr>
        <w:t>(</w:t>
      </w:r>
      <w:r w:rsidRPr="0035519F">
        <w:rPr>
          <w:rFonts w:ascii="Arial" w:hAnsi="Arial" w:cs="Arial"/>
          <w:sz w:val="24"/>
          <w:szCs w:val="24"/>
        </w:rPr>
        <w:t>IR</w:t>
      </w:r>
      <w:r w:rsidR="000E77B2" w:rsidRPr="0035519F">
        <w:rPr>
          <w:rFonts w:ascii="Arial" w:hAnsi="Arial" w:cs="Arial"/>
          <w:sz w:val="24"/>
          <w:szCs w:val="24"/>
        </w:rPr>
        <w:t>)</w:t>
      </w:r>
      <w:r w:rsidRPr="0035519F">
        <w:rPr>
          <w:rFonts w:ascii="Arial" w:hAnsi="Arial" w:cs="Arial"/>
          <w:sz w:val="24"/>
          <w:szCs w:val="24"/>
        </w:rPr>
        <w:t xml:space="preserve"> sistemik dan peningkatan risiko </w:t>
      </w:r>
      <w:r w:rsidR="0003017A" w:rsidRPr="0035519F">
        <w:rPr>
          <w:rFonts w:ascii="Arial" w:hAnsi="Arial" w:cs="Arial"/>
          <w:sz w:val="24"/>
          <w:szCs w:val="24"/>
        </w:rPr>
        <w:t>DM tipe-2</w:t>
      </w:r>
      <w:r w:rsidRPr="0035519F">
        <w:rPr>
          <w:rFonts w:ascii="Arial" w:hAnsi="Arial" w:cs="Arial"/>
          <w:sz w:val="24"/>
          <w:szCs w:val="24"/>
        </w:rPr>
        <w:t xml:space="preserve">. </w:t>
      </w:r>
      <w:r w:rsidR="000E77B2" w:rsidRPr="0035519F">
        <w:rPr>
          <w:rFonts w:ascii="Arial" w:hAnsi="Arial" w:cs="Arial"/>
          <w:sz w:val="24"/>
          <w:szCs w:val="24"/>
        </w:rPr>
        <w:t>Terdapat banyak efek merugikan yang</w:t>
      </w:r>
      <w:r w:rsidRPr="0035519F">
        <w:rPr>
          <w:rFonts w:ascii="Arial" w:hAnsi="Arial" w:cs="Arial"/>
          <w:sz w:val="24"/>
          <w:szCs w:val="24"/>
        </w:rPr>
        <w:t xml:space="preserve"> dikaitkan denga</w:t>
      </w:r>
      <w:r w:rsidR="000E77B2" w:rsidRPr="0035519F">
        <w:rPr>
          <w:rFonts w:ascii="Arial" w:hAnsi="Arial" w:cs="Arial"/>
          <w:sz w:val="24"/>
          <w:szCs w:val="24"/>
        </w:rPr>
        <w:t xml:space="preserve">n perluasan WAT </w:t>
      </w:r>
      <w:r w:rsidR="0003017A" w:rsidRPr="0035519F">
        <w:rPr>
          <w:rFonts w:ascii="Arial" w:hAnsi="Arial" w:cs="Arial"/>
          <w:sz w:val="24"/>
          <w:szCs w:val="24"/>
        </w:rPr>
        <w:t xml:space="preserve">patologis </w:t>
      </w:r>
      <w:r w:rsidR="000E77B2" w:rsidRPr="0035519F">
        <w:rPr>
          <w:rFonts w:ascii="Arial" w:hAnsi="Arial" w:cs="Arial"/>
          <w:sz w:val="24"/>
          <w:szCs w:val="24"/>
        </w:rPr>
        <w:t>seperti</w:t>
      </w:r>
      <w:r w:rsidRPr="0035519F">
        <w:rPr>
          <w:rFonts w:ascii="Arial" w:hAnsi="Arial" w:cs="Arial"/>
          <w:sz w:val="24"/>
          <w:szCs w:val="24"/>
        </w:rPr>
        <w:t xml:space="preserve"> </w:t>
      </w:r>
      <w:r w:rsidR="0003017A" w:rsidRPr="0035519F">
        <w:rPr>
          <w:rFonts w:ascii="Arial" w:hAnsi="Arial" w:cs="Arial"/>
          <w:sz w:val="24"/>
          <w:szCs w:val="24"/>
        </w:rPr>
        <w:t>inflamasi</w:t>
      </w:r>
      <w:r w:rsidRPr="0035519F">
        <w:rPr>
          <w:rFonts w:ascii="Arial" w:hAnsi="Arial" w:cs="Arial"/>
          <w:sz w:val="24"/>
          <w:szCs w:val="24"/>
        </w:rPr>
        <w:t>, fibrosis, hipoksia, perubahan sekresi adip</w:t>
      </w:r>
      <w:r w:rsidR="000E77B2" w:rsidRPr="0035519F">
        <w:rPr>
          <w:rFonts w:ascii="Arial" w:hAnsi="Arial" w:cs="Arial"/>
          <w:sz w:val="24"/>
          <w:szCs w:val="24"/>
        </w:rPr>
        <w:t>okin, dan disfungsi mitokondria</w:t>
      </w:r>
      <w:r w:rsidRPr="0035519F">
        <w:rPr>
          <w:rFonts w:ascii="Arial" w:hAnsi="Arial" w:cs="Arial"/>
          <w:sz w:val="24"/>
          <w:szCs w:val="24"/>
        </w:rPr>
        <w:t xml:space="preserve">. Dalam kondisi keseimbangan energi positif yang berkepanjangan, adiposit </w:t>
      </w:r>
      <w:r w:rsidRPr="0035519F">
        <w:rPr>
          <w:rFonts w:ascii="Arial" w:hAnsi="Arial" w:cs="Arial"/>
          <w:sz w:val="24"/>
          <w:szCs w:val="24"/>
        </w:rPr>
        <w:lastRenderedPageBreak/>
        <w:t>memperluas ukuran dan jumlah sel untuk mengkompensasi kebutuhan peningkatan peny</w:t>
      </w:r>
      <w:r w:rsidR="00AF14DC" w:rsidRPr="0035519F">
        <w:rPr>
          <w:rFonts w:ascii="Arial" w:hAnsi="Arial" w:cs="Arial"/>
          <w:sz w:val="24"/>
          <w:szCs w:val="24"/>
        </w:rPr>
        <w:t>impanan lipid. Sel-sel ini akan mencapai batas di</w:t>
      </w:r>
      <w:r w:rsidRPr="0035519F">
        <w:rPr>
          <w:rFonts w:ascii="Arial" w:hAnsi="Arial" w:cs="Arial"/>
          <w:sz w:val="24"/>
          <w:szCs w:val="24"/>
        </w:rPr>
        <w:t>mana tekanan anabolik t</w:t>
      </w:r>
      <w:r w:rsidR="00AF14DC" w:rsidRPr="0035519F">
        <w:rPr>
          <w:rFonts w:ascii="Arial" w:hAnsi="Arial" w:cs="Arial"/>
          <w:sz w:val="24"/>
          <w:szCs w:val="24"/>
        </w:rPr>
        <w:t>ambahan tidak dapat diakomodasi lagi</w:t>
      </w:r>
      <w:r w:rsidRPr="0035519F">
        <w:rPr>
          <w:rFonts w:ascii="Arial" w:hAnsi="Arial" w:cs="Arial"/>
          <w:sz w:val="24"/>
          <w:szCs w:val="24"/>
        </w:rPr>
        <w:t xml:space="preserve"> karena keterbatasan ekspansi sel dan jaringan. </w:t>
      </w:r>
      <w:r w:rsidR="00AF14DC" w:rsidRPr="0035519F">
        <w:rPr>
          <w:rFonts w:ascii="Arial" w:hAnsi="Arial" w:cs="Arial"/>
          <w:sz w:val="24"/>
          <w:szCs w:val="24"/>
        </w:rPr>
        <w:t>Kondisi</w:t>
      </w:r>
      <w:r w:rsidRPr="0035519F">
        <w:rPr>
          <w:rFonts w:ascii="Arial" w:hAnsi="Arial" w:cs="Arial"/>
          <w:sz w:val="24"/>
          <w:szCs w:val="24"/>
        </w:rPr>
        <w:t xml:space="preserve"> ini menyebabkan stres adiposit dan memulai program inflamasi</w:t>
      </w:r>
      <w:r w:rsidR="0003017A" w:rsidRPr="0035519F">
        <w:rPr>
          <w:rFonts w:ascii="Arial" w:hAnsi="Arial" w:cs="Arial"/>
          <w:sz w:val="24"/>
          <w:szCs w:val="24"/>
        </w:rPr>
        <w:t xml:space="preserve"> sebagai respons terhadap stres</w:t>
      </w:r>
      <w:r w:rsidRPr="0035519F">
        <w:rPr>
          <w:rFonts w:ascii="Arial" w:hAnsi="Arial" w:cs="Arial"/>
          <w:sz w:val="24"/>
          <w:szCs w:val="24"/>
        </w:rPr>
        <w:t>.</w:t>
      </w:r>
      <w:r w:rsidR="004D0199" w:rsidRPr="0035519F">
        <w:rPr>
          <w:rFonts w:ascii="Arial" w:hAnsi="Arial" w:cs="Arial"/>
          <w:sz w:val="24"/>
          <w:szCs w:val="24"/>
        </w:rPr>
        <w:t xml:space="preserve"> Berbagai bukti menunjukkan bahwa akumulasi lipid yang berlebihan dalam jaringan ektopik menyebabkan peradangan lokal dan  res</w:t>
      </w:r>
      <w:r w:rsidR="00A83F25" w:rsidRPr="0035519F">
        <w:rPr>
          <w:rFonts w:ascii="Arial" w:hAnsi="Arial" w:cs="Arial"/>
          <w:sz w:val="24"/>
          <w:szCs w:val="24"/>
        </w:rPr>
        <w:t>istensi insulin</w:t>
      </w:r>
      <w:r w:rsidR="0003017A" w:rsidRPr="0035519F">
        <w:rPr>
          <w:rFonts w:ascii="Arial" w:hAnsi="Arial" w:cs="Arial"/>
          <w:sz w:val="24"/>
          <w:szCs w:val="24"/>
        </w:rPr>
        <w:t xml:space="preserve"> (Gambar 4)</w:t>
      </w:r>
      <w:r w:rsidR="00A83F25" w:rsidRPr="0035519F">
        <w:rPr>
          <w:rFonts w:ascii="Arial" w:hAnsi="Arial" w:cs="Arial"/>
          <w:sz w:val="24"/>
          <w:szCs w:val="24"/>
        </w:rPr>
        <w:t xml:space="preserve">, </w:t>
      </w:r>
      <w:r w:rsidR="004D0199"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{"citationItems":[{"id":"ITEM-1","itemData":{"DOI":"10.3390/ijms20092358","ISSN":"1422-0067","PMID":"31085992","abstract":"Obesity is a critical risk factor for the development of type 2 diabetes (T2D), and its prevalence is rising worldwide. White adipose tissue (WAT) has a crucial role in regulating systemic energy homeostasis. Adipose tissue expands by a combination of an increase in adipocyte size (hypertrophy) and number (hyperplasia). The recruitment and differentiation of adipose precursor cells in the subcutaneous adipose tissue (SAT), rather than merely inflating the cells, would be protective from the obesity-associated metabolic complications. In metabolically unhealthy obesity, the storage capacity of SAT, the largest WAT depot, is limited, and further caloric overload leads to the fat accumulation in ectopic tissues (e.g., liver, skeletal muscle, and heart) and in the visceral adipose depots, an event commonly defined as “lipotoxicity.” Excessive ectopic lipid accumulation leads to local inflammation and insulin resistance (IR). Indeed, overnutrition triggers uncontrolled inflammatory responses in WAT, leading to chronic low-grade inflammation, therefore fostering the progression of IR. This review summarizes the current knowledge on WAT dysfunction in obesity and its associated metabolic abnormalities, such as IR. A better understanding of the mechanisms regulating adipose tissue expansion in obesity is required for the development of future therapeutic approaches in obesity-associated metabolic complications.","author":[{"dropping-particle":"","family":"Longo","given":"Michele","non-dropping-particle":"","parse-names":false,"suffix":""},{"dropping-particle":"","family":"Zatterale","given":"Federica","non-dropping-particle":"","parse-names":false,"suffix":""},{"dropping-particle":"","family":"Naderi","given":"Jamal","non-dropping-particle":"","parse-names":false,"suffix":""},{"dropping-particle":"","family":"Parrillo","given":"Luca","non-dropping-particle":"","parse-names":false,"suffix":""},{"dropping-particle":"","family":"Formisano","given":"Pietro","non-dropping-particle":"","parse-names":false,"suffix":""},{"dropping-particle":"","family":"Raciti","given":"Gregory Alexander","non-dropping-particle":"","parse-names":false,"suffix":""},{"dropping-particle":"","family":"Beguinot","given":"Francesco","non-dropping-particle":"","parse-names":false,"suffix":""},{"dropping-particle":"","family":"Miele","given":"Claudia","non-dropping-particle":"","parse-names":false,"suffix":""}],"container-title":"International Journal of Molecular Sciences","id":"ITEM-1","issue":"9","issued":{"date-parts":[["2019","5"]]},"page":"2358","title":"Adipose Tissue Dysfunction as Determinant of Obesity-Associated Metabolic Complications","type":"article-journal","volume":"20"},"uris":["http://www.mendeley.com/documents/?uuid=00c6c372-1fd1-43ed-91ac-5343eb2b0c81"]}],"mendeley":{"formattedCitation":"(Longo &lt;i&gt;et al.&lt;/i&gt;, 2019)","plainTextFormattedCitation":"(Longo et al., 2019)","previouslyFormattedCitation":"(Longo &lt;i&gt;et al.&lt;/i&gt;, 2019)"},"properties":{"noteIndex":0},"schema":"https://github.com/citation-style-language/schema/raw/master/csl-citation.json"}</w:instrText>
      </w:r>
      <w:r w:rsidR="004D0199" w:rsidRPr="0035519F">
        <w:rPr>
          <w:rFonts w:ascii="Arial" w:hAnsi="Arial" w:cs="Arial"/>
          <w:sz w:val="24"/>
          <w:szCs w:val="24"/>
        </w:rPr>
        <w:fldChar w:fldCharType="separate"/>
      </w:r>
      <w:r w:rsidR="00D11F03" w:rsidRPr="0035519F">
        <w:rPr>
          <w:rFonts w:ascii="Arial" w:hAnsi="Arial" w:cs="Arial"/>
          <w:noProof/>
          <w:sz w:val="24"/>
          <w:szCs w:val="24"/>
        </w:rPr>
        <w:t xml:space="preserve">(Longo </w:t>
      </w:r>
      <w:r w:rsidR="00D11F03" w:rsidRPr="0035519F">
        <w:rPr>
          <w:rFonts w:ascii="Arial" w:hAnsi="Arial" w:cs="Arial"/>
          <w:i/>
          <w:noProof/>
          <w:sz w:val="24"/>
          <w:szCs w:val="24"/>
        </w:rPr>
        <w:t>et al.</w:t>
      </w:r>
      <w:r w:rsidR="00D11F03" w:rsidRPr="0035519F">
        <w:rPr>
          <w:rFonts w:ascii="Arial" w:hAnsi="Arial" w:cs="Arial"/>
          <w:noProof/>
          <w:sz w:val="24"/>
          <w:szCs w:val="24"/>
        </w:rPr>
        <w:t>, 2019)</w:t>
      </w:r>
      <w:r w:rsidR="004D0199" w:rsidRPr="0035519F">
        <w:rPr>
          <w:rFonts w:ascii="Arial" w:hAnsi="Arial" w:cs="Arial"/>
          <w:sz w:val="24"/>
          <w:szCs w:val="24"/>
        </w:rPr>
        <w:fldChar w:fldCharType="end"/>
      </w:r>
      <w:r w:rsidR="0003017A" w:rsidRPr="0035519F">
        <w:rPr>
          <w:rFonts w:ascii="Arial" w:hAnsi="Arial" w:cs="Arial"/>
          <w:sz w:val="24"/>
          <w:szCs w:val="24"/>
        </w:rPr>
        <w:t>.</w:t>
      </w:r>
    </w:p>
    <w:p w14:paraId="49B0DFE1" w14:textId="77777777" w:rsidR="004D0199" w:rsidRPr="0035519F" w:rsidRDefault="004D0199" w:rsidP="00A83F25">
      <w:pPr>
        <w:spacing w:after="0" w:line="240" w:lineRule="auto"/>
        <w:ind w:left="426" w:firstLine="24"/>
        <w:jc w:val="center"/>
        <w:rPr>
          <w:rFonts w:ascii="Arial" w:hAnsi="Arial" w:cs="Arial"/>
          <w:sz w:val="24"/>
          <w:szCs w:val="24"/>
        </w:rPr>
      </w:pPr>
      <w:r w:rsidRPr="0035519F">
        <w:rPr>
          <w:noProof/>
        </w:rPr>
        <w:drawing>
          <wp:inline distT="0" distB="0" distL="0" distR="0" wp14:anchorId="34B6B118" wp14:editId="5FB4C567">
            <wp:extent cx="4535723" cy="2604976"/>
            <wp:effectExtent l="95250" t="57150" r="93980" b="138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440" t="17846" r="23559" b="26996"/>
                    <a:stretch/>
                  </pic:blipFill>
                  <pic:spPr bwMode="auto">
                    <a:xfrm>
                      <a:off x="0" y="0"/>
                      <a:ext cx="4579218" cy="2629956"/>
                    </a:xfrm>
                    <a:prstGeom prst="rect">
                      <a:avLst/>
                    </a:prstGeom>
                    <a:ln w="28575">
                      <a:solidFill>
                        <a:schemeClr val="tx1"/>
                      </a:solid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2189A583" w14:textId="35D7C3B1" w:rsidR="004D0199" w:rsidRPr="0035519F" w:rsidRDefault="001C440B" w:rsidP="006E0438">
      <w:pPr>
        <w:pStyle w:val="Caption"/>
        <w:ind w:left="1260" w:right="111" w:hanging="630"/>
        <w:jc w:val="both"/>
        <w:rPr>
          <w:rFonts w:ascii="Arial" w:hAnsi="Arial" w:cs="Arial"/>
          <w:i w:val="0"/>
          <w:color w:val="auto"/>
          <w:sz w:val="20"/>
          <w:szCs w:val="20"/>
        </w:rPr>
      </w:pPr>
      <w:bookmarkStart w:id="34" w:name="_Toc111873692"/>
      <w:r w:rsidRPr="0035519F">
        <w:rPr>
          <w:rFonts w:ascii="Arial" w:hAnsi="Arial" w:cs="Arial"/>
          <w:i w:val="0"/>
          <w:color w:val="auto"/>
          <w:sz w:val="24"/>
          <w:szCs w:val="20"/>
        </w:rPr>
        <w:t xml:space="preserve">Gambar </w:t>
      </w:r>
      <w:r w:rsidRPr="0035519F">
        <w:rPr>
          <w:rFonts w:ascii="Arial" w:hAnsi="Arial" w:cs="Arial"/>
          <w:i w:val="0"/>
          <w:color w:val="auto"/>
          <w:sz w:val="24"/>
          <w:szCs w:val="20"/>
        </w:rPr>
        <w:fldChar w:fldCharType="begin"/>
      </w:r>
      <w:r w:rsidRPr="0035519F">
        <w:rPr>
          <w:rFonts w:ascii="Arial" w:hAnsi="Arial" w:cs="Arial"/>
          <w:i w:val="0"/>
          <w:color w:val="auto"/>
          <w:sz w:val="24"/>
          <w:szCs w:val="20"/>
        </w:rPr>
        <w:instrText xml:space="preserve"> SEQ Gambar \* ARABIC </w:instrText>
      </w:r>
      <w:r w:rsidRPr="0035519F">
        <w:rPr>
          <w:rFonts w:ascii="Arial" w:hAnsi="Arial" w:cs="Arial"/>
          <w:i w:val="0"/>
          <w:color w:val="auto"/>
          <w:sz w:val="24"/>
          <w:szCs w:val="20"/>
        </w:rPr>
        <w:fldChar w:fldCharType="separate"/>
      </w:r>
      <w:r w:rsidR="005B4074">
        <w:rPr>
          <w:rFonts w:ascii="Arial" w:hAnsi="Arial" w:cs="Arial"/>
          <w:i w:val="0"/>
          <w:noProof/>
          <w:color w:val="auto"/>
          <w:sz w:val="24"/>
          <w:szCs w:val="20"/>
        </w:rPr>
        <w:t>4</w:t>
      </w:r>
      <w:r w:rsidRPr="0035519F">
        <w:rPr>
          <w:rFonts w:ascii="Arial" w:hAnsi="Arial" w:cs="Arial"/>
          <w:i w:val="0"/>
          <w:color w:val="auto"/>
          <w:sz w:val="24"/>
          <w:szCs w:val="20"/>
        </w:rPr>
        <w:fldChar w:fldCharType="end"/>
      </w:r>
      <w:r w:rsidR="004D0199" w:rsidRPr="0035519F">
        <w:rPr>
          <w:rFonts w:ascii="Arial" w:hAnsi="Arial" w:cs="Arial"/>
          <w:i w:val="0"/>
          <w:color w:val="auto"/>
          <w:sz w:val="24"/>
          <w:szCs w:val="20"/>
        </w:rPr>
        <w:t>.</w:t>
      </w:r>
      <w:r w:rsidR="0003017A" w:rsidRPr="0035519F">
        <w:rPr>
          <w:rFonts w:ascii="Arial" w:hAnsi="Arial" w:cs="Arial"/>
          <w:i w:val="0"/>
          <w:color w:val="auto"/>
          <w:sz w:val="24"/>
          <w:szCs w:val="20"/>
        </w:rPr>
        <w:t xml:space="preserve"> </w:t>
      </w:r>
      <w:r w:rsidR="004D0199" w:rsidRPr="0035519F">
        <w:rPr>
          <w:rFonts w:ascii="Arial" w:hAnsi="Arial" w:cs="Arial"/>
          <w:i w:val="0"/>
          <w:color w:val="auto"/>
          <w:sz w:val="24"/>
          <w:szCs w:val="20"/>
        </w:rPr>
        <w:t>Ek</w:t>
      </w:r>
      <w:r w:rsidR="00366344" w:rsidRPr="0035519F">
        <w:rPr>
          <w:rFonts w:ascii="Arial" w:hAnsi="Arial" w:cs="Arial"/>
          <w:i w:val="0"/>
          <w:color w:val="auto"/>
          <w:sz w:val="24"/>
          <w:szCs w:val="20"/>
        </w:rPr>
        <w:t>s</w:t>
      </w:r>
      <w:r w:rsidR="004D0199" w:rsidRPr="0035519F">
        <w:rPr>
          <w:rFonts w:ascii="Arial" w:hAnsi="Arial" w:cs="Arial"/>
          <w:i w:val="0"/>
          <w:color w:val="auto"/>
          <w:sz w:val="24"/>
          <w:szCs w:val="20"/>
        </w:rPr>
        <w:t>pansi WAT pada obesitas</w:t>
      </w:r>
      <w:r w:rsidR="00A83F25" w:rsidRPr="0035519F">
        <w:rPr>
          <w:rFonts w:ascii="Arial" w:hAnsi="Arial" w:cs="Arial"/>
          <w:i w:val="0"/>
          <w:color w:val="auto"/>
          <w:sz w:val="24"/>
          <w:szCs w:val="20"/>
        </w:rPr>
        <w:t xml:space="preserve"> </w:t>
      </w:r>
      <w:r w:rsidR="004D0199" w:rsidRPr="0035519F">
        <w:rPr>
          <w:rFonts w:ascii="Arial" w:hAnsi="Arial" w:cs="Arial"/>
          <w:i w:val="0"/>
          <w:color w:val="auto"/>
          <w:sz w:val="24"/>
          <w:szCs w:val="20"/>
        </w:rPr>
        <w:fldChar w:fldCharType="begin" w:fldLock="1"/>
      </w:r>
      <w:r w:rsidR="00D11F03" w:rsidRPr="0035519F">
        <w:rPr>
          <w:rFonts w:ascii="Arial" w:hAnsi="Arial" w:cs="Arial"/>
          <w:i w:val="0"/>
          <w:color w:val="auto"/>
          <w:sz w:val="24"/>
          <w:szCs w:val="20"/>
        </w:rPr>
        <w:instrText>ADDIN CSL_CITATION {"citationItems":[{"id":"ITEM-1","itemData":{"DOI":"10.3390/ijms20092358","ISSN":"1422-0067","PMID":"31085992","abstract":"Obesity is a critical risk factor for the development of type 2 diabetes (T2D), and its prevalence is rising worldwide. White adipose tissue (WAT) has a crucial role in regulating systemic energy homeostasis. Adipose tissue expands by a combination of an increase in adipocyte size (hypertrophy) and number (hyperplasia). The recruitment and differentiation of adipose precursor cells in the subcutaneous adipose tissue (SAT), rather than merely inflating the cells, would be protective from the obesity-associated metabolic complications. In metabolically unhealthy obesity, the storage capacity of SAT, the largest WAT depot, is limited, and further caloric overload leads to the fat accumulation in ectopic tissues (e.g., liver, skeletal muscle, and heart) and in the visceral adipose depots, an event commonly defined as “lipotoxicity.” Excessive ectopic lipid accumulation leads to local inflammation and insulin resistance (IR). Indeed, overnutrition triggers uncontrolled inflammatory responses in WAT, leading to chronic low-grade inflammation, therefore fostering the progression of IR. This review summarizes the current knowledge on WAT dysfunction in obesity and its associated metabolic abnormalities, such as IR. A better understanding of the mechanisms regulating adipose tissue expansion in obesity is required for the development of future therapeutic approaches in obesity-associated metabolic complications.","author":[{"dropping-particle":"","family":"Longo","given":"Michele","non-dropping-particle":"","parse-names":false,"suffix":""},{"dropping-particle":"","family":"Zatterale","given":"Federica","non-dropping-particle":"","parse-names":false,"suffix":""},{"dropping-particle":"","family":"Naderi","given":"Jamal","non-dropping-particle":"","parse-names":false,"suffix":""},{"dropping-particle":"","family":"Parrillo","given":"Luca","non-dropping-particle":"","parse-names":false,"suffix":""},{"dropping-particle":"","family":"Formisano","given":"Pietro","non-dropping-particle":"","parse-names":false,"suffix":""},{"dropping-particle":"","family":"Raciti","given":"Gregory Alexander","non-dropping-particle":"","parse-names":false,"suffix":""},{"dropping-particle":"","family":"Beguinot","given":"Francesco","non-dropping-particle":"","parse-names":false,"suffix":""},{"dropping-particle":"","family":"Miele","given":"Claudia","non-dropping-particle":"","parse-names":false,"suffix":""}],"container-title":"International Journal of Molecular Sciences","id":"ITEM-1","issue":"9","issued":{"date-parts":[["2019","5"]]},"page":"2358","title":"Adipose Tissue Dysfunction as Determinant of Obesity-Associated Metabolic Complications","type":"article-journal","volume":"20"},"uris":["http://www.mendeley.com/documents/?uuid=00c6c372-1fd1-43ed-91ac-5343eb2b0c81"]}],"mendeley":{"formattedCitation":"(Longo &lt;i&gt;et al.&lt;/i&gt;, 2019)","plainTextFormattedCitation":"(Longo et al., 2019)","previouslyFormattedCitation":"(Longo &lt;i&gt;et al.&lt;/i&gt;, 2019)"},"properties":{"noteIndex":0},"schema":"https://github.com/citation-style-language/schema/raw/master/csl-citation.json"}</w:instrText>
      </w:r>
      <w:r w:rsidR="004D0199" w:rsidRPr="0035519F">
        <w:rPr>
          <w:rFonts w:ascii="Arial" w:hAnsi="Arial" w:cs="Arial"/>
          <w:i w:val="0"/>
          <w:color w:val="auto"/>
          <w:sz w:val="24"/>
          <w:szCs w:val="20"/>
        </w:rPr>
        <w:fldChar w:fldCharType="separate"/>
      </w:r>
      <w:r w:rsidR="00D11F03" w:rsidRPr="0035519F">
        <w:rPr>
          <w:rFonts w:ascii="Arial" w:hAnsi="Arial" w:cs="Arial"/>
          <w:i w:val="0"/>
          <w:noProof/>
          <w:color w:val="auto"/>
          <w:sz w:val="24"/>
          <w:szCs w:val="20"/>
        </w:rPr>
        <w:t>(Longo et al., 2019)</w:t>
      </w:r>
      <w:r w:rsidR="004D0199" w:rsidRPr="0035519F">
        <w:rPr>
          <w:rFonts w:ascii="Arial" w:hAnsi="Arial" w:cs="Arial"/>
          <w:i w:val="0"/>
          <w:color w:val="auto"/>
          <w:sz w:val="24"/>
          <w:szCs w:val="20"/>
        </w:rPr>
        <w:fldChar w:fldCharType="end"/>
      </w:r>
      <w:r w:rsidR="0003017A" w:rsidRPr="0035519F">
        <w:rPr>
          <w:rFonts w:ascii="Arial" w:hAnsi="Arial" w:cs="Arial"/>
          <w:i w:val="0"/>
          <w:color w:val="auto"/>
          <w:sz w:val="24"/>
          <w:szCs w:val="20"/>
        </w:rPr>
        <w:t>.</w:t>
      </w:r>
      <w:bookmarkEnd w:id="34"/>
    </w:p>
    <w:p w14:paraId="389F6636" w14:textId="77777777" w:rsidR="004351B4" w:rsidRPr="0035519F" w:rsidRDefault="004351B4" w:rsidP="00A83F25">
      <w:pPr>
        <w:spacing w:after="0" w:line="240" w:lineRule="auto"/>
        <w:ind w:left="426" w:firstLine="24"/>
        <w:jc w:val="center"/>
        <w:rPr>
          <w:rFonts w:ascii="Arial" w:hAnsi="Arial" w:cs="Arial"/>
          <w:sz w:val="24"/>
          <w:szCs w:val="24"/>
        </w:rPr>
      </w:pPr>
    </w:p>
    <w:p w14:paraId="5620F45E" w14:textId="77777777" w:rsidR="004D0199" w:rsidRPr="0035519F" w:rsidRDefault="004D0199" w:rsidP="004D0199">
      <w:pPr>
        <w:spacing w:after="0" w:line="480" w:lineRule="auto"/>
        <w:ind w:left="426" w:firstLine="567"/>
        <w:jc w:val="both"/>
        <w:rPr>
          <w:rFonts w:ascii="Arial" w:hAnsi="Arial" w:cs="Arial"/>
          <w:sz w:val="24"/>
          <w:szCs w:val="24"/>
        </w:rPr>
      </w:pPr>
      <w:r w:rsidRPr="0035519F">
        <w:rPr>
          <w:rFonts w:ascii="Arial" w:hAnsi="Arial" w:cs="Arial"/>
          <w:sz w:val="24"/>
          <w:szCs w:val="24"/>
        </w:rPr>
        <w:t xml:space="preserve"> Akumulasi lemak ektopik di</w:t>
      </w:r>
      <w:r w:rsidR="00D3122F" w:rsidRPr="0035519F">
        <w:rPr>
          <w:rFonts w:ascii="Arial" w:hAnsi="Arial" w:cs="Arial"/>
          <w:sz w:val="24"/>
          <w:szCs w:val="24"/>
        </w:rPr>
        <w:t xml:space="preserve"> organ tertentu seperti di pankreas dapat </w:t>
      </w:r>
      <w:r w:rsidRPr="0035519F">
        <w:rPr>
          <w:rFonts w:ascii="Arial" w:hAnsi="Arial" w:cs="Arial"/>
          <w:sz w:val="24"/>
          <w:szCs w:val="24"/>
        </w:rPr>
        <w:t>berkontribusi terhadap disfungsi sel</w:t>
      </w:r>
      <w:r w:rsidR="00D3122F" w:rsidRPr="0035519F">
        <w:rPr>
          <w:rFonts w:ascii="Arial" w:hAnsi="Arial" w:cs="Arial"/>
          <w:sz w:val="24"/>
          <w:szCs w:val="24"/>
        </w:rPr>
        <w:t>.</w:t>
      </w:r>
      <w:r w:rsidRPr="0035519F">
        <w:rPr>
          <w:rFonts w:ascii="Arial" w:hAnsi="Arial" w:cs="Arial"/>
          <w:sz w:val="24"/>
          <w:szCs w:val="24"/>
        </w:rPr>
        <w:t xml:space="preserve"> Penanda akumulasi lemak ektopik pada manusia adalah peningkatan akumulasi lemak visceral</w:t>
      </w:r>
      <w:r w:rsidR="00A83F25" w:rsidRPr="0035519F">
        <w:rPr>
          <w:rFonts w:ascii="Arial" w:hAnsi="Arial" w:cs="Arial"/>
          <w:sz w:val="24"/>
          <w:szCs w:val="24"/>
        </w:rPr>
        <w:t xml:space="preserve"> </w:t>
      </w:r>
      <w:r w:rsidRPr="0035519F">
        <w:rPr>
          <w:rFonts w:ascii="Arial" w:hAnsi="Arial" w:cs="Arial"/>
          <w:sz w:val="24"/>
          <w:szCs w:val="24"/>
        </w:rPr>
        <w:t>/</w:t>
      </w:r>
      <w:r w:rsidR="00A83F25" w:rsidRPr="0035519F">
        <w:rPr>
          <w:rFonts w:ascii="Arial" w:hAnsi="Arial" w:cs="Arial"/>
          <w:sz w:val="24"/>
          <w:szCs w:val="24"/>
        </w:rPr>
        <w:t xml:space="preserve"> </w:t>
      </w:r>
      <w:r w:rsidR="0003017A" w:rsidRPr="0035519F">
        <w:rPr>
          <w:rFonts w:ascii="Arial" w:hAnsi="Arial" w:cs="Arial"/>
          <w:sz w:val="24"/>
          <w:szCs w:val="24"/>
        </w:rPr>
        <w:t>intraabdominal</w:t>
      </w:r>
      <w:r w:rsidRPr="0035519F">
        <w:rPr>
          <w:rFonts w:ascii="Arial" w:hAnsi="Arial" w:cs="Arial"/>
          <w:sz w:val="24"/>
          <w:szCs w:val="24"/>
        </w:rPr>
        <w:t xml:space="preserve"> yang berhubungan dengan obesitas </w:t>
      </w:r>
      <w:r w:rsidR="00D3122F" w:rsidRPr="0035519F">
        <w:rPr>
          <w:rFonts w:ascii="Arial" w:hAnsi="Arial" w:cs="Arial"/>
          <w:sz w:val="24"/>
          <w:szCs w:val="24"/>
        </w:rPr>
        <w:t>sentral</w:t>
      </w:r>
      <w:r w:rsidRPr="0035519F">
        <w:rPr>
          <w:rFonts w:ascii="Arial" w:hAnsi="Arial" w:cs="Arial"/>
          <w:sz w:val="24"/>
          <w:szCs w:val="24"/>
        </w:rPr>
        <w:t xml:space="preserve">. Terlepas dari </w:t>
      </w:r>
      <w:r w:rsidR="00981646" w:rsidRPr="0035519F">
        <w:rPr>
          <w:rFonts w:ascii="Arial" w:hAnsi="Arial" w:cs="Arial"/>
          <w:sz w:val="24"/>
          <w:szCs w:val="24"/>
        </w:rPr>
        <w:t xml:space="preserve">IMT, </w:t>
      </w:r>
      <w:r w:rsidRPr="0035519F">
        <w:rPr>
          <w:rFonts w:ascii="Arial" w:hAnsi="Arial" w:cs="Arial"/>
          <w:sz w:val="24"/>
          <w:szCs w:val="24"/>
        </w:rPr>
        <w:t xml:space="preserve">disfungsi jaringan adiposa, peningkatan akumulasi lemak </w:t>
      </w:r>
      <w:r w:rsidRPr="0035519F">
        <w:rPr>
          <w:rFonts w:ascii="Arial" w:hAnsi="Arial" w:cs="Arial"/>
          <w:sz w:val="24"/>
          <w:szCs w:val="24"/>
        </w:rPr>
        <w:lastRenderedPageBreak/>
        <w:t>vis</w:t>
      </w:r>
      <w:r w:rsidR="00D3122F" w:rsidRPr="0035519F">
        <w:rPr>
          <w:rFonts w:ascii="Arial" w:hAnsi="Arial" w:cs="Arial"/>
          <w:sz w:val="24"/>
          <w:szCs w:val="24"/>
        </w:rPr>
        <w:t xml:space="preserve">ceral dan ektopik serta </w:t>
      </w:r>
      <w:r w:rsidRPr="0035519F">
        <w:rPr>
          <w:rFonts w:ascii="Arial" w:hAnsi="Arial" w:cs="Arial"/>
          <w:sz w:val="24"/>
          <w:szCs w:val="24"/>
        </w:rPr>
        <w:t xml:space="preserve">peradangan dapat berkontribusi pada obesitas yang tidak sehat dan </w:t>
      </w:r>
      <w:r w:rsidR="004351B4" w:rsidRPr="0035519F">
        <w:rPr>
          <w:rFonts w:ascii="Arial" w:hAnsi="Arial" w:cs="Arial"/>
          <w:sz w:val="24"/>
          <w:szCs w:val="24"/>
        </w:rPr>
        <w:t>resistensi insulin</w:t>
      </w:r>
      <w:r w:rsidR="00A83F25" w:rsidRPr="0035519F">
        <w:rPr>
          <w:rFonts w:ascii="Arial" w:hAnsi="Arial" w:cs="Arial"/>
          <w:sz w:val="24"/>
          <w:szCs w:val="24"/>
        </w:rPr>
        <w:t xml:space="preserve"> </w:t>
      </w:r>
      <w:r w:rsidR="00D3122F"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{"citationItems":[{"id":"ITEM-1","itemData":{"DOI":"10.3390/ijms20092358","ISSN":"1422-0067","PMID":"31085992","abstract":"Obesity is a critical risk factor for the development of type 2 diabetes (T2D), and its prevalence is rising worldwide. White adipose tissue (WAT) has a crucial role in regulating systemic energy homeostasis. Adipose tissue expands by a combination of an increase in adipocyte size (hypertrophy) and number (hyperplasia). The recruitment and differentiation of adipose precursor cells in the subcutaneous adipose tissue (SAT), rather than merely inflating the cells, would be protective from the obesity-associated metabolic complications. In metabolically unhealthy obesity, the storage capacity of SAT, the largest WAT depot, is limited, and further caloric overload leads to the fat accumulation in ectopic tissues (e.g., liver, skeletal muscle, and heart) and in the visceral adipose depots, an event commonly defined as “lipotoxicity.” Excessive ectopic lipid accumulation leads to local inflammation and insulin resistance (IR). Indeed, overnutrition triggers uncontrolled inflammatory responses in WAT, leading to chronic low-grade inflammation, therefore fostering the progression of IR. This review summarizes the current knowledge on WAT dysfunction in obesity and its associated metabolic abnormalities, such as IR. A better understanding of the mechanisms regulating adipose tissue expansion in obesity is required for the development of future therapeutic approaches in obesity-associated metabolic complications.","author":[{"dropping-particle":"","family":"Longo","given":"Michele","non-dropping-particle":"","parse-names":false,"suffix":""},{"dropping-particle":"","family":"Zatterale","given":"Federica","non-dropping-particle":"","parse-names":false,"suffix":""},{"dropping-particle":"","family":"Naderi","given":"Jamal","non-dropping-particle":"","parse-names":false,"suffix":""},{"dropping-particle":"","family":"Parrillo","given":"Luca","non-dropping-particle":"","parse-names":false,"suffix":""},{"dropping-particle":"","family":"Formisano","given":"Pietro","non-dropping-particle":"","parse-names":false,"suffix":""},{"dropping-particle":"","family":"Raciti","given":"Gregory Alexander","non-dropping-particle":"","parse-names":false,"suffix":""},{"dropping-particle":"","family":"Beguinot","given":"Francesco","non-dropping-particle":"","parse-names":false,"suffix":""},{"dropping-particle":"","family":"Miele","given":"Claudia","non-dropping-particle":"","parse-names":false,"suffix":""}],"container-title":"International Journal of Molecular Sciences","id":"ITEM-1","issue":"9","issued":{"date-parts":[["2019","5"]]},"page":"2358","title":"Adipose Tissue Dysfunction as Determinant of Obesity-Associated Metabolic Complications","type":"article-journal","volume":"20"},"uris":["http://www.mendeley.com/documents/?uuid=00c6c372-1fd1-43ed-91ac-5343eb2b0c81"]}],"mendeley":{"formattedCitation":"(Longo &lt;i&gt;et al.&lt;/i&gt;, 2019)","plainTextFormattedCitation":"(Longo et al., 2019)","previouslyFormattedCitation":"(Longo &lt;i&gt;et al.&lt;/i&gt;, 2019)"},"properties":{"noteIndex":0},"schema":"https://github.com/citation-style-language/schema/raw/master/csl-citation.json"}</w:instrText>
      </w:r>
      <w:r w:rsidR="00D3122F" w:rsidRPr="0035519F">
        <w:rPr>
          <w:rFonts w:ascii="Arial" w:hAnsi="Arial" w:cs="Arial"/>
          <w:sz w:val="24"/>
          <w:szCs w:val="24"/>
        </w:rPr>
        <w:fldChar w:fldCharType="separate"/>
      </w:r>
      <w:r w:rsidR="00D11F03" w:rsidRPr="0035519F">
        <w:rPr>
          <w:rFonts w:ascii="Arial" w:hAnsi="Arial" w:cs="Arial"/>
          <w:noProof/>
          <w:sz w:val="24"/>
          <w:szCs w:val="24"/>
        </w:rPr>
        <w:t xml:space="preserve">(Longo </w:t>
      </w:r>
      <w:r w:rsidR="00D11F03" w:rsidRPr="0035519F">
        <w:rPr>
          <w:rFonts w:ascii="Arial" w:hAnsi="Arial" w:cs="Arial"/>
          <w:i/>
          <w:noProof/>
          <w:sz w:val="24"/>
          <w:szCs w:val="24"/>
        </w:rPr>
        <w:t>et al.</w:t>
      </w:r>
      <w:r w:rsidR="00D11F03" w:rsidRPr="0035519F">
        <w:rPr>
          <w:rFonts w:ascii="Arial" w:hAnsi="Arial" w:cs="Arial"/>
          <w:noProof/>
          <w:sz w:val="24"/>
          <w:szCs w:val="24"/>
        </w:rPr>
        <w:t>, 2019)</w:t>
      </w:r>
      <w:r w:rsidR="00D3122F" w:rsidRPr="0035519F">
        <w:rPr>
          <w:rFonts w:ascii="Arial" w:hAnsi="Arial" w:cs="Arial"/>
          <w:sz w:val="24"/>
          <w:szCs w:val="24"/>
        </w:rPr>
        <w:fldChar w:fldCharType="end"/>
      </w:r>
      <w:r w:rsidR="0003017A" w:rsidRPr="0035519F">
        <w:rPr>
          <w:rFonts w:ascii="Arial" w:hAnsi="Arial" w:cs="Arial"/>
          <w:sz w:val="24"/>
          <w:szCs w:val="24"/>
        </w:rPr>
        <w:t>.</w:t>
      </w:r>
    </w:p>
    <w:p w14:paraId="494B9051" w14:textId="6A0D6546" w:rsidR="003626A6" w:rsidRPr="0035519F" w:rsidRDefault="007B119C" w:rsidP="009C71A4">
      <w:pPr>
        <w:spacing w:after="0" w:line="480" w:lineRule="auto"/>
        <w:ind w:left="426" w:firstLine="567"/>
        <w:jc w:val="both"/>
        <w:rPr>
          <w:rFonts w:ascii="Arial" w:hAnsi="Arial" w:cs="Arial"/>
          <w:sz w:val="24"/>
          <w:szCs w:val="24"/>
        </w:rPr>
      </w:pPr>
      <w:r w:rsidRPr="0035519F">
        <w:rPr>
          <w:rFonts w:ascii="Arial" w:hAnsi="Arial" w:cs="Arial"/>
          <w:sz w:val="24"/>
          <w:szCs w:val="24"/>
        </w:rPr>
        <w:t xml:space="preserve">Berbagai studi melaporkan bahwa distribusi lemak sangat terkait dengan </w:t>
      </w:r>
      <w:r w:rsidR="004351B4" w:rsidRPr="0035519F">
        <w:rPr>
          <w:rFonts w:ascii="Arial" w:hAnsi="Arial" w:cs="Arial"/>
          <w:sz w:val="24"/>
          <w:szCs w:val="24"/>
        </w:rPr>
        <w:t>resistensi insulin</w:t>
      </w:r>
      <w:r w:rsidRPr="0035519F">
        <w:rPr>
          <w:rFonts w:ascii="Arial" w:hAnsi="Arial" w:cs="Arial"/>
          <w:sz w:val="24"/>
          <w:szCs w:val="24"/>
        </w:rPr>
        <w:t xml:space="preserve"> yang merupakan faktor risiko utama DM tipe-2 dan pe</w:t>
      </w:r>
      <w:r w:rsidR="001A4571" w:rsidRPr="0035519F">
        <w:rPr>
          <w:rFonts w:ascii="Arial" w:hAnsi="Arial" w:cs="Arial"/>
          <w:sz w:val="24"/>
          <w:szCs w:val="24"/>
        </w:rPr>
        <w:t>nyakit kardiovaskular (CVD)</w:t>
      </w:r>
      <w:r w:rsidRPr="0035519F">
        <w:rPr>
          <w:rFonts w:ascii="Arial" w:hAnsi="Arial" w:cs="Arial"/>
          <w:sz w:val="24"/>
          <w:szCs w:val="24"/>
        </w:rPr>
        <w:t>. Sebu</w:t>
      </w:r>
      <w:r w:rsidR="0003017A" w:rsidRPr="0035519F">
        <w:rPr>
          <w:rFonts w:ascii="Arial" w:hAnsi="Arial" w:cs="Arial"/>
          <w:sz w:val="24"/>
          <w:szCs w:val="24"/>
        </w:rPr>
        <w:t>ah tinjauan sistematis dan meta-</w:t>
      </w:r>
      <w:r w:rsidRPr="0035519F">
        <w:rPr>
          <w:rFonts w:ascii="Arial" w:hAnsi="Arial" w:cs="Arial"/>
          <w:sz w:val="24"/>
          <w:szCs w:val="24"/>
        </w:rPr>
        <w:t xml:space="preserve">analisis studi observasional oleh Zhang et al. menunjukkan bahwa akumulasi VAT adalah prediktor terkuat </w:t>
      </w:r>
      <w:r w:rsidR="004351B4" w:rsidRPr="0035519F">
        <w:rPr>
          <w:rFonts w:ascii="Arial" w:hAnsi="Arial" w:cs="Arial"/>
          <w:sz w:val="24"/>
          <w:szCs w:val="24"/>
        </w:rPr>
        <w:t>resistensi insulin</w:t>
      </w:r>
      <w:r w:rsidR="00A83F25"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{"citationItems":[{"id":"ITEM-1","itemData":{"DOI":"10.1038/srep18495","ISSN":"2045-2322","PMID":"26686961","abstract":"Fat distribution is strongly associated with insulin resistance, a risk factor for type 2 diabetes and cardiovascular diseases. However, associations of different adipose tissue depots or/and obesity indices with insulin resistance have not been systematically evaluated. In this study we examined associations of different adipose tissue depots/obesity indices with insulin resistance, as measured by homeostatic model assessment of insulin resistance (HOMA-IR) in observational studies. A total of 40 studies with 56 populations and 29 adipose tissue depots/obesity indices were included in the meta-analysis. There were strong correlation between HOMA-IR and visceral fat mass (r = 0.570, 95% confidence interval(CI): 0.424~0.687), total fat mass (r = 0.492, 95%CI: 0.407~0.570), body mass index (r = 0.482, 95%CI: 0.445~0.518) and waist circumference (r = 0.466, 95%CI: 0.432~0.500), except lower extremity fat (r = 0.088, 95%CI: −0.116~0.285). Sample size, diabetic status, gender, mean of body mass index and race contributed to heterogeneity of these associations. This study showed a positive correlation between insulin resistance and most adipose tissue depots/obesity indices and the strongest association is for visceral fat mass.","author":[{"dropping-particle":"","family":"Zhang","given":"Mingzhi","non-dropping-particle":"","parse-names":false,"suffix":""},{"dropping-particle":"","family":"Hu","given":"Tian","non-dropping-particle":"","parse-names":false,"suffix":""},{"dropping-particle":"","family":"Zhang","given":"Shaoyan","non-dropping-particle":"","parse-names":false,"suffix":""},{"dropping-particle":"","family":"Zhou","given":"Li","non-dropping-particle":"","parse-names":false,"suffix":""}],"container-title":"Scientific Reports 2015 5:1","id":"ITEM-1","issue":"1","issued":{"date-parts":[["2015","12","21"]]},"page":"1-6","publisher":"Nature Publishing Group","title":"Associations of Different Adipose Tissue Depots with Insulin Resistance: A Systematic Review and Meta-analysis of Observational Studies","type":"article-journal","volume":"5"},"uris":["http://www.mendeley.com/documents/?uuid=324032c2-bf85-308d-b764-ae2d57c5ac5e"]}],"mendeley":{"formattedCitation":"(Zhang &lt;i&gt;et al.&lt;/i&gt;, 2015)","plainTextFormattedCitation":"(Zhang et al., 2015)","previouslyFormattedCitation":"(Zhang &lt;i&gt;et al.&lt;/i&gt;, 2015)"},"properties":{"noteIndex":0},"schema":"https://github.com/citation-style-language/schema/raw/master/csl-citation.json"}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 xml:space="preserve">(Zhang </w:t>
      </w:r>
      <w:r w:rsidR="00D11F03" w:rsidRPr="0035519F">
        <w:rPr>
          <w:rFonts w:ascii="Arial" w:hAnsi="Arial" w:cs="Arial"/>
          <w:i/>
          <w:noProof/>
          <w:sz w:val="24"/>
          <w:szCs w:val="24"/>
        </w:rPr>
        <w:t>et al.</w:t>
      </w:r>
      <w:r w:rsidR="00D11F03" w:rsidRPr="0035519F">
        <w:rPr>
          <w:rFonts w:ascii="Arial" w:hAnsi="Arial" w:cs="Arial"/>
          <w:noProof/>
          <w:sz w:val="24"/>
          <w:szCs w:val="24"/>
        </w:rPr>
        <w:t>, 2015)</w:t>
      </w:r>
      <w:r w:rsidRPr="0035519F">
        <w:rPr>
          <w:rFonts w:ascii="Arial" w:hAnsi="Arial" w:cs="Arial"/>
          <w:sz w:val="24"/>
          <w:szCs w:val="24"/>
        </w:rPr>
        <w:fldChar w:fldCharType="end"/>
      </w:r>
      <w:r w:rsidR="0003017A" w:rsidRPr="0035519F">
        <w:rPr>
          <w:rFonts w:ascii="Arial" w:hAnsi="Arial" w:cs="Arial"/>
          <w:sz w:val="24"/>
          <w:szCs w:val="24"/>
        </w:rPr>
        <w:t>.</w:t>
      </w:r>
      <w:r w:rsidRPr="0035519F">
        <w:rPr>
          <w:rFonts w:ascii="Arial" w:hAnsi="Arial" w:cs="Arial"/>
          <w:sz w:val="24"/>
          <w:szCs w:val="24"/>
        </w:rPr>
        <w:t xml:space="preserve"> Namun demikian, indeks obesitas (massa lemak</w:t>
      </w:r>
      <w:r w:rsidR="00712893" w:rsidRPr="0035519F">
        <w:rPr>
          <w:rFonts w:ascii="Arial" w:hAnsi="Arial" w:cs="Arial"/>
          <w:sz w:val="24"/>
          <w:szCs w:val="24"/>
        </w:rPr>
        <w:t xml:space="preserve"> total</w:t>
      </w:r>
      <w:r w:rsidR="0003017A" w:rsidRPr="0035519F">
        <w:rPr>
          <w:rFonts w:ascii="Arial" w:hAnsi="Arial" w:cs="Arial"/>
          <w:sz w:val="24"/>
          <w:szCs w:val="24"/>
        </w:rPr>
        <w:t xml:space="preserve">, </w:t>
      </w:r>
      <w:r w:rsidR="00450B72" w:rsidRPr="0035519F">
        <w:rPr>
          <w:rFonts w:ascii="Arial" w:hAnsi="Arial" w:cs="Arial"/>
          <w:sz w:val="24"/>
          <w:szCs w:val="24"/>
        </w:rPr>
        <w:t>IMT</w:t>
      </w:r>
      <w:r w:rsidRPr="0035519F">
        <w:rPr>
          <w:rFonts w:ascii="Arial" w:hAnsi="Arial" w:cs="Arial"/>
          <w:sz w:val="24"/>
          <w:szCs w:val="24"/>
        </w:rPr>
        <w:t xml:space="preserve"> dan lingkar pinggang) dan depot jaringan adiposa (intra-abdominal dan total lemak perut) secara signif</w:t>
      </w:r>
      <w:r w:rsidR="004351B4" w:rsidRPr="0035519F">
        <w:rPr>
          <w:rFonts w:ascii="Arial" w:hAnsi="Arial" w:cs="Arial"/>
          <w:sz w:val="24"/>
          <w:szCs w:val="24"/>
        </w:rPr>
        <w:t>ikan juga berkorelasi dengan resistensi insulin</w:t>
      </w:r>
      <w:r w:rsidRPr="0035519F">
        <w:rPr>
          <w:rFonts w:ascii="Arial" w:hAnsi="Arial" w:cs="Arial"/>
          <w:sz w:val="24"/>
          <w:szCs w:val="24"/>
        </w:rPr>
        <w:t xml:space="preserve">. Studi </w:t>
      </w:r>
      <w:r w:rsidR="0003017A" w:rsidRPr="0035519F">
        <w:rPr>
          <w:rFonts w:ascii="Arial" w:hAnsi="Arial" w:cs="Arial"/>
          <w:sz w:val="24"/>
          <w:szCs w:val="24"/>
        </w:rPr>
        <w:t>lainnya</w:t>
      </w:r>
      <w:r w:rsidRPr="0035519F">
        <w:rPr>
          <w:rFonts w:ascii="Arial" w:hAnsi="Arial" w:cs="Arial"/>
          <w:sz w:val="24"/>
          <w:szCs w:val="24"/>
        </w:rPr>
        <w:t xml:space="preserve"> menunjukkan bahwa akumulasi lipid dalam SAT perut berkorelasi dengan timbulnya </w:t>
      </w:r>
      <w:r w:rsidR="004351B4" w:rsidRPr="0035519F">
        <w:rPr>
          <w:rFonts w:ascii="Arial" w:hAnsi="Arial" w:cs="Arial"/>
          <w:sz w:val="24"/>
          <w:szCs w:val="24"/>
        </w:rPr>
        <w:t>resistensi insulin</w:t>
      </w:r>
      <w:r w:rsidRPr="0035519F">
        <w:rPr>
          <w:rFonts w:ascii="Arial" w:hAnsi="Arial" w:cs="Arial"/>
          <w:sz w:val="24"/>
          <w:szCs w:val="24"/>
        </w:rPr>
        <w:t xml:space="preserve"> dan</w:t>
      </w:r>
      <w:r w:rsidR="0003017A" w:rsidRPr="0035519F">
        <w:rPr>
          <w:rFonts w:ascii="Arial" w:hAnsi="Arial" w:cs="Arial"/>
          <w:sz w:val="24"/>
          <w:szCs w:val="24"/>
        </w:rPr>
        <w:t xml:space="preserve"> DM tipe-2</w:t>
      </w:r>
      <w:r w:rsidRPr="0035519F">
        <w:rPr>
          <w:rFonts w:ascii="Arial" w:hAnsi="Arial" w:cs="Arial"/>
          <w:sz w:val="24"/>
          <w:szCs w:val="24"/>
        </w:rPr>
        <w:t xml:space="preserve">. Adipositas sentral merupakan faktor risiko penting </w:t>
      </w:r>
      <w:r w:rsidR="001A4571" w:rsidRPr="0035519F">
        <w:rPr>
          <w:rFonts w:ascii="Arial" w:hAnsi="Arial" w:cs="Arial"/>
          <w:sz w:val="24"/>
          <w:szCs w:val="24"/>
        </w:rPr>
        <w:t xml:space="preserve">terjadinya </w:t>
      </w:r>
      <w:r w:rsidRPr="0035519F">
        <w:rPr>
          <w:rFonts w:ascii="Arial" w:hAnsi="Arial" w:cs="Arial"/>
          <w:sz w:val="24"/>
          <w:szCs w:val="24"/>
        </w:rPr>
        <w:t>penyakit metabolik</w:t>
      </w:r>
      <w:r w:rsidR="001A4571" w:rsidRPr="0035519F">
        <w:rPr>
          <w:rFonts w:ascii="Arial" w:hAnsi="Arial" w:cs="Arial"/>
          <w:sz w:val="24"/>
          <w:szCs w:val="24"/>
        </w:rPr>
        <w:t xml:space="preserve"> </w:t>
      </w:r>
      <w:r w:rsidR="00A83F25" w:rsidRPr="0035519F">
        <w:rPr>
          <w:rFonts w:ascii="Arial" w:hAnsi="Arial" w:cs="Arial"/>
          <w:sz w:val="24"/>
          <w:szCs w:val="24"/>
        </w:rPr>
        <w:t xml:space="preserve">dibandingkan adipositas perifer </w:t>
      </w:r>
      <w:r w:rsidR="008F74F2"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{"citationItems":[{"id":"ITEM-1","itemData":{"DOI":"10.3390/ijms20092358","ISSN":"1422-0067","PMID":"31085992","abstract":"Obesity is a critical risk factor for the development of type 2 diabetes (T2D), and its prevalence is rising worldwide. White adipose tissue (WAT) has a crucial role in regulating systemic energy homeostasis. Adipose tissue expands by a combination of an increase in adipocyte size (hypertrophy) and number (hyperplasia). The recruitment and differentiation of adipose precursor cells in the subcutaneous adipose tissue (SAT), rather than merely inflating the cells, would be protective from the obesity-associated metabolic complications. In metabolically unhealthy obesity, the storage capacity of SAT, the largest WAT depot, is limited, and further caloric overload leads to the fat accumulation in ectopic tissues (e.g., liver, skeletal muscle, and heart) and in the visceral adipose depots, an event commonly defined as “lipotoxicity.” Excessive ectopic lipid accumulation leads to local inflammation and insulin resistance (IR). Indeed, overnutrition triggers uncontrolled inflammatory responses in WAT, leading to chronic low-grade inflammation, therefore fostering the progression of IR. This review summarizes the current knowledge on WAT dysfunction in obesity and its associated metabolic abnormalities, such as IR. A better understanding of the mechanisms regulating adipose tissue expansion in obesity is required for the development of future therapeutic approaches in obesity-associated metabolic complications.","author":[{"dropping-particle":"","family":"Longo","given":"Michele","non-dropping-particle":"","parse-names":false,"suffix":""},{"dropping-particle":"","family":"Zatterale","given":"Federica","non-dropping-particle":"","parse-names":false,"suffix":""},{"dropping-particle":"","family":"Naderi","given":"Jamal","non-dropping-particle":"","parse-names":false,"suffix":""},{"dropping-particle":"","family":"Parrillo","given":"Luca","non-dropping-particle":"","parse-names":false,"suffix":""},{"dropping-particle":"","family":"Formisano","given":"Pietro","non-dropping-particle":"","parse-names":false,"suffix":""},{"dropping-particle":"","family":"Raciti","given":"Gregory Alexander","non-dropping-particle":"","parse-names":false,"suffix":""},{"dropping-particle":"","family":"Beguinot","given":"Francesco","non-dropping-particle":"","parse-names":false,"suffix":""},{"dropping-particle":"","family":"Miele","given":"Claudia","non-dropping-particle":"","parse-names":false,"suffix":""}],"container-title":"International Journal of Molecular Sciences","id":"ITEM-1","issue":"9","issued":{"date-parts":[["2019","5"]]},"page":"2358","title":"Adipose Tissue Dysfunction as Determinant of Obesity-Associated Metabolic Complications","type":"article-journal","volume":"20"},"uris":["http://www.mendeley.com/documents/?uuid=00c6c372-1fd1-43ed-91ac-5343eb2b0c81"]}],"mendeley":{"formattedCitation":"(Longo &lt;i&gt;et al.&lt;/i&gt;, 2019)","plainTextFormattedCitation":"(Longo et al., 2019)","previouslyFormattedCitation":"(Longo &lt;i&gt;et al.&lt;/i&gt;, 2019)"},"properties":{"noteIndex":0},"schema":"https://github.com/citation-style-language/schema/raw/master/csl-citation.json"}</w:instrText>
      </w:r>
      <w:r w:rsidR="008F74F2" w:rsidRPr="0035519F">
        <w:rPr>
          <w:rFonts w:ascii="Arial" w:hAnsi="Arial" w:cs="Arial"/>
          <w:sz w:val="24"/>
          <w:szCs w:val="24"/>
        </w:rPr>
        <w:fldChar w:fldCharType="separate"/>
      </w:r>
      <w:r w:rsidR="00D11F03" w:rsidRPr="0035519F">
        <w:rPr>
          <w:rFonts w:ascii="Arial" w:hAnsi="Arial" w:cs="Arial"/>
          <w:noProof/>
          <w:sz w:val="24"/>
          <w:szCs w:val="24"/>
        </w:rPr>
        <w:t xml:space="preserve">(Longo </w:t>
      </w:r>
      <w:r w:rsidR="00D11F03" w:rsidRPr="0035519F">
        <w:rPr>
          <w:rFonts w:ascii="Arial" w:hAnsi="Arial" w:cs="Arial"/>
          <w:i/>
          <w:noProof/>
          <w:sz w:val="24"/>
          <w:szCs w:val="24"/>
        </w:rPr>
        <w:t>et al.</w:t>
      </w:r>
      <w:r w:rsidR="00D11F03" w:rsidRPr="0035519F">
        <w:rPr>
          <w:rFonts w:ascii="Arial" w:hAnsi="Arial" w:cs="Arial"/>
          <w:noProof/>
          <w:sz w:val="24"/>
          <w:szCs w:val="24"/>
        </w:rPr>
        <w:t>, 2019)</w:t>
      </w:r>
      <w:r w:rsidR="008F74F2" w:rsidRPr="0035519F">
        <w:rPr>
          <w:rFonts w:ascii="Arial" w:hAnsi="Arial" w:cs="Arial"/>
          <w:sz w:val="24"/>
          <w:szCs w:val="24"/>
        </w:rPr>
        <w:fldChar w:fldCharType="end"/>
      </w:r>
      <w:r w:rsidR="00A83F25" w:rsidRPr="0035519F">
        <w:rPr>
          <w:rFonts w:ascii="Arial" w:hAnsi="Arial" w:cs="Arial"/>
          <w:sz w:val="24"/>
          <w:szCs w:val="24"/>
        </w:rPr>
        <w:t>.</w:t>
      </w:r>
    </w:p>
    <w:p w14:paraId="1EF30D97" w14:textId="77777777" w:rsidR="00461E06" w:rsidRPr="0035519F" w:rsidRDefault="00461E06" w:rsidP="009C71A4">
      <w:pPr>
        <w:spacing w:after="0" w:line="480" w:lineRule="auto"/>
        <w:ind w:left="426" w:firstLine="567"/>
        <w:jc w:val="both"/>
        <w:rPr>
          <w:rFonts w:ascii="Arial" w:hAnsi="Arial" w:cs="Arial"/>
          <w:sz w:val="24"/>
          <w:szCs w:val="24"/>
        </w:rPr>
      </w:pPr>
    </w:p>
    <w:p w14:paraId="6DB642E0" w14:textId="77777777" w:rsidR="007757AB" w:rsidRPr="0035519F" w:rsidRDefault="007757AB" w:rsidP="00B124CB">
      <w:pPr>
        <w:pStyle w:val="ListParagraph"/>
        <w:numPr>
          <w:ilvl w:val="0"/>
          <w:numId w:val="25"/>
        </w:numPr>
        <w:spacing w:after="0" w:line="480" w:lineRule="auto"/>
        <w:ind w:left="425" w:hanging="426"/>
        <w:outlineLvl w:val="2"/>
        <w:rPr>
          <w:rFonts w:ascii="Arial" w:hAnsi="Arial" w:cs="Arial"/>
          <w:b/>
          <w:sz w:val="24"/>
          <w:szCs w:val="24"/>
        </w:rPr>
      </w:pPr>
      <w:bookmarkStart w:id="35" w:name="_Toc111022763"/>
      <w:r w:rsidRPr="0035519F">
        <w:rPr>
          <w:rFonts w:ascii="Arial" w:hAnsi="Arial" w:cs="Arial"/>
          <w:b/>
          <w:sz w:val="24"/>
          <w:szCs w:val="24"/>
        </w:rPr>
        <w:t>Komplikasi</w:t>
      </w:r>
      <w:r w:rsidR="00A83F25" w:rsidRPr="0035519F">
        <w:rPr>
          <w:rFonts w:ascii="Arial" w:hAnsi="Arial" w:cs="Arial"/>
          <w:b/>
          <w:sz w:val="24"/>
          <w:szCs w:val="24"/>
        </w:rPr>
        <w:t xml:space="preserve"> </w:t>
      </w:r>
      <w:r w:rsidR="00A83F25" w:rsidRPr="0035519F">
        <w:rPr>
          <w:rFonts w:ascii="Arial" w:hAnsi="Arial" w:cs="Arial"/>
          <w:b/>
          <w:sz w:val="24"/>
          <w:szCs w:val="24"/>
        </w:rPr>
        <w:fldChar w:fldCharType="begin" w:fldLock="1"/>
      </w:r>
      <w:r w:rsidR="003E6681" w:rsidRPr="0035519F">
        <w:rPr>
          <w:rFonts w:ascii="Arial" w:hAnsi="Arial" w:cs="Arial"/>
          <w:b/>
          <w:sz w:val="24"/>
          <w:szCs w:val="24"/>
        </w:rPr>
        <w:instrText>ADDIN CSL_CITATION {"citationItems":[{"id":"ITEM-1","itemData":{"DOI":"10.1093/qjmed/hcx152","ISSN":"14602393","PMID":"29025162","abstract":"Global obesity rates have increased exponentially in recent decades. People are becoming obese younger, morbid obesity is increasing and the full health implications are only beginning to be seen. This article discusses the latest epidemiological data on obesity in adults and children, and systemically reviews the complications associated with the condition.","author":[{"dropping-particle":"","family":"Kinlen","given":"D.","non-dropping-particle":"","parse-names":false,"suffix":""},{"dropping-particle":"","family":"Cody","given":"D.","non-dropping-particle":"","parse-names":false,"suffix":""},{"dropping-particle":"","family":"O'Shea","given":"D.","non-dropping-particle":"","parse-names":false,"suffix":""}],"container-title":"QJM","id":"ITEM-1","issue":"7","issued":{"date-parts":[["2018","7"]]},"page":"437-443","title":"Complications of obesity","type":"article","volume":"111"},"uris":["http://www.mendeley.com/documents/?uuid=d1546cea-74ea-47f4-b78d-6586266b75a7"]}],"mendeley":{"formattedCitation":"(Kinlen, Cody and O’Shea, 2018)","plainTextFormattedCitation":"(Kinlen, Cody and O’Shea, 2018)","previouslyFormattedCitation":"(Kinlen, Cody and O’Shea, 2018)"},"properties":{"noteIndex":0},"schema":"https://github.com/citation-style-language/schema/raw/master/csl-citation.json"}</w:instrText>
      </w:r>
      <w:r w:rsidR="00A83F25" w:rsidRPr="0035519F">
        <w:rPr>
          <w:rFonts w:ascii="Arial" w:hAnsi="Arial" w:cs="Arial"/>
          <w:b/>
          <w:sz w:val="24"/>
          <w:szCs w:val="24"/>
        </w:rPr>
        <w:fldChar w:fldCharType="separate"/>
      </w:r>
      <w:r w:rsidR="00A83F25" w:rsidRPr="0035519F">
        <w:rPr>
          <w:rFonts w:ascii="Arial" w:hAnsi="Arial" w:cs="Arial"/>
          <w:noProof/>
          <w:sz w:val="24"/>
          <w:szCs w:val="24"/>
        </w:rPr>
        <w:t>(Kinlen, Cody and O’Shea, 2018)</w:t>
      </w:r>
      <w:r w:rsidR="00A83F25" w:rsidRPr="0035519F">
        <w:rPr>
          <w:rFonts w:ascii="Arial" w:hAnsi="Arial" w:cs="Arial"/>
          <w:b/>
          <w:sz w:val="24"/>
          <w:szCs w:val="24"/>
        </w:rPr>
        <w:fldChar w:fldCharType="end"/>
      </w:r>
      <w:r w:rsidR="00A83F25" w:rsidRPr="0035519F">
        <w:rPr>
          <w:rFonts w:ascii="Arial" w:hAnsi="Arial" w:cs="Arial"/>
          <w:b/>
          <w:sz w:val="24"/>
          <w:szCs w:val="24"/>
        </w:rPr>
        <w:t>.</w:t>
      </w:r>
      <w:bookmarkEnd w:id="35"/>
    </w:p>
    <w:p w14:paraId="04306D9C" w14:textId="77777777" w:rsidR="003E0683" w:rsidRPr="0035519F" w:rsidRDefault="0003017A" w:rsidP="00363776">
      <w:pPr>
        <w:pStyle w:val="BodyText"/>
        <w:numPr>
          <w:ilvl w:val="0"/>
          <w:numId w:val="33"/>
        </w:numPr>
        <w:spacing w:line="480" w:lineRule="auto"/>
        <w:jc w:val="both"/>
        <w:rPr>
          <w:lang w:val="id-ID"/>
        </w:rPr>
      </w:pPr>
      <w:r w:rsidRPr="0035519F">
        <w:t>DM</w:t>
      </w:r>
      <w:r w:rsidR="003E0683" w:rsidRPr="0035519F">
        <w:t xml:space="preserve"> tipe-2 </w:t>
      </w:r>
    </w:p>
    <w:p w14:paraId="50E9B23E" w14:textId="77777777" w:rsidR="003E0683" w:rsidRPr="0035519F" w:rsidRDefault="003E0683" w:rsidP="0003017A">
      <w:pPr>
        <w:pStyle w:val="BodyText"/>
        <w:spacing w:line="480" w:lineRule="auto"/>
        <w:ind w:left="720" w:firstLine="360"/>
        <w:jc w:val="both"/>
      </w:pPr>
      <w:r w:rsidRPr="0035519F">
        <w:rPr>
          <w:lang w:val="id-ID"/>
        </w:rPr>
        <w:t xml:space="preserve">Sebagian besar pasien dengan </w:t>
      </w:r>
      <w:r w:rsidR="0003017A" w:rsidRPr="0035519F">
        <w:rPr>
          <w:lang w:val="id-ID"/>
        </w:rPr>
        <w:t>DM</w:t>
      </w:r>
      <w:r w:rsidR="0003017A" w:rsidRPr="0035519F">
        <w:t xml:space="preserve"> </w:t>
      </w:r>
      <w:r w:rsidRPr="0035519F">
        <w:rPr>
          <w:lang w:val="id-ID"/>
        </w:rPr>
        <w:t>tipe-2 mengalami obesitas</w:t>
      </w:r>
      <w:r w:rsidRPr="0035519F">
        <w:t>,</w:t>
      </w:r>
      <w:r w:rsidRPr="0035519F">
        <w:rPr>
          <w:lang w:val="id-ID"/>
        </w:rPr>
        <w:t xml:space="preserve"> epidemi obesitas global sebagian besar menjelaskan ledakan kasus </w:t>
      </w:r>
      <w:r w:rsidR="0003017A" w:rsidRPr="0035519F">
        <w:rPr>
          <w:lang w:val="id-ID"/>
        </w:rPr>
        <w:t>DM</w:t>
      </w:r>
      <w:r w:rsidR="0003017A" w:rsidRPr="0035519F">
        <w:t xml:space="preserve"> </w:t>
      </w:r>
      <w:r w:rsidR="0003017A" w:rsidRPr="0035519F">
        <w:rPr>
          <w:lang w:val="id-ID"/>
        </w:rPr>
        <w:t xml:space="preserve">tipe-2 </w:t>
      </w:r>
      <w:r w:rsidRPr="0035519F">
        <w:rPr>
          <w:lang w:val="id-ID"/>
        </w:rPr>
        <w:t>selama dua dekade terakhir.</w:t>
      </w:r>
      <w:r w:rsidRPr="0035519F">
        <w:t xml:space="preserve"> </w:t>
      </w:r>
      <w:r w:rsidRPr="0035519F">
        <w:rPr>
          <w:lang w:val="id-ID"/>
        </w:rPr>
        <w:t xml:space="preserve">Risiko </w:t>
      </w:r>
      <w:r w:rsidR="0003017A" w:rsidRPr="0035519F">
        <w:rPr>
          <w:lang w:val="id-ID"/>
        </w:rPr>
        <w:t>DM</w:t>
      </w:r>
      <w:r w:rsidR="0003017A" w:rsidRPr="0035519F">
        <w:t xml:space="preserve"> </w:t>
      </w:r>
      <w:r w:rsidR="0003017A" w:rsidRPr="0035519F">
        <w:rPr>
          <w:lang w:val="id-ID"/>
        </w:rPr>
        <w:t>tipe-2</w:t>
      </w:r>
      <w:r w:rsidRPr="0035519F">
        <w:rPr>
          <w:lang w:val="id-ID"/>
        </w:rPr>
        <w:t xml:space="preserve"> meningkat dengan meningkatnya berat badan</w:t>
      </w:r>
      <w:r w:rsidRPr="0035519F">
        <w:t>.</w:t>
      </w:r>
      <w:r w:rsidR="008B1971" w:rsidRPr="0035519F">
        <w:t xml:space="preserve"> </w:t>
      </w:r>
    </w:p>
    <w:p w14:paraId="1A30AE47" w14:textId="77777777" w:rsidR="003E0683" w:rsidRPr="0035519F" w:rsidRDefault="003E0683" w:rsidP="00363776">
      <w:pPr>
        <w:pStyle w:val="BodyText"/>
        <w:numPr>
          <w:ilvl w:val="0"/>
          <w:numId w:val="33"/>
        </w:numPr>
        <w:spacing w:line="480" w:lineRule="auto"/>
        <w:jc w:val="both"/>
        <w:rPr>
          <w:lang w:val="id-ID"/>
        </w:rPr>
      </w:pPr>
      <w:r w:rsidRPr="0035519F">
        <w:t>Penyakit kardiovaskular</w:t>
      </w:r>
    </w:p>
    <w:p w14:paraId="589A9B21" w14:textId="77777777" w:rsidR="003E0683" w:rsidRPr="0035519F" w:rsidRDefault="003E0683" w:rsidP="003E0683">
      <w:pPr>
        <w:pStyle w:val="BodyText"/>
        <w:spacing w:line="480" w:lineRule="auto"/>
        <w:ind w:left="720" w:firstLine="450"/>
        <w:jc w:val="both"/>
      </w:pPr>
      <w:r w:rsidRPr="0035519F">
        <w:rPr>
          <w:lang w:val="id-ID"/>
        </w:rPr>
        <w:t xml:space="preserve">Anak dengan obesitas </w:t>
      </w:r>
      <w:r w:rsidRPr="0035519F">
        <w:t>memiliki ke</w:t>
      </w:r>
      <w:r w:rsidRPr="0035519F">
        <w:rPr>
          <w:lang w:val="id-ID"/>
        </w:rPr>
        <w:t>mungkin</w:t>
      </w:r>
      <w:r w:rsidRPr="0035519F">
        <w:t xml:space="preserve">an tiga kali lebih </w:t>
      </w:r>
      <w:r w:rsidRPr="0035519F">
        <w:lastRenderedPageBreak/>
        <w:t>besar</w:t>
      </w:r>
      <w:r w:rsidRPr="0035519F">
        <w:rPr>
          <w:lang w:val="id-ID"/>
        </w:rPr>
        <w:t xml:space="preserve"> mengalami hipertensi daripada anak-anak non-obesitas. Pada orang dewasa, </w:t>
      </w:r>
      <w:r w:rsidRPr="0035519F">
        <w:t>terdapat</w:t>
      </w:r>
      <w:r w:rsidRPr="0035519F">
        <w:rPr>
          <w:lang w:val="id-ID"/>
        </w:rPr>
        <w:t xml:space="preserve"> hubungan linier awal </w:t>
      </w:r>
      <w:r w:rsidR="00712893" w:rsidRPr="0035519F">
        <w:rPr>
          <w:lang w:val="id-ID"/>
        </w:rPr>
        <w:t xml:space="preserve">antara </w:t>
      </w:r>
      <w:r w:rsidR="00450B72" w:rsidRPr="0035519F">
        <w:rPr>
          <w:lang w:val="id-ID"/>
        </w:rPr>
        <w:t>IMT</w:t>
      </w:r>
      <w:r w:rsidR="00712893" w:rsidRPr="0035519F">
        <w:rPr>
          <w:lang w:val="id-ID"/>
        </w:rPr>
        <w:t xml:space="preserve"> dan tekanan darah</w:t>
      </w:r>
      <w:r w:rsidRPr="0035519F">
        <w:t>,</w:t>
      </w:r>
      <w:r w:rsidRPr="0035519F">
        <w:rPr>
          <w:lang w:val="id-ID"/>
        </w:rPr>
        <w:t xml:space="preserve"> pen</w:t>
      </w:r>
      <w:r w:rsidR="00712893" w:rsidRPr="0035519F">
        <w:rPr>
          <w:lang w:val="id-ID"/>
        </w:rPr>
        <w:t>urunan berat badan mengurangi tekanan darah</w:t>
      </w:r>
      <w:r w:rsidRPr="0035519F">
        <w:rPr>
          <w:lang w:val="id-ID"/>
        </w:rPr>
        <w:t xml:space="preserve"> pada sebagian besar individu hipertensi.</w:t>
      </w:r>
      <w:r w:rsidRPr="0035519F">
        <w:t xml:space="preserve"> Selain itu dapat pula terjadi </w:t>
      </w:r>
      <w:r w:rsidR="0003017A" w:rsidRPr="0035519F">
        <w:t>dislipidemia</w:t>
      </w:r>
      <w:r w:rsidR="008B1971" w:rsidRPr="0035519F">
        <w:t>,</w:t>
      </w:r>
      <w:r w:rsidRPr="0035519F">
        <w:t xml:space="preserve"> </w:t>
      </w:r>
      <w:r w:rsidR="008B1971" w:rsidRPr="0035519F">
        <w:t>e</w:t>
      </w:r>
      <w:r w:rsidRPr="0035519F">
        <w:t xml:space="preserve">fek obesitas pada metabolisme lipid </w:t>
      </w:r>
      <w:r w:rsidR="008B1971" w:rsidRPr="0035519F">
        <w:t>adalah peningkatan</w:t>
      </w:r>
      <w:r w:rsidR="0003017A" w:rsidRPr="0035519F">
        <w:t xml:space="preserve"> </w:t>
      </w:r>
      <w:r w:rsidR="0003017A" w:rsidRPr="0035519F">
        <w:rPr>
          <w:i/>
        </w:rPr>
        <w:t>Low Density Lipoprotein</w:t>
      </w:r>
      <w:r w:rsidR="008B1971" w:rsidRPr="0035519F">
        <w:rPr>
          <w:i/>
        </w:rPr>
        <w:t xml:space="preserve"> </w:t>
      </w:r>
      <w:r w:rsidR="0003017A" w:rsidRPr="0035519F">
        <w:t>(</w:t>
      </w:r>
      <w:r w:rsidR="008B1971" w:rsidRPr="0035519F">
        <w:t>LDL</w:t>
      </w:r>
      <w:r w:rsidR="0003017A" w:rsidRPr="0035519F">
        <w:t>)</w:t>
      </w:r>
      <w:r w:rsidR="008B1971" w:rsidRPr="0035519F">
        <w:t>,</w:t>
      </w:r>
      <w:r w:rsidR="0003017A" w:rsidRPr="0035519F">
        <w:t xml:space="preserve"> </w:t>
      </w:r>
      <w:r w:rsidR="0003017A" w:rsidRPr="0035519F">
        <w:rPr>
          <w:i/>
        </w:rPr>
        <w:t>Very Low Density Lipoprotein</w:t>
      </w:r>
      <w:r w:rsidR="0003017A" w:rsidRPr="0035519F">
        <w:t xml:space="preserve"> (</w:t>
      </w:r>
      <w:r w:rsidR="008B1971" w:rsidRPr="0035519F">
        <w:t>VLDL</w:t>
      </w:r>
      <w:r w:rsidR="0003017A" w:rsidRPr="0035519F">
        <w:t>)</w:t>
      </w:r>
      <w:r w:rsidR="008B1971" w:rsidRPr="0035519F">
        <w:t>, trigliserida</w:t>
      </w:r>
      <w:r w:rsidRPr="0035519F">
        <w:t xml:space="preserve"> dan </w:t>
      </w:r>
      <w:r w:rsidR="008B1971" w:rsidRPr="0035519F">
        <w:t xml:space="preserve">penurunan </w:t>
      </w:r>
      <w:r w:rsidRPr="0035519F">
        <w:t xml:space="preserve">kadar </w:t>
      </w:r>
      <w:r w:rsidR="0003017A" w:rsidRPr="0035519F">
        <w:rPr>
          <w:i/>
        </w:rPr>
        <w:t>High Density Lipoprotein</w:t>
      </w:r>
      <w:r w:rsidR="0003017A" w:rsidRPr="0035519F">
        <w:t xml:space="preserve"> </w:t>
      </w:r>
      <w:r w:rsidR="008B1971" w:rsidRPr="0035519F">
        <w:t xml:space="preserve">HDL. </w:t>
      </w:r>
    </w:p>
    <w:p w14:paraId="71D6EED2" w14:textId="77777777" w:rsidR="003E0683" w:rsidRPr="0035519F" w:rsidRDefault="003E0683" w:rsidP="00363776">
      <w:pPr>
        <w:pStyle w:val="BodyText"/>
        <w:numPr>
          <w:ilvl w:val="0"/>
          <w:numId w:val="33"/>
        </w:numPr>
        <w:spacing w:line="480" w:lineRule="auto"/>
        <w:jc w:val="both"/>
        <w:rPr>
          <w:lang w:val="id-ID"/>
        </w:rPr>
      </w:pPr>
      <w:r w:rsidRPr="0035519F">
        <w:t>Penyakit respirasi</w:t>
      </w:r>
    </w:p>
    <w:p w14:paraId="5D94DB75" w14:textId="77777777" w:rsidR="008B1971" w:rsidRPr="0035519F" w:rsidRDefault="008B1971" w:rsidP="008B1971">
      <w:pPr>
        <w:pStyle w:val="BodyText"/>
        <w:spacing w:line="480" w:lineRule="auto"/>
        <w:ind w:left="720" w:firstLine="413"/>
        <w:jc w:val="both"/>
      </w:pPr>
      <w:r w:rsidRPr="0035519F">
        <w:rPr>
          <w:i/>
        </w:rPr>
        <w:t xml:space="preserve">Obstructive </w:t>
      </w:r>
      <w:r w:rsidR="0016001C" w:rsidRPr="0035519F">
        <w:rPr>
          <w:i/>
        </w:rPr>
        <w:t>Sleep Apnoe</w:t>
      </w:r>
      <w:r w:rsidR="0016001C" w:rsidRPr="0035519F">
        <w:rPr>
          <w:lang w:val="id-ID"/>
        </w:rPr>
        <w:t xml:space="preserve"> </w:t>
      </w:r>
      <w:r w:rsidRPr="0035519F">
        <w:rPr>
          <w:lang w:val="id-ID"/>
        </w:rPr>
        <w:t>(OSA) berdampak buruk pada beberapa sistem dan</w:t>
      </w:r>
      <w:r w:rsidRPr="0035519F">
        <w:t xml:space="preserve"> dihubungkan </w:t>
      </w:r>
      <w:r w:rsidRPr="0035519F">
        <w:rPr>
          <w:lang w:val="id-ID"/>
        </w:rPr>
        <w:t>dengan hipertensi, resistensi insulin, disfungsi hati, peradangan sistemik dan dislipidemia. Pada anak-anak, hal itu dapat menyebabkan gagal tumbuh, masalah perilaku, penurunan fungsi intelektual dan risiko morbiditas kardiovaskular yang lebih tinggi. Obesitas telah lama diketahui sebagai faktor patogen utama OSA pada orang dewasa</w:t>
      </w:r>
      <w:r w:rsidRPr="0035519F">
        <w:t>.</w:t>
      </w:r>
    </w:p>
    <w:p w14:paraId="3FFEA372" w14:textId="77777777" w:rsidR="00F760C3" w:rsidRPr="0035519F" w:rsidRDefault="00F760C3" w:rsidP="00363776">
      <w:pPr>
        <w:pStyle w:val="BodyText"/>
        <w:numPr>
          <w:ilvl w:val="0"/>
          <w:numId w:val="33"/>
        </w:numPr>
        <w:spacing w:line="480" w:lineRule="auto"/>
        <w:jc w:val="both"/>
      </w:pPr>
      <w:r w:rsidRPr="0035519F">
        <w:t>Penyakit Neurologis</w:t>
      </w:r>
    </w:p>
    <w:p w14:paraId="26D12A73" w14:textId="77777777" w:rsidR="00F760C3" w:rsidRPr="0035519F" w:rsidRDefault="00F760C3" w:rsidP="0003017A">
      <w:pPr>
        <w:pStyle w:val="BodyText"/>
        <w:spacing w:line="480" w:lineRule="auto"/>
        <w:ind w:left="720" w:firstLine="450"/>
        <w:jc w:val="both"/>
      </w:pPr>
      <w:r w:rsidRPr="0035519F">
        <w:t xml:space="preserve">Faktor risiko vaskular seperti hipertensi, dislipidemia, dan diabetes semuanya terkait dengan peningkatan risiko demensia dan penyakit Alzheimer. Meskipun peningkatan </w:t>
      </w:r>
      <w:r w:rsidR="00450B72" w:rsidRPr="0035519F">
        <w:t>IMT</w:t>
      </w:r>
      <w:r w:rsidRPr="0035519F">
        <w:t xml:space="preserve"> berkontribusi pada masing-masing faktor risiko, terdapat hubungan independen yang rumit antara obesitas dan demensia. Lima dari sembilan penelitian melaporkan hubungan independen antara </w:t>
      </w:r>
      <w:r w:rsidR="00450B72" w:rsidRPr="0035519F">
        <w:t>IMT</w:t>
      </w:r>
      <w:r w:rsidRPr="0035519F">
        <w:t xml:space="preserve"> tinggi dan risiko </w:t>
      </w:r>
      <w:r w:rsidRPr="0035519F">
        <w:lastRenderedPageBreak/>
        <w:t>demensia.</w:t>
      </w:r>
    </w:p>
    <w:p w14:paraId="282FBCCA" w14:textId="77777777" w:rsidR="00F760C3" w:rsidRPr="0035519F" w:rsidRDefault="00F760C3" w:rsidP="00363776">
      <w:pPr>
        <w:pStyle w:val="BodyText"/>
        <w:numPr>
          <w:ilvl w:val="0"/>
          <w:numId w:val="33"/>
        </w:numPr>
        <w:spacing w:line="480" w:lineRule="auto"/>
        <w:jc w:val="both"/>
      </w:pPr>
      <w:r w:rsidRPr="0035519F">
        <w:t>Kanker</w:t>
      </w:r>
    </w:p>
    <w:p w14:paraId="4A6A4E39" w14:textId="77777777" w:rsidR="007757AB" w:rsidRPr="0035519F" w:rsidRDefault="00F760C3" w:rsidP="00AA21B6">
      <w:pPr>
        <w:pStyle w:val="BodyText"/>
        <w:spacing w:line="480" w:lineRule="auto"/>
        <w:ind w:left="720" w:firstLine="413"/>
        <w:jc w:val="both"/>
      </w:pPr>
      <w:r w:rsidRPr="0035519F">
        <w:t xml:space="preserve">Obesitas diperkirakan menyumbang 20% ​​dari semua kasus kanker. Sebuah </w:t>
      </w:r>
      <w:r w:rsidR="00DF55D7" w:rsidRPr="0035519F">
        <w:t>p</w:t>
      </w:r>
      <w:r w:rsidRPr="0035519F">
        <w:t>enelitian menyimpulkan obesitas adalah penye</w:t>
      </w:r>
      <w:r w:rsidR="00450B72" w:rsidRPr="0035519F">
        <w:t>bab seperempat hingga sepertiga</w:t>
      </w:r>
      <w:r w:rsidRPr="0035519F">
        <w:t xml:space="preserve"> kanker usus besar, payudara, endometrium, ginjal dan esofagus.</w:t>
      </w:r>
      <w:r w:rsidR="0003017A" w:rsidRPr="0035519F">
        <w:t xml:space="preserve"> Obesitas</w:t>
      </w:r>
      <w:r w:rsidR="00450B72" w:rsidRPr="0035519F">
        <w:t xml:space="preserve"> </w:t>
      </w:r>
      <w:r w:rsidRPr="0035519F">
        <w:t>terkait dengan peningkatan risiko kanker lambung, pankreas, dan kandung empedu, serta leukemia</w:t>
      </w:r>
      <w:r w:rsidR="00DF55D7" w:rsidRPr="0035519F">
        <w:t>.</w:t>
      </w:r>
    </w:p>
    <w:p w14:paraId="6B47CD6D" w14:textId="77777777" w:rsidR="00A00AE1" w:rsidRPr="0035519F" w:rsidRDefault="00A00AE1" w:rsidP="00AA21B6">
      <w:pPr>
        <w:pStyle w:val="BodyText"/>
        <w:spacing w:line="480" w:lineRule="auto"/>
        <w:ind w:left="720" w:firstLine="413"/>
        <w:jc w:val="both"/>
      </w:pPr>
    </w:p>
    <w:p w14:paraId="3CA0BDF1" w14:textId="77777777" w:rsidR="007757AB" w:rsidRPr="0035519F" w:rsidRDefault="007757AB" w:rsidP="00891FA6">
      <w:pPr>
        <w:pStyle w:val="ListParagraph"/>
        <w:numPr>
          <w:ilvl w:val="0"/>
          <w:numId w:val="25"/>
        </w:numPr>
        <w:spacing w:after="0" w:line="480" w:lineRule="auto"/>
        <w:ind w:left="426" w:hanging="426"/>
        <w:outlineLvl w:val="2"/>
        <w:rPr>
          <w:rFonts w:ascii="Arial" w:hAnsi="Arial" w:cs="Arial"/>
          <w:b/>
          <w:sz w:val="24"/>
          <w:szCs w:val="24"/>
        </w:rPr>
      </w:pPr>
      <w:bookmarkStart w:id="36" w:name="_Toc111022764"/>
      <w:r w:rsidRPr="0035519F">
        <w:rPr>
          <w:rFonts w:ascii="Arial" w:hAnsi="Arial" w:cs="Arial"/>
          <w:b/>
          <w:sz w:val="24"/>
          <w:szCs w:val="24"/>
        </w:rPr>
        <w:t>Diagnosis</w:t>
      </w:r>
      <w:bookmarkEnd w:id="36"/>
      <w:r w:rsidRPr="0035519F">
        <w:rPr>
          <w:rFonts w:ascii="Arial" w:hAnsi="Arial" w:cs="Arial"/>
          <w:b/>
          <w:sz w:val="24"/>
          <w:szCs w:val="24"/>
        </w:rPr>
        <w:t xml:space="preserve"> </w:t>
      </w:r>
    </w:p>
    <w:p w14:paraId="7DA39D64" w14:textId="77777777" w:rsidR="00916828" w:rsidRPr="0035519F" w:rsidRDefault="00916828" w:rsidP="003626A6">
      <w:pPr>
        <w:spacing w:after="0" w:line="480" w:lineRule="auto"/>
        <w:ind w:left="426" w:firstLine="425"/>
        <w:jc w:val="both"/>
        <w:rPr>
          <w:rFonts w:ascii="Arial" w:hAnsi="Arial" w:cs="Arial"/>
          <w:sz w:val="24"/>
          <w:szCs w:val="24"/>
        </w:rPr>
      </w:pPr>
      <w:r w:rsidRPr="0035519F">
        <w:rPr>
          <w:rFonts w:ascii="Arial" w:hAnsi="Arial" w:cs="Arial"/>
          <w:sz w:val="24"/>
          <w:szCs w:val="24"/>
        </w:rPr>
        <w:t xml:space="preserve">Pengukuran langsung terhadap kadar lemak tubuh secara langsung dapat dilakukan dengan </w:t>
      </w:r>
      <w:r w:rsidR="0016001C" w:rsidRPr="0035519F">
        <w:rPr>
          <w:rFonts w:ascii="Arial" w:hAnsi="Arial" w:cs="Arial"/>
          <w:i/>
          <w:sz w:val="24"/>
          <w:szCs w:val="24"/>
        </w:rPr>
        <w:t>Dual Energi X-Ray Absorptiometry</w:t>
      </w:r>
      <w:r w:rsidR="0016001C" w:rsidRPr="0035519F">
        <w:rPr>
          <w:rFonts w:ascii="Arial" w:hAnsi="Arial" w:cs="Arial"/>
          <w:sz w:val="24"/>
          <w:szCs w:val="24"/>
        </w:rPr>
        <w:t xml:space="preserve"> </w:t>
      </w:r>
      <w:r w:rsidRPr="0035519F">
        <w:rPr>
          <w:rFonts w:ascii="Arial" w:hAnsi="Arial" w:cs="Arial"/>
          <w:sz w:val="24"/>
          <w:szCs w:val="24"/>
        </w:rPr>
        <w:t xml:space="preserve">(DEXA), sedangkan pengukuran tidak langsung yang dapat dilakukan berupa pengukuran antropometri </w:t>
      </w:r>
      <w:r w:rsidR="0003017A" w:rsidRPr="0035519F">
        <w:rPr>
          <w:rFonts w:ascii="Arial" w:hAnsi="Arial" w:cs="Arial"/>
          <w:sz w:val="24"/>
          <w:szCs w:val="24"/>
        </w:rPr>
        <w:t>IMT</w:t>
      </w:r>
      <w:r w:rsidRPr="0035519F">
        <w:rPr>
          <w:rFonts w:ascii="Arial" w:hAnsi="Arial" w:cs="Arial"/>
          <w:sz w:val="24"/>
          <w:szCs w:val="24"/>
        </w:rPr>
        <w:t xml:space="preserve">, lingkar pinggang atau </w:t>
      </w:r>
      <w:r w:rsidRPr="0035519F">
        <w:rPr>
          <w:rFonts w:ascii="Arial" w:hAnsi="Arial" w:cs="Arial"/>
          <w:i/>
          <w:sz w:val="24"/>
          <w:szCs w:val="24"/>
        </w:rPr>
        <w:t>waist circumference</w:t>
      </w:r>
      <w:r w:rsidRPr="0035519F">
        <w:rPr>
          <w:rFonts w:ascii="Arial" w:hAnsi="Arial" w:cs="Arial"/>
          <w:sz w:val="24"/>
          <w:szCs w:val="24"/>
        </w:rPr>
        <w:t xml:space="preserve"> (WC), rasio pinggang-pinggul atau </w:t>
      </w:r>
      <w:r w:rsidRPr="0035519F">
        <w:rPr>
          <w:rFonts w:ascii="Arial" w:hAnsi="Arial" w:cs="Arial"/>
          <w:i/>
          <w:sz w:val="24"/>
          <w:szCs w:val="24"/>
        </w:rPr>
        <w:t>Waist to Hip Ratio</w:t>
      </w:r>
      <w:r w:rsidRPr="0035519F">
        <w:rPr>
          <w:rFonts w:ascii="Arial" w:hAnsi="Arial" w:cs="Arial"/>
          <w:sz w:val="24"/>
          <w:szCs w:val="24"/>
        </w:rPr>
        <w:t xml:space="preserve"> (WHR), dan persentase lemak tubuh yang diperkirakan melalui ketebalan lipatan kulit</w:t>
      </w:r>
      <w:r w:rsidR="0003017A" w:rsidRPr="0035519F">
        <w:rPr>
          <w:rFonts w:ascii="Arial" w:hAnsi="Arial" w:cs="Arial"/>
          <w:sz w:val="24"/>
          <w:szCs w:val="24"/>
        </w:rPr>
        <w:t xml:space="preserve"> atau </w:t>
      </w:r>
      <w:r w:rsidR="0003017A" w:rsidRPr="0035519F">
        <w:rPr>
          <w:rFonts w:ascii="Arial" w:hAnsi="Arial" w:cs="Arial"/>
          <w:i/>
          <w:sz w:val="24"/>
          <w:szCs w:val="24"/>
        </w:rPr>
        <w:t>Skinfold thickness</w:t>
      </w:r>
      <w:r w:rsidR="0003017A" w:rsidRPr="0035519F">
        <w:rPr>
          <w:rFonts w:ascii="Arial" w:hAnsi="Arial" w:cs="Arial"/>
          <w:sz w:val="24"/>
          <w:szCs w:val="24"/>
        </w:rPr>
        <w:t xml:space="preserve"> (SFT)</w:t>
      </w:r>
      <w:r w:rsidR="003E6681" w:rsidRPr="0035519F">
        <w:rPr>
          <w:rFonts w:ascii="Arial" w:hAnsi="Arial" w:cs="Arial"/>
          <w:sz w:val="24"/>
          <w:szCs w:val="24"/>
        </w:rPr>
        <w:t xml:space="preserve">,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{"citationItems":[{"id":"ITEM-1","itemData":{"DOI":"10.1186/s40608-018-0205-5","ISSN":"20529538","abstract":"Background: This study systematically examined obesity research in occupational safety and health regarding the use of various obesity measurement and classification methods. Methods: A systematic search of the PubMed database on English language publications from 2000 to 2015 using related keywords and search of citations resulted in selection of 126 studies. They were categorized into two groups based on their main research question: 1) general physical or mental work-related functioning; and 2) task or body part specific functioning. Results: Regardless of the study group, body mass index (BMI) was the most frequently used measure. Over 63% of the studies relied solely on BMI to define obesity. In only 22% of the studies, body fat was directly measured by methods such as dual energy x-ray absorptiometry. Abdominal obesity was defined using waist circumference in recent years, and waist-hip ratio in earlier years. Inconsistent cut-offs have also been used across studies investigating similar topics. Conclusions: Few authors acknowledged the limitations of using indirect obesity measures. This is in part due to the limited understanding of some occupational safety and health researchers regarding the complex issues surrounding obesity classification and also the mixed recommendations over the past 2-3 decades and across populations. Efforts need to be made to promote appropriate obesity measurement and reporting in this field.","author":[{"dropping-particle":"","family":"Ghesmaty Sangachin","given":"Mahboobeh","non-dropping-particle":"","parse-names":false,"suffix":""},{"dropping-particle":"","family":"Cavuoto","given":"Lora A.","non-dropping-particle":"","parse-names":false,"suffix":""},{"dropping-particle":"","family":"Wang","given":"Youfa","non-dropping-particle":"","parse-names":false,"suffix":""}],"container-title":"BMC Obesity","id":"ITEM-1","issue":"1","issued":{"date-parts":[["2018","11","1"]]},"page":"1-24","publisher":"BioMed Central","title":"Use of various obesity measurement and classification methods in occupational safety and health research: A systematic review of the literature","type":"article","volume":"5"},"uris":["http://www.mendeley.com/documents/?uuid=844c109e-7bc3-3770-a052-bd6424dab8a4"]}],"mendeley":{"formattedCitation":"(Ghesmaty Sangachin, Cavuoto and Wang, 2018)","plainTextFormattedCitation":"(Ghesmaty Sangachin, Cavuoto and Wang, 2018)","previouslyFormattedCitation":"(Ghesmaty Sangachin, Cavuoto and Wang, 2018)"},"properties":{"noteIndex":0},"schema":"https://github.com/citation-style-language/schema/raw/master/csl-citation.json"}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(Ghesmaty Sangachin, Cavuoto and Wang, 2018)</w:t>
      </w:r>
      <w:r w:rsidRPr="0035519F">
        <w:rPr>
          <w:rFonts w:ascii="Arial" w:hAnsi="Arial" w:cs="Arial"/>
          <w:sz w:val="24"/>
          <w:szCs w:val="24"/>
        </w:rPr>
        <w:fldChar w:fldCharType="end"/>
      </w:r>
      <w:r w:rsidR="0003017A" w:rsidRPr="0035519F">
        <w:rPr>
          <w:rFonts w:ascii="Arial" w:hAnsi="Arial" w:cs="Arial"/>
          <w:sz w:val="24"/>
          <w:szCs w:val="24"/>
        </w:rPr>
        <w:t>.</w:t>
      </w:r>
    </w:p>
    <w:p w14:paraId="7A5DA95B" w14:textId="77777777" w:rsidR="00916828" w:rsidRPr="0035519F" w:rsidRDefault="00916828" w:rsidP="00363776">
      <w:pPr>
        <w:pStyle w:val="ListParagraph"/>
        <w:numPr>
          <w:ilvl w:val="0"/>
          <w:numId w:val="34"/>
        </w:numPr>
        <w:spacing w:after="0" w:line="480" w:lineRule="auto"/>
        <w:ind w:left="810"/>
        <w:jc w:val="both"/>
        <w:rPr>
          <w:rFonts w:ascii="Arial" w:hAnsi="Arial" w:cs="Arial"/>
          <w:sz w:val="24"/>
          <w:szCs w:val="24"/>
        </w:rPr>
      </w:pPr>
      <w:r w:rsidRPr="0035519F">
        <w:rPr>
          <w:rFonts w:ascii="Arial" w:hAnsi="Arial" w:cs="Arial"/>
          <w:sz w:val="24"/>
          <w:szCs w:val="24"/>
        </w:rPr>
        <w:t xml:space="preserve">Indeks Massa Tubuh </w:t>
      </w:r>
    </w:p>
    <w:p w14:paraId="76370DCD" w14:textId="77777777" w:rsidR="00916828" w:rsidRPr="0035519F" w:rsidRDefault="00BB5810" w:rsidP="00916828">
      <w:pPr>
        <w:spacing w:after="0" w:line="480" w:lineRule="auto"/>
        <w:ind w:left="810" w:firstLine="425"/>
        <w:jc w:val="both"/>
        <w:rPr>
          <w:rFonts w:ascii="Arial" w:hAnsi="Arial" w:cs="Arial"/>
          <w:sz w:val="24"/>
          <w:szCs w:val="24"/>
        </w:rPr>
      </w:pPr>
      <w:r w:rsidRPr="0035519F">
        <w:rPr>
          <w:noProof/>
        </w:rPr>
        <w:drawing>
          <wp:anchor distT="0" distB="0" distL="114300" distR="114300" simplePos="0" relativeHeight="251713536" behindDoc="0" locked="0" layoutInCell="1" allowOverlap="1" wp14:anchorId="3505D889" wp14:editId="3C50CAA0">
            <wp:simplePos x="0" y="0"/>
            <wp:positionH relativeFrom="column">
              <wp:posOffset>1497965</wp:posOffset>
            </wp:positionH>
            <wp:positionV relativeFrom="paragraph">
              <wp:posOffset>2562225</wp:posOffset>
            </wp:positionV>
            <wp:extent cx="2078355" cy="593090"/>
            <wp:effectExtent l="76200" t="38100" r="74295" b="111760"/>
            <wp:wrapTopAndBottom/>
            <wp:docPr id="7" name="Picture 7" descr="Amankah Diet Bagi Mereka yang Berat Badannya Sudah Normal? Halaman all -  Kompa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nkah Diet Bagi Mereka yang Berat Badannya Sudah Normal? Halaman all -  Kompas.com"/>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569" t="26847" r="13462" b="27456"/>
                    <a:stretch/>
                  </pic:blipFill>
                  <pic:spPr bwMode="auto">
                    <a:xfrm>
                      <a:off x="0" y="0"/>
                      <a:ext cx="2078355" cy="593090"/>
                    </a:xfrm>
                    <a:prstGeom prst="rect">
                      <a:avLst/>
                    </a:prstGeom>
                    <a:noFill/>
                    <a:ln w="12700">
                      <a:solidFill>
                        <a:schemeClr val="tx1"/>
                      </a:solid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6828" w:rsidRPr="0035519F">
        <w:rPr>
          <w:rFonts w:ascii="Arial" w:hAnsi="Arial" w:cs="Arial"/>
          <w:sz w:val="24"/>
          <w:szCs w:val="24"/>
        </w:rPr>
        <w:t xml:space="preserve">Salah satu metode skrining obesitas adalah IMT, sementara penentuan diagnosa didasarkan dari kombinasi </w:t>
      </w:r>
      <w:r w:rsidR="00450B72" w:rsidRPr="0035519F">
        <w:rPr>
          <w:rFonts w:ascii="Arial" w:hAnsi="Arial" w:cs="Arial"/>
          <w:sz w:val="24"/>
          <w:szCs w:val="24"/>
        </w:rPr>
        <w:t>IMT</w:t>
      </w:r>
      <w:r w:rsidR="00916828" w:rsidRPr="0035519F">
        <w:rPr>
          <w:rFonts w:ascii="Arial" w:hAnsi="Arial" w:cs="Arial"/>
          <w:sz w:val="24"/>
          <w:szCs w:val="24"/>
        </w:rPr>
        <w:t xml:space="preserve"> dan </w:t>
      </w:r>
      <w:r w:rsidR="00916828" w:rsidRPr="0035519F">
        <w:rPr>
          <w:rFonts w:ascii="Arial" w:hAnsi="Arial" w:cs="Arial"/>
          <w:sz w:val="24"/>
          <w:szCs w:val="24"/>
        </w:rPr>
        <w:lastRenderedPageBreak/>
        <w:t>penguk</w:t>
      </w:r>
      <w:r w:rsidR="0003017A" w:rsidRPr="0035519F">
        <w:rPr>
          <w:rFonts w:ascii="Arial" w:hAnsi="Arial" w:cs="Arial"/>
          <w:sz w:val="24"/>
          <w:szCs w:val="24"/>
        </w:rPr>
        <w:t>u</w:t>
      </w:r>
      <w:r w:rsidR="00916828" w:rsidRPr="0035519F">
        <w:rPr>
          <w:rFonts w:ascii="Arial" w:hAnsi="Arial" w:cs="Arial"/>
          <w:sz w:val="24"/>
          <w:szCs w:val="24"/>
        </w:rPr>
        <w:t>ran</w:t>
      </w:r>
      <w:r w:rsidR="0003017A" w:rsidRPr="0035519F">
        <w:rPr>
          <w:rFonts w:ascii="Arial" w:hAnsi="Arial" w:cs="Arial"/>
          <w:sz w:val="24"/>
          <w:szCs w:val="24"/>
        </w:rPr>
        <w:t xml:space="preserve"> langsung terhadap massa adiposa</w:t>
      </w:r>
      <w:r w:rsidR="00916828" w:rsidRPr="0035519F">
        <w:rPr>
          <w:rFonts w:ascii="Arial" w:hAnsi="Arial" w:cs="Arial"/>
          <w:sz w:val="24"/>
          <w:szCs w:val="24"/>
        </w:rPr>
        <w:t xml:space="preserve"> tubuh. Selain itu, konfirmasi klinis diperlukan untuk memastikan apakah peningkatan nilai </w:t>
      </w:r>
      <w:r w:rsidR="00450B72" w:rsidRPr="0035519F">
        <w:rPr>
          <w:rFonts w:ascii="Arial" w:hAnsi="Arial" w:cs="Arial"/>
          <w:sz w:val="24"/>
          <w:szCs w:val="24"/>
        </w:rPr>
        <w:t>IMT</w:t>
      </w:r>
      <w:r w:rsidR="00916828" w:rsidRPr="0035519F">
        <w:rPr>
          <w:rFonts w:ascii="Arial" w:hAnsi="Arial" w:cs="Arial"/>
          <w:sz w:val="24"/>
          <w:szCs w:val="24"/>
        </w:rPr>
        <w:t xml:space="preserve"> merupakan indikasi kelebihan adipositas. Oleh karena itu, evaluasi dan diagnosis </w:t>
      </w:r>
      <w:r w:rsidR="0003017A" w:rsidRPr="0035519F">
        <w:rPr>
          <w:rFonts w:ascii="Arial" w:hAnsi="Arial" w:cs="Arial"/>
          <w:sz w:val="24"/>
          <w:szCs w:val="24"/>
        </w:rPr>
        <w:t>harus melibatkan kedua</w:t>
      </w:r>
      <w:r w:rsidR="00916828" w:rsidRPr="0035519F">
        <w:rPr>
          <w:rFonts w:ascii="Arial" w:hAnsi="Arial" w:cs="Arial"/>
          <w:sz w:val="24"/>
          <w:szCs w:val="24"/>
        </w:rPr>
        <w:t xml:space="preserve"> komponen</w:t>
      </w:r>
      <w:r w:rsidR="003E6681" w:rsidRPr="0035519F">
        <w:rPr>
          <w:rFonts w:ascii="Arial" w:hAnsi="Arial" w:cs="Arial"/>
          <w:sz w:val="24"/>
          <w:szCs w:val="24"/>
        </w:rPr>
        <w:t xml:space="preserve"> </w:t>
      </w:r>
      <w:r w:rsidR="00916828"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{"citationItems":[{"id":"ITEM-1","itemData":{"DOI":"10.1016/j.coemr.2018.10.001","ISSN":"24519650","abstract":"While BMI can suffice as a screening tool for obesity, it is insufficient per se for diagnosis since it is not a direct measure of adipose tissue mass. Clinical confirmation is required to assure that elevated BMI values are indicative of excess adiposity. More importantly, BMI does not reflect the impact of adiposity on the health of the patient. Therefore, evaluation and diagnosis involves both an anthropometric component (e.g., BMI) and a clinical component that constitutes an assessment of the risk, presence, and severity of weight-related complications. This diagnostic framework is clinically actionable since it provides an indication of disease severity and can help guide clinical decisions regarding the modality and intensity of therapy.","author":[{"dropping-particle":"","family":"Timothy Garvey","given":"William","non-dropping-particle":"","parse-names":false,"suffix":""}],"container-title":"Current Opinion in Endocrine and Metabolic Research","id":"ITEM-1","issued":{"date-parts":[["2019","2","1"]]},"page":"50-57","publisher":"Elsevier","title":"The diagnosis and evaluation of patients with obesity","type":"article-journal","volume":"4"},"uris":["http://www.mendeley.com/documents/?uuid=6b221697-71b0-31da-b36e-7220ca557893"]}],"mendeley":{"formattedCitation":"(Timothy Garvey, 2019)","plainTextFormattedCitation":"(Timothy Garvey, 2019)","previouslyFormattedCitation":"(Timothy Garvey, 2019)"},"properties":{"noteIndex":0},"schema":"https://github.com/citation-style-language/schema/raw/master/csl-citation.json"}</w:instrText>
      </w:r>
      <w:r w:rsidR="00916828" w:rsidRPr="0035519F">
        <w:rPr>
          <w:rFonts w:ascii="Arial" w:hAnsi="Arial" w:cs="Arial"/>
          <w:sz w:val="24"/>
          <w:szCs w:val="24"/>
        </w:rPr>
        <w:fldChar w:fldCharType="separate"/>
      </w:r>
      <w:r w:rsidR="00D11F03" w:rsidRPr="0035519F">
        <w:rPr>
          <w:rFonts w:ascii="Arial" w:hAnsi="Arial" w:cs="Arial"/>
          <w:noProof/>
          <w:sz w:val="24"/>
          <w:szCs w:val="24"/>
        </w:rPr>
        <w:t>(Timothy Garvey, 2019)</w:t>
      </w:r>
      <w:r w:rsidR="00916828" w:rsidRPr="0035519F">
        <w:rPr>
          <w:rFonts w:ascii="Arial" w:hAnsi="Arial" w:cs="Arial"/>
          <w:sz w:val="24"/>
          <w:szCs w:val="24"/>
        </w:rPr>
        <w:fldChar w:fldCharType="end"/>
      </w:r>
      <w:r w:rsidR="0003017A" w:rsidRPr="0035519F">
        <w:rPr>
          <w:rFonts w:ascii="Arial" w:hAnsi="Arial" w:cs="Arial"/>
          <w:sz w:val="24"/>
          <w:szCs w:val="24"/>
        </w:rPr>
        <w:t>.</w:t>
      </w:r>
      <w:r w:rsidR="00450B72" w:rsidRPr="0035519F">
        <w:rPr>
          <w:rFonts w:ascii="Arial" w:hAnsi="Arial" w:cs="Arial"/>
          <w:sz w:val="24"/>
          <w:szCs w:val="24"/>
        </w:rPr>
        <w:t xml:space="preserve"> Berikut merupakan rumus perhitungan IMT:</w:t>
      </w:r>
    </w:p>
    <w:p w14:paraId="217DFC56" w14:textId="77777777" w:rsidR="00242523" w:rsidRPr="0035519F" w:rsidRDefault="00242523" w:rsidP="00916828">
      <w:pPr>
        <w:spacing w:after="0" w:line="480" w:lineRule="auto"/>
        <w:ind w:left="810" w:firstLine="425"/>
        <w:jc w:val="both"/>
        <w:rPr>
          <w:rFonts w:ascii="Arial" w:hAnsi="Arial" w:cs="Arial"/>
          <w:sz w:val="24"/>
          <w:szCs w:val="24"/>
        </w:rPr>
      </w:pPr>
      <w:r w:rsidRPr="0035519F">
        <w:rPr>
          <w:rFonts w:ascii="Arial" w:hAnsi="Arial" w:cs="Arial"/>
          <w:sz w:val="24"/>
          <w:szCs w:val="24"/>
        </w:rPr>
        <w:t xml:space="preserve">Terdapat kekurangan dalam pengukuran </w:t>
      </w:r>
      <w:r w:rsidR="0003017A" w:rsidRPr="0035519F">
        <w:rPr>
          <w:rFonts w:ascii="Arial" w:hAnsi="Arial" w:cs="Arial"/>
          <w:sz w:val="24"/>
          <w:szCs w:val="24"/>
        </w:rPr>
        <w:t xml:space="preserve">secara </w:t>
      </w:r>
      <w:r w:rsidRPr="0035519F">
        <w:rPr>
          <w:rFonts w:ascii="Arial" w:hAnsi="Arial" w:cs="Arial"/>
          <w:sz w:val="24"/>
          <w:szCs w:val="24"/>
        </w:rPr>
        <w:t xml:space="preserve">tidak langsung pada </w:t>
      </w:r>
      <w:r w:rsidR="00450B72" w:rsidRPr="0035519F">
        <w:rPr>
          <w:rFonts w:ascii="Arial" w:hAnsi="Arial" w:cs="Arial"/>
          <w:sz w:val="24"/>
          <w:szCs w:val="24"/>
        </w:rPr>
        <w:t>IMT</w:t>
      </w:r>
      <w:r w:rsidRPr="0035519F">
        <w:rPr>
          <w:rFonts w:ascii="Arial" w:hAnsi="Arial" w:cs="Arial"/>
          <w:sz w:val="24"/>
          <w:szCs w:val="24"/>
        </w:rPr>
        <w:t xml:space="preserve">. </w:t>
      </w:r>
      <w:r w:rsidR="00450B72" w:rsidRPr="0035519F">
        <w:rPr>
          <w:rFonts w:ascii="Arial" w:hAnsi="Arial" w:cs="Arial"/>
          <w:sz w:val="24"/>
          <w:szCs w:val="24"/>
        </w:rPr>
        <w:t>IMT</w:t>
      </w:r>
      <w:r w:rsidRPr="0035519F">
        <w:rPr>
          <w:rFonts w:ascii="Arial" w:hAnsi="Arial" w:cs="Arial"/>
          <w:sz w:val="24"/>
          <w:szCs w:val="24"/>
        </w:rPr>
        <w:t xml:space="preserve"> </w:t>
      </w:r>
      <w:r w:rsidR="00DF11E9" w:rsidRPr="0035519F">
        <w:rPr>
          <w:rFonts w:ascii="Arial" w:hAnsi="Arial" w:cs="Arial"/>
          <w:sz w:val="24"/>
          <w:szCs w:val="24"/>
        </w:rPr>
        <w:t>tidak dapat</w:t>
      </w:r>
      <w:r w:rsidRPr="0035519F">
        <w:rPr>
          <w:rFonts w:ascii="Arial" w:hAnsi="Arial" w:cs="Arial"/>
          <w:sz w:val="24"/>
          <w:szCs w:val="24"/>
        </w:rPr>
        <w:t xml:space="preserve"> membedakan antara le</w:t>
      </w:r>
      <w:r w:rsidR="00DF11E9" w:rsidRPr="0035519F">
        <w:rPr>
          <w:rFonts w:ascii="Arial" w:hAnsi="Arial" w:cs="Arial"/>
          <w:sz w:val="24"/>
          <w:szCs w:val="24"/>
        </w:rPr>
        <w:t>mak, otot, atau massa tulang sehingga</w:t>
      </w:r>
      <w:r w:rsidRPr="0035519F">
        <w:rPr>
          <w:rFonts w:ascii="Arial" w:hAnsi="Arial" w:cs="Arial"/>
          <w:sz w:val="24"/>
          <w:szCs w:val="24"/>
        </w:rPr>
        <w:t xml:space="preserve"> rentan terhadap kesalahan klasifikasi, terutama </w:t>
      </w:r>
      <w:r w:rsidR="00DF11E9" w:rsidRPr="0035519F">
        <w:rPr>
          <w:rFonts w:ascii="Arial" w:hAnsi="Arial" w:cs="Arial"/>
          <w:sz w:val="24"/>
          <w:szCs w:val="24"/>
        </w:rPr>
        <w:t>pada subjek yang berotot</w:t>
      </w:r>
      <w:r w:rsidR="003E6681" w:rsidRPr="0035519F">
        <w:rPr>
          <w:rFonts w:ascii="Arial" w:hAnsi="Arial" w:cs="Arial"/>
          <w:sz w:val="24"/>
          <w:szCs w:val="24"/>
        </w:rPr>
        <w:t xml:space="preserve"> </w:t>
      </w:r>
      <w:r w:rsidR="00DF11E9"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{"citationItems":[{"id":"ITEM-1","itemData":{"DOI":"10.1016/j.coemr.2018.10.001","ISSN":"24519650","abstract":"While BMI can suffice as a screening tool for obesity, it is insufficient per se for diagnosis since it is not a direct measure of adipose tissue mass. Clinical confirmation is required to assure that elevated BMI values are indicative of excess adiposity. More importantly, BMI does not reflect the impact of adiposity on the health of the patient. Therefore, evaluation and diagnosis involves both an anthropometric component (e.g., BMI) and a clinical component that constitutes an assessment of the risk, presence, and severity of weight-related complications. This diagnostic framework is clinically actionable since it provides an indication of disease severity and can help guide clinical decisions regarding the modality and intensity of therapy.","author":[{"dropping-particle":"","family":"Timothy Garvey","given":"William","non-dropping-particle":"","parse-names":false,"suffix":""}],"container-title":"Current Opinion in Endocrine and Metabolic Research","id":"ITEM-1","issued":{"date-parts":[["2019","2","1"]]},"page":"50-57","publisher":"Elsevier","title":"The diagnosis and evaluation of patients with obesity","type":"article-journal","volume":"4"},"uris":["http://www.mendeley.com/documents/?uuid=6b221697-71b0-31da-b36e-7220ca557893"]}],"mendeley":{"formattedCitation":"(Timothy Garvey, 2019)","plainTextFormattedCitation":"(Timothy Garvey, 2019)","previouslyFormattedCitation":"(Timothy Garvey, 2019)"},"properties":{"noteIndex":0},"schema":"https://github.com/citation-style-language/schema/raw/master/csl-citation.json"}</w:instrText>
      </w:r>
      <w:r w:rsidR="00DF11E9" w:rsidRPr="0035519F">
        <w:rPr>
          <w:rFonts w:ascii="Arial" w:hAnsi="Arial" w:cs="Arial"/>
          <w:sz w:val="24"/>
          <w:szCs w:val="24"/>
        </w:rPr>
        <w:fldChar w:fldCharType="separate"/>
      </w:r>
      <w:r w:rsidR="00D11F03" w:rsidRPr="0035519F">
        <w:rPr>
          <w:rFonts w:ascii="Arial" w:hAnsi="Arial" w:cs="Arial"/>
          <w:noProof/>
          <w:sz w:val="24"/>
          <w:szCs w:val="24"/>
        </w:rPr>
        <w:t>(Timothy Garvey, 2019)</w:t>
      </w:r>
      <w:r w:rsidR="00DF11E9" w:rsidRPr="0035519F">
        <w:rPr>
          <w:rFonts w:ascii="Arial" w:hAnsi="Arial" w:cs="Arial"/>
          <w:sz w:val="24"/>
          <w:szCs w:val="24"/>
        </w:rPr>
        <w:fldChar w:fldCharType="end"/>
      </w:r>
      <w:r w:rsidR="0003017A" w:rsidRPr="0035519F">
        <w:rPr>
          <w:rFonts w:ascii="Arial" w:hAnsi="Arial" w:cs="Arial"/>
          <w:sz w:val="24"/>
          <w:szCs w:val="24"/>
        </w:rPr>
        <w:t>.</w:t>
      </w:r>
    </w:p>
    <w:p w14:paraId="794635AC" w14:textId="77777777" w:rsidR="007757AB" w:rsidRPr="0035519F" w:rsidRDefault="007757AB" w:rsidP="007757AB">
      <w:pPr>
        <w:spacing w:after="0" w:line="480" w:lineRule="auto"/>
        <w:ind w:left="709" w:firstLine="425"/>
        <w:jc w:val="both"/>
        <w:rPr>
          <w:rFonts w:ascii="Arial" w:hAnsi="Arial" w:cs="Arial"/>
          <w:sz w:val="24"/>
          <w:szCs w:val="24"/>
        </w:rPr>
      </w:pPr>
      <w:r w:rsidRPr="0035519F">
        <w:rPr>
          <w:rFonts w:ascii="Arial" w:hAnsi="Arial" w:cs="Arial"/>
          <w:sz w:val="24"/>
          <w:szCs w:val="24"/>
        </w:rPr>
        <w:t>Indonesia menggunakan klasifikasi berat badan lebih dan obesitas sesuai kriteria Asia Pasifik yaitu berat badan kurang (IMT &lt;18,5 kg/m</w:t>
      </w:r>
      <w:r w:rsidRPr="0035519F">
        <w:rPr>
          <w:rFonts w:ascii="Arial" w:hAnsi="Arial" w:cs="Arial"/>
          <w:sz w:val="24"/>
          <w:szCs w:val="24"/>
          <w:vertAlign w:val="superscript"/>
        </w:rPr>
        <w:t>2</w:t>
      </w:r>
      <w:r w:rsidR="00450B72" w:rsidRPr="0035519F">
        <w:rPr>
          <w:rFonts w:ascii="Arial" w:hAnsi="Arial" w:cs="Arial"/>
          <w:sz w:val="24"/>
          <w:szCs w:val="24"/>
        </w:rPr>
        <w:t xml:space="preserve">), berat badan normal (IMT = </w:t>
      </w:r>
      <w:r w:rsidRPr="0035519F">
        <w:rPr>
          <w:rFonts w:ascii="Arial" w:hAnsi="Arial" w:cs="Arial"/>
          <w:sz w:val="24"/>
          <w:szCs w:val="24"/>
        </w:rPr>
        <w:t>18,5-22,9 kg/m</w:t>
      </w:r>
      <w:r w:rsidRPr="0035519F">
        <w:rPr>
          <w:rFonts w:ascii="Arial" w:hAnsi="Arial" w:cs="Arial"/>
          <w:sz w:val="24"/>
          <w:szCs w:val="24"/>
          <w:vertAlign w:val="superscript"/>
        </w:rPr>
        <w:t>2</w:t>
      </w:r>
      <w:r w:rsidRPr="0035519F">
        <w:rPr>
          <w:rFonts w:ascii="Arial" w:hAnsi="Arial" w:cs="Arial"/>
          <w:sz w:val="24"/>
          <w:szCs w:val="24"/>
        </w:rPr>
        <w:t xml:space="preserve">), berat badan lebih (IMT </w:t>
      </w:r>
      <w:r w:rsidR="00450B72" w:rsidRPr="0035519F">
        <w:rPr>
          <w:rFonts w:ascii="Arial" w:hAnsi="Arial" w:cs="Arial"/>
          <w:sz w:val="24"/>
          <w:szCs w:val="24"/>
        </w:rPr>
        <w:t>&gt;</w:t>
      </w:r>
      <w:r w:rsidRPr="0035519F">
        <w:rPr>
          <w:rFonts w:ascii="Arial" w:hAnsi="Arial" w:cs="Arial"/>
          <w:sz w:val="24"/>
          <w:szCs w:val="24"/>
        </w:rPr>
        <w:t>23-24,9 kg/m</w:t>
      </w:r>
      <w:r w:rsidRPr="0035519F">
        <w:rPr>
          <w:rFonts w:ascii="Arial" w:hAnsi="Arial" w:cs="Arial"/>
          <w:sz w:val="24"/>
          <w:szCs w:val="24"/>
          <w:vertAlign w:val="superscript"/>
        </w:rPr>
        <w:t>2</w:t>
      </w:r>
      <w:r w:rsidRPr="0035519F">
        <w:rPr>
          <w:rFonts w:ascii="Arial" w:hAnsi="Arial" w:cs="Arial"/>
          <w:sz w:val="24"/>
          <w:szCs w:val="24"/>
        </w:rPr>
        <w:t>), dan obesitas (IMT ≥25 kg/m</w:t>
      </w:r>
      <w:r w:rsidRPr="0035519F">
        <w:rPr>
          <w:rFonts w:ascii="Arial" w:hAnsi="Arial" w:cs="Arial"/>
          <w:sz w:val="24"/>
          <w:szCs w:val="24"/>
          <w:vertAlign w:val="superscript"/>
        </w:rPr>
        <w:t>2</w:t>
      </w:r>
      <w:r w:rsidR="006834A5" w:rsidRPr="0035519F">
        <w:rPr>
          <w:rFonts w:ascii="Arial" w:hAnsi="Arial" w:cs="Arial"/>
          <w:sz w:val="24"/>
          <w:szCs w:val="24"/>
        </w:rPr>
        <w:t>) (Tabel 1</w:t>
      </w:r>
      <w:r w:rsidR="0003017A" w:rsidRPr="0035519F">
        <w:rPr>
          <w:rFonts w:ascii="Arial" w:hAnsi="Arial" w:cs="Arial"/>
          <w:sz w:val="24"/>
          <w:szCs w:val="24"/>
        </w:rPr>
        <w:t>)</w:t>
      </w:r>
      <w:r w:rsidR="003E6681" w:rsidRPr="0035519F">
        <w:rPr>
          <w:rFonts w:ascii="Arial" w:hAnsi="Arial" w:cs="Arial"/>
          <w:sz w:val="24"/>
          <w:szCs w:val="24"/>
        </w:rPr>
        <w:t xml:space="preserve">, </w:t>
      </w:r>
      <w:r w:rsidR="00807DBF" w:rsidRPr="0035519F">
        <w:rPr>
          <w:rFonts w:ascii="Arial" w:hAnsi="Arial" w:cs="Arial"/>
          <w:sz w:val="24"/>
          <w:szCs w:val="24"/>
        </w:rPr>
        <w:fldChar w:fldCharType="begin" w:fldLock="1"/>
      </w:r>
      <w:r w:rsidR="003E6681" w:rsidRPr="0035519F">
        <w:rPr>
          <w:rFonts w:ascii="Arial" w:hAnsi="Arial" w:cs="Arial"/>
          <w:sz w:val="24"/>
          <w:szCs w:val="24"/>
        </w:rPr>
        <w:instrText>ADDIN CSL_CITATION {"citationItems":[{"id":"ITEM-1","itemData":{"abstract":"Competence is a physiological state, distinct from sporulation and vegetative growth, that enables cells to bind and internalize transforming DNA, The transcriptional regulator ComK drives the development of competence in Bacillus subtilis, ComK is directly required for its own transcription as well as for the transcription of the genes that encode DNA transport proteins. When ComK is sequestered by binding to a complex of the proteins MecA and ClpC, the positive feedback loop leading to ComK synthesis is interrupted. The small protein ComS, produced as a result of signaling by a quorum-sensing two-component regulatory pathway, triggers the release of ComK from the complex, enabling comK transcription to occur. We show here, based on in vivo and in vitro experiments, that ComK accumulation is also regulated by proteolysis and that binding to MecA targets ComK for degradation by the ClpP protease in association with ClpC. The release of ComK from binding by MecA and ClpC, which occurs when ComS is synthesized, protects ComK from proteolysis. Following this release, the rates of MecA and ComS degradation by ClpCP are increased in our in vitro system. In this novel system, MecA serves to recruit ComK to the ClpCP protease and connects ComK degradation to the quorum-sensing signal-transduction pathway, thereby regulating a key developmental process. This is the first regulated degradation system in which a specific targeting molecule serves such a function.","author":[{"dropping-particle":"","family":"WHO","given":"","non-dropping-particle":"","parse-names":false,"suffix":""}],"editor":[{"dropping-particle":"","family":"International Association for the Study of Obesity.","given":"","non-dropping-particle":"","parse-names":false,"suffix":""}],"id":"ITEM-1","issued":{"date-parts":[["2000"]]},"publisher":"International Association for the Study of Obesity.","title":"The Asia – Pacific perspective: redefining obesity and its treatment","type":"book"},"uris":["http://www.mendeley.com/documents/?uuid=6f0a2960-abee-4d54-9f1d-ba61095e1653"]}],"mendeley":{"formattedCitation":"(WHO, 2000)","plainTextFormattedCitation":"(WHO, 2000)","previouslyFormattedCitation":"(WHO, 2000)"},"properties":{"noteIndex":0},"schema":"https://github.com/citation-style-language/schema/raw/master/csl-citation.json"}</w:instrText>
      </w:r>
      <w:r w:rsidR="00807DBF" w:rsidRPr="0035519F">
        <w:rPr>
          <w:rFonts w:ascii="Arial" w:hAnsi="Arial" w:cs="Arial"/>
          <w:sz w:val="24"/>
          <w:szCs w:val="24"/>
        </w:rPr>
        <w:fldChar w:fldCharType="separate"/>
      </w:r>
      <w:r w:rsidR="003E6681" w:rsidRPr="0035519F">
        <w:rPr>
          <w:rFonts w:ascii="Arial" w:hAnsi="Arial" w:cs="Arial"/>
          <w:noProof/>
          <w:sz w:val="24"/>
          <w:szCs w:val="24"/>
        </w:rPr>
        <w:t>(WHO, 2000)</w:t>
      </w:r>
      <w:r w:rsidR="00807DBF" w:rsidRPr="0035519F">
        <w:rPr>
          <w:rFonts w:ascii="Arial" w:hAnsi="Arial" w:cs="Arial"/>
          <w:sz w:val="24"/>
          <w:szCs w:val="24"/>
        </w:rPr>
        <w:fldChar w:fldCharType="end"/>
      </w:r>
      <w:r w:rsidR="0003017A" w:rsidRPr="0035519F">
        <w:rPr>
          <w:rFonts w:ascii="Arial" w:hAnsi="Arial" w:cs="Arial"/>
          <w:sz w:val="24"/>
          <w:szCs w:val="24"/>
        </w:rPr>
        <w:t>.</w:t>
      </w:r>
    </w:p>
    <w:p w14:paraId="1585FDCD" w14:textId="77777777" w:rsidR="00807DBF" w:rsidRPr="0035519F" w:rsidRDefault="007757AB" w:rsidP="00AA21B6">
      <w:pPr>
        <w:spacing w:after="0" w:line="480" w:lineRule="auto"/>
        <w:ind w:left="709" w:firstLine="425"/>
        <w:jc w:val="both"/>
        <w:rPr>
          <w:rFonts w:ascii="Arial" w:hAnsi="Arial" w:cs="Arial"/>
          <w:sz w:val="24"/>
          <w:szCs w:val="24"/>
        </w:rPr>
      </w:pPr>
      <w:r w:rsidRPr="0035519F">
        <w:rPr>
          <w:rFonts w:ascii="Arial" w:hAnsi="Arial" w:cs="Arial"/>
          <w:sz w:val="24"/>
          <w:szCs w:val="24"/>
        </w:rPr>
        <w:t xml:space="preserve">Penelitian oleh Kurniawan et al., 2018 </w:t>
      </w:r>
      <w:r w:rsidR="0003017A" w:rsidRPr="0035519F">
        <w:rPr>
          <w:rFonts w:ascii="Arial" w:hAnsi="Arial" w:cs="Arial"/>
          <w:sz w:val="24"/>
          <w:szCs w:val="24"/>
        </w:rPr>
        <w:t xml:space="preserve">di Makassar </w:t>
      </w:r>
      <w:r w:rsidRPr="0035519F">
        <w:rPr>
          <w:rFonts w:ascii="Arial" w:hAnsi="Arial" w:cs="Arial"/>
          <w:sz w:val="24"/>
          <w:szCs w:val="24"/>
        </w:rPr>
        <w:t xml:space="preserve">terhadap 140 pria dewasa muda didapatkan nilai </w:t>
      </w:r>
      <w:r w:rsidRPr="0035519F">
        <w:rPr>
          <w:rFonts w:ascii="Arial" w:hAnsi="Arial" w:cs="Arial"/>
          <w:i/>
          <w:sz w:val="24"/>
          <w:szCs w:val="24"/>
        </w:rPr>
        <w:t>cut-off</w:t>
      </w:r>
      <w:r w:rsidRPr="0035519F">
        <w:rPr>
          <w:rFonts w:ascii="Arial" w:hAnsi="Arial" w:cs="Arial"/>
          <w:sz w:val="24"/>
          <w:szCs w:val="24"/>
        </w:rPr>
        <w:t xml:space="preserve"> IMT pada obesitas sebesar 24,93 kg/m</w:t>
      </w:r>
      <w:r w:rsidRPr="0035519F">
        <w:rPr>
          <w:rFonts w:ascii="Arial" w:hAnsi="Arial" w:cs="Arial"/>
          <w:sz w:val="24"/>
          <w:szCs w:val="24"/>
          <w:vertAlign w:val="superscript"/>
        </w:rPr>
        <w:t>2</w:t>
      </w:r>
      <w:r w:rsidR="006742C4" w:rsidRPr="0035519F">
        <w:rPr>
          <w:rFonts w:ascii="Arial" w:hAnsi="Arial" w:cs="Arial"/>
          <w:sz w:val="24"/>
          <w:szCs w:val="24"/>
          <w:vertAlign w:val="superscript"/>
        </w:rPr>
        <w:t xml:space="preserve"> </w:t>
      </w:r>
      <w:r w:rsidR="006742C4" w:rsidRPr="0035519F">
        <w:rPr>
          <w:rFonts w:ascii="Arial" w:hAnsi="Arial" w:cs="Arial"/>
          <w:sz w:val="24"/>
          <w:szCs w:val="24"/>
          <w:vertAlign w:val="superscript"/>
        </w:rPr>
        <w:fldChar w:fldCharType="begin" w:fldLock="1"/>
      </w:r>
      <w:r w:rsidR="00D11F03" w:rsidRPr="0035519F">
        <w:rPr>
          <w:rFonts w:ascii="Arial" w:hAnsi="Arial" w:cs="Arial"/>
          <w:sz w:val="24"/>
          <w:szCs w:val="24"/>
          <w:vertAlign w:val="superscript"/>
        </w:rPr>
        <w:instrText>ADDIN CSL_CITATION {"citationItems":[{"id":"ITEM-1","itemData":{"DOI":"10.3390/jcm7050096","ISBN":"6281241738","ISSN":"2077-0383","abstract":"The incidence of obesity which leads to insulin resistance (IR) and metabolic disorder is increasing in developing countries, including Indonesia. Male adults have a higher risk of abdominal obesity than females. This is associated with cardiometabolic disorders. Several anthropometric measurements have been proposed to predict IR. The aim of this study was to investigate whether body mass, body mass index (BMI), waist circumference (WC), body fat percentage (BF) or visceral fat level (VF) could become a better predictor of IR in healthy young male adults. A total of 140 healthy young male adults ranging from 18</w:instrText>
      </w:r>
      <w:r w:rsidR="00D11F03" w:rsidRPr="0035519F">
        <w:rPr>
          <w:rFonts w:ascii="Cambria Math" w:hAnsi="Cambria Math" w:cs="Cambria Math"/>
          <w:sz w:val="24"/>
          <w:szCs w:val="24"/>
          <w:vertAlign w:val="superscript"/>
        </w:rPr>
        <w:instrText>⁻</w:instrText>
      </w:r>
      <w:r w:rsidR="00D11F03" w:rsidRPr="0035519F">
        <w:rPr>
          <w:rFonts w:ascii="Arial" w:hAnsi="Arial" w:cs="Arial"/>
          <w:sz w:val="24"/>
          <w:szCs w:val="24"/>
          <w:vertAlign w:val="superscript"/>
        </w:rPr>
        <w:instrText>25 years were recruited in the study. Insulin resistance was measured by calculating their Homeostatic Model Assessment for Insulin Resistance (HOMA-IR). Subjects with a HOMA-IR value &amp;ge;75th percentile, with cut off 3.75, were defined as IR. Anthropometric measurements including body weight, BMI, and WC were performed, whereas BF and VC were measured using bioelectrical impedance analysis (BIA). IR had a strong correlation with body weight, BMI, WC, BF, and VF. In the area under the curve of body mass, BF and VF were slightly greater than WC and BMI. Anthropometric measurements correlated strongly with IR but body weight, BF, VF had a stronger correlation than WC and BMI in healthy young male adults.","author":[{"dropping-particle":"","family":"Kurniawan","given":"Liong","non-dropping-particle":"","parse-names":false,"suffix":""},{"dropping-particle":"","family":"Bahrun","given":"Uleng","non-dropping-particle":"","parse-names":false,"suffix":""},{"dropping-particle":"","family":"Hatta","given":"Mochammad","non-dropping-particle":"","parse-names":false,"suffix":""},{"dropping-particle":"","family":"Arif","given":"Mansyur","non-dropping-particle":"","parse-names":false,"suffix":""}],"container-title":"Journal of Clinical Medicine","id":"ITEM-1","issue":"5","issued":{"date-parts":[["2018","5"]]},"page":"96","title":"Body Mass, Total Body Fat Percentage, and Visceral Fat Level Predict Insulin Resistance Better Than Waist Circumference and Body Mass Index in Healthy Young Male Adults in Indonesia","type":"article-journal","volume":"7"},"uris":["http://www.mendeley.com/documents/?uuid=15a9c5cf-f2e3-4626-9fab-b486398dbe80"]}],"mendeley":{"formattedCitation":"(L. Kurniawan &lt;i&gt;et al.&lt;/i&gt;, 2018)","plainTextFormattedCitation":"(L. Kurniawan et al., 2018)","previouslyFormattedCitation":"(L. Kurniawan &lt;i&gt;et al.&lt;/i&gt;, 2018)"},"properties":{"noteIndex":0},"schema":"https://github.com/citation-style-language/schema/raw/master/csl-citation.json"}</w:instrText>
      </w:r>
      <w:r w:rsidR="006742C4" w:rsidRPr="0035519F">
        <w:rPr>
          <w:rFonts w:ascii="Arial" w:hAnsi="Arial" w:cs="Arial"/>
          <w:sz w:val="24"/>
          <w:szCs w:val="24"/>
          <w:vertAlign w:val="superscript"/>
        </w:rPr>
        <w:fldChar w:fldCharType="separate"/>
      </w:r>
      <w:r w:rsidR="00D11F03" w:rsidRPr="0035519F">
        <w:rPr>
          <w:rFonts w:ascii="Arial" w:hAnsi="Arial" w:cs="Arial"/>
          <w:noProof/>
          <w:sz w:val="24"/>
          <w:szCs w:val="24"/>
        </w:rPr>
        <w:t xml:space="preserve">(L. Kurniawan </w:t>
      </w:r>
      <w:r w:rsidR="00D11F03" w:rsidRPr="0035519F">
        <w:rPr>
          <w:rFonts w:ascii="Arial" w:hAnsi="Arial" w:cs="Arial"/>
          <w:i/>
          <w:noProof/>
          <w:sz w:val="24"/>
          <w:szCs w:val="24"/>
        </w:rPr>
        <w:t>et al.</w:t>
      </w:r>
      <w:r w:rsidR="00D11F03" w:rsidRPr="0035519F">
        <w:rPr>
          <w:rFonts w:ascii="Arial" w:hAnsi="Arial" w:cs="Arial"/>
          <w:noProof/>
          <w:sz w:val="24"/>
          <w:szCs w:val="24"/>
        </w:rPr>
        <w:t>, 2018)</w:t>
      </w:r>
      <w:r w:rsidR="006742C4" w:rsidRPr="0035519F">
        <w:rPr>
          <w:rFonts w:ascii="Arial" w:hAnsi="Arial" w:cs="Arial"/>
          <w:sz w:val="24"/>
          <w:szCs w:val="24"/>
          <w:vertAlign w:val="superscript"/>
        </w:rPr>
        <w:fldChar w:fldCharType="end"/>
      </w:r>
      <w:r w:rsidRPr="0035519F">
        <w:rPr>
          <w:rFonts w:ascii="Arial" w:hAnsi="Arial" w:cs="Arial"/>
          <w:sz w:val="24"/>
          <w:szCs w:val="24"/>
        </w:rPr>
        <w:t xml:space="preserve"> dan penelitian terhadap 80 wanita dewasa muda oleh L. Kurniawan et al., 2020, didapatkan nilai </w:t>
      </w:r>
      <w:r w:rsidRPr="0035519F">
        <w:rPr>
          <w:rFonts w:ascii="Arial" w:hAnsi="Arial" w:cs="Arial"/>
          <w:i/>
          <w:sz w:val="24"/>
          <w:szCs w:val="24"/>
        </w:rPr>
        <w:t>cut-off</w:t>
      </w:r>
      <w:r w:rsidRPr="0035519F">
        <w:rPr>
          <w:rFonts w:ascii="Arial" w:hAnsi="Arial" w:cs="Arial"/>
          <w:sz w:val="24"/>
          <w:szCs w:val="24"/>
        </w:rPr>
        <w:t xml:space="preserve"> IMT pada obesitas sebesar 24,95 kg/m</w:t>
      </w:r>
      <w:r w:rsidRPr="0035519F">
        <w:rPr>
          <w:rFonts w:ascii="Arial" w:hAnsi="Arial" w:cs="Arial"/>
          <w:sz w:val="24"/>
          <w:szCs w:val="24"/>
          <w:vertAlign w:val="superscript"/>
        </w:rPr>
        <w:t>2</w:t>
      </w:r>
      <w:r w:rsidR="006742C4" w:rsidRPr="0035519F">
        <w:rPr>
          <w:rFonts w:ascii="Arial" w:hAnsi="Arial" w:cs="Arial"/>
          <w:sz w:val="24"/>
          <w:szCs w:val="24"/>
          <w:vertAlign w:val="superscript"/>
        </w:rPr>
        <w:t xml:space="preserve"> </w:t>
      </w:r>
      <w:r w:rsidR="006742C4" w:rsidRPr="0035519F">
        <w:rPr>
          <w:rFonts w:ascii="Arial" w:hAnsi="Arial" w:cs="Arial"/>
          <w:sz w:val="24"/>
          <w:szCs w:val="24"/>
          <w:vertAlign w:val="superscript"/>
        </w:rPr>
        <w:fldChar w:fldCharType="begin" w:fldLock="1"/>
      </w:r>
      <w:r w:rsidR="003E6681" w:rsidRPr="0035519F">
        <w:rPr>
          <w:rFonts w:ascii="Arial" w:hAnsi="Arial" w:cs="Arial"/>
          <w:sz w:val="24"/>
          <w:szCs w:val="24"/>
          <w:vertAlign w:val="superscript"/>
        </w:rPr>
        <w:instrText>ADDIN CSL_CITATION {"citationItems":[{"id":"ITEM-1","itemData":{"DOI":"10.2478/rjim-2020-0015","ISSN":"2501062X","PMID":"32549128","abstract":"INTRODUCTION: The prevalence of obesity is increasing worldwide in high, low, and middle-income countries such as Indonesia. Obesity rate is higher in females in Indonesia. Obesity has important contribution in the occurrence of insulin resistance (IR) and type 2 diabetes mellitus. Several anthropometric measurements such as waist circumference (WC), body mass index (BMI), body mass (BM), total body fat percentage (Fat%) and visceral fat (VF) are related to IR. This study aimed to investigate which of those measurements could be used as a better predictor of IR in non-menopausal Indonesian adult females. METHODS: Total of 80 non-menopausal Indonesian adult females ranging from 21 to 40 years were recruited in this study. Insulin resistance was measured by using Homeostatic Model Assessment for Insulin Resistance (HOMA-IR) equation. Subjects with HOMA-IR index &gt;75th percentile with cut-off 2.74 were defined as IR. Waist circumference, BMI and BM were measured, while TF and VF were measured by bioelectrical impedance analysis (BIA). RESULTS: HOMA-IR had significant correlation with WC (r = 0.563, p &lt; 0.001), BMI (r = 0.537, p &lt; 0.001), BM (r = 0.515, p &lt; 0.001), VF (r = 0.515, p &lt; 0.001), Fat% (r = 0.490, p &lt; 0.001). The area under curve of VF (0.809), BMI (0.807), WC (0.805), and BM (0.799) are slightly larger than and Fat% (0.766). CONCLUSION: Insulin resistance had strong correlation with all anthropometric measurements, but the correlation was less significant with Fat%.","author":[{"dropping-particle":"","family":"Kurniawan","given":"Liong Boy","non-dropping-particle":"","parse-names":false,"suffix":""},{"dropping-particle":"","family":"Syamsir","given":"Bachtiar","non-dropping-particle":"","parse-names":false,"suffix":""},{"dropping-particle":"","family":"Rahman","given":"Ilham Akbar","non-dropping-particle":"","parse-names":false,"suffix":""},{"dropping-particle":"","family":"Adnan","given":"Endy","non-dropping-particle":"","parse-names":false,"suffix":""},{"dropping-particle":"","family":"Esa","given":"Tenri","non-dropping-particle":"","parse-names":false,"suffix":""},{"dropping-particle":"","family":"Widaningsih","given":"Yuyun","non-dropping-particle":"","parse-names":false,"suffix":""},{"dropping-particle":"","family":"Bahrun","given":"Uleng","non-dropping-particle":"","parse-names":false,"suffix":""},{"dropping-particle":"","family":"Arif","given":"Mansyur","non-dropping-particle":"","parse-names":false,"suffix":""}],"container-title":"Romanian journal of internal medicine = Revue roumaine de medecine interne","id":"ITEM-1","issue":"3","issued":{"date-parts":[["2020","9","1"]]},"page":"168-172","publisher":"Rom J Intern Med","title":"Anthropometric features in predicting insulin resistance among non-menopausal Indonesian adult females","type":"article-journal","volume":"58"},"uris":["http://www.mendeley.com/documents/?uuid=dda378c1-b336-35c7-8a1b-05a4476ce2c9"]}],"mendeley":{"formattedCitation":"(Kurniawan &lt;i&gt;et al.&lt;/i&gt;, 2020a)","manualFormatting":"(Kurniawan et al., 2020)","plainTextFormattedCitation":"(Kurniawan et al., 2020a)","previouslyFormattedCitation":"(Kurniawan &lt;i&gt;et al.&lt;/i&gt;, 2020a)"},"properties":{"noteIndex":0},"schema":"https://github.com/citation-style-language/schema/raw/master/csl-citation.json"}</w:instrText>
      </w:r>
      <w:r w:rsidR="006742C4" w:rsidRPr="0035519F">
        <w:rPr>
          <w:rFonts w:ascii="Arial" w:hAnsi="Arial" w:cs="Arial"/>
          <w:sz w:val="24"/>
          <w:szCs w:val="24"/>
          <w:vertAlign w:val="superscript"/>
        </w:rPr>
        <w:fldChar w:fldCharType="separate"/>
      </w:r>
      <w:r w:rsidR="00D11F03" w:rsidRPr="0035519F">
        <w:rPr>
          <w:rFonts w:ascii="Arial" w:hAnsi="Arial" w:cs="Arial"/>
          <w:noProof/>
          <w:sz w:val="24"/>
          <w:szCs w:val="24"/>
        </w:rPr>
        <w:t xml:space="preserve">(Kurniawan </w:t>
      </w:r>
      <w:r w:rsidR="00D11F03" w:rsidRPr="0035519F">
        <w:rPr>
          <w:rFonts w:ascii="Arial" w:hAnsi="Arial" w:cs="Arial"/>
          <w:i/>
          <w:noProof/>
          <w:sz w:val="24"/>
          <w:szCs w:val="24"/>
        </w:rPr>
        <w:t>et al.</w:t>
      </w:r>
      <w:r w:rsidR="00D11F03" w:rsidRPr="0035519F">
        <w:rPr>
          <w:rFonts w:ascii="Arial" w:hAnsi="Arial" w:cs="Arial"/>
          <w:noProof/>
          <w:sz w:val="24"/>
          <w:szCs w:val="24"/>
        </w:rPr>
        <w:t>, 2020)</w:t>
      </w:r>
      <w:r w:rsidR="006742C4" w:rsidRPr="0035519F">
        <w:rPr>
          <w:rFonts w:ascii="Arial" w:hAnsi="Arial" w:cs="Arial"/>
          <w:sz w:val="24"/>
          <w:szCs w:val="24"/>
          <w:vertAlign w:val="superscript"/>
        </w:rPr>
        <w:fldChar w:fldCharType="end"/>
      </w:r>
      <w:r w:rsidRPr="0035519F">
        <w:rPr>
          <w:rFonts w:ascii="Arial" w:hAnsi="Arial" w:cs="Arial"/>
          <w:sz w:val="24"/>
          <w:szCs w:val="24"/>
        </w:rPr>
        <w:t xml:space="preserve">. Kedua nilai </w:t>
      </w:r>
      <w:r w:rsidRPr="0035519F">
        <w:rPr>
          <w:rFonts w:ascii="Arial" w:hAnsi="Arial" w:cs="Arial"/>
          <w:i/>
          <w:sz w:val="24"/>
          <w:szCs w:val="24"/>
        </w:rPr>
        <w:t>cut-off</w:t>
      </w:r>
      <w:r w:rsidRPr="0035519F">
        <w:rPr>
          <w:rFonts w:ascii="Arial" w:hAnsi="Arial" w:cs="Arial"/>
          <w:sz w:val="24"/>
          <w:szCs w:val="24"/>
        </w:rPr>
        <w:t xml:space="preserve"> dari penelitian di atas untuk mendefinisikan resistensi insulin karena hampir mendekati kriteria klasifikasi obesitas menurut WHO untuk populasi Asia Pasifik (IMT ≥25 kg/m</w:t>
      </w:r>
      <w:r w:rsidRPr="0035519F">
        <w:rPr>
          <w:rFonts w:ascii="Arial" w:hAnsi="Arial" w:cs="Arial"/>
          <w:sz w:val="24"/>
          <w:szCs w:val="24"/>
          <w:vertAlign w:val="superscript"/>
        </w:rPr>
        <w:t>2</w:t>
      </w:r>
      <w:r w:rsidR="00AA21B6" w:rsidRPr="0035519F">
        <w:rPr>
          <w:rFonts w:ascii="Arial" w:hAnsi="Arial" w:cs="Arial"/>
          <w:sz w:val="24"/>
          <w:szCs w:val="24"/>
        </w:rPr>
        <w:t xml:space="preserve">). </w:t>
      </w:r>
    </w:p>
    <w:p w14:paraId="50664DC1" w14:textId="384E0C73" w:rsidR="007757AB" w:rsidRPr="0035519F" w:rsidRDefault="00611B87" w:rsidP="00611B87">
      <w:pPr>
        <w:pStyle w:val="Caption"/>
        <w:ind w:left="540"/>
        <w:rPr>
          <w:rFonts w:ascii="Arial" w:hAnsi="Arial" w:cs="Arial"/>
          <w:i w:val="0"/>
          <w:color w:val="auto"/>
          <w:sz w:val="24"/>
          <w:szCs w:val="24"/>
        </w:rPr>
      </w:pPr>
      <w:bookmarkStart w:id="37" w:name="_Toc73825303"/>
      <w:bookmarkStart w:id="38" w:name="_Toc111873673"/>
      <w:r w:rsidRPr="0035519F">
        <w:rPr>
          <w:rFonts w:ascii="Arial" w:hAnsi="Arial" w:cs="Arial"/>
          <w:i w:val="0"/>
          <w:color w:val="auto"/>
          <w:sz w:val="24"/>
          <w:szCs w:val="24"/>
        </w:rPr>
        <w:lastRenderedPageBreak/>
        <w:t xml:space="preserve">Tabel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Tabel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1</w:t>
      </w:r>
      <w:r w:rsidRPr="0035519F">
        <w:rPr>
          <w:rFonts w:ascii="Arial" w:hAnsi="Arial" w:cs="Arial"/>
          <w:i w:val="0"/>
          <w:color w:val="auto"/>
          <w:sz w:val="24"/>
          <w:szCs w:val="24"/>
        </w:rPr>
        <w:fldChar w:fldCharType="end"/>
      </w:r>
      <w:r w:rsidRPr="0035519F">
        <w:rPr>
          <w:rFonts w:ascii="Arial" w:hAnsi="Arial" w:cs="Arial"/>
          <w:i w:val="0"/>
          <w:color w:val="auto"/>
          <w:sz w:val="24"/>
          <w:szCs w:val="24"/>
        </w:rPr>
        <w:t xml:space="preserve">. </w:t>
      </w:r>
      <w:r w:rsidR="007757AB" w:rsidRPr="0035519F">
        <w:rPr>
          <w:rFonts w:ascii="Arial" w:hAnsi="Arial" w:cs="Arial"/>
          <w:i w:val="0"/>
          <w:color w:val="auto"/>
          <w:sz w:val="24"/>
          <w:szCs w:val="24"/>
        </w:rPr>
        <w:t>Klasifikasi IMT pada Asia Pasifik Dewasa</w:t>
      </w:r>
      <w:bookmarkEnd w:id="37"/>
      <w:bookmarkEnd w:id="38"/>
    </w:p>
    <w:tbl>
      <w:tblPr>
        <w:tblStyle w:val="TableGrid"/>
        <w:tblW w:w="7383" w:type="dxa"/>
        <w:tblInd w:w="537"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1631"/>
        <w:gridCol w:w="1399"/>
        <w:gridCol w:w="2241"/>
        <w:gridCol w:w="2112"/>
      </w:tblGrid>
      <w:tr w:rsidR="00117F69" w:rsidRPr="0035519F" w14:paraId="539F8A88" w14:textId="77777777" w:rsidTr="00BB5810">
        <w:trPr>
          <w:trHeight w:val="418"/>
        </w:trPr>
        <w:tc>
          <w:tcPr>
            <w:tcW w:w="1631" w:type="dxa"/>
            <w:tcBorders>
              <w:bottom w:val="single" w:sz="4" w:space="0" w:color="auto"/>
            </w:tcBorders>
          </w:tcPr>
          <w:p w14:paraId="7FC1CC5C" w14:textId="77777777" w:rsidR="007757AB" w:rsidRPr="0035519F" w:rsidRDefault="007757AB" w:rsidP="007757AB">
            <w:pPr>
              <w:spacing w:line="360" w:lineRule="auto"/>
              <w:rPr>
                <w:rFonts w:ascii="Arial" w:hAnsi="Arial" w:cs="Arial"/>
                <w:sz w:val="24"/>
                <w:szCs w:val="24"/>
              </w:rPr>
            </w:pPr>
            <w:r w:rsidRPr="0035519F">
              <w:rPr>
                <w:rFonts w:ascii="Arial" w:hAnsi="Arial" w:cs="Arial"/>
                <w:sz w:val="24"/>
                <w:szCs w:val="24"/>
              </w:rPr>
              <w:t>Klasifikasi</w:t>
            </w:r>
          </w:p>
        </w:tc>
        <w:tc>
          <w:tcPr>
            <w:tcW w:w="1399" w:type="dxa"/>
            <w:tcBorders>
              <w:bottom w:val="single" w:sz="4" w:space="0" w:color="auto"/>
            </w:tcBorders>
          </w:tcPr>
          <w:p w14:paraId="48C9F12A" w14:textId="77777777" w:rsidR="007757AB" w:rsidRPr="0035519F" w:rsidRDefault="007757AB" w:rsidP="007757AB">
            <w:pPr>
              <w:spacing w:line="360" w:lineRule="auto"/>
              <w:rPr>
                <w:rFonts w:ascii="Arial" w:hAnsi="Arial" w:cs="Arial"/>
                <w:sz w:val="24"/>
                <w:szCs w:val="24"/>
              </w:rPr>
            </w:pPr>
            <w:r w:rsidRPr="0035519F">
              <w:rPr>
                <w:rFonts w:ascii="Arial" w:hAnsi="Arial" w:cs="Arial"/>
                <w:sz w:val="24"/>
                <w:szCs w:val="24"/>
              </w:rPr>
              <w:t>IMT(kg/m</w:t>
            </w:r>
            <w:r w:rsidRPr="0035519F">
              <w:rPr>
                <w:rFonts w:ascii="Arial" w:hAnsi="Arial" w:cs="Arial"/>
                <w:sz w:val="24"/>
                <w:szCs w:val="24"/>
                <w:vertAlign w:val="superscript"/>
              </w:rPr>
              <w:t>2</w:t>
            </w:r>
            <w:r w:rsidRPr="0035519F">
              <w:rPr>
                <w:rFonts w:ascii="Arial" w:hAnsi="Arial" w:cs="Arial"/>
                <w:sz w:val="24"/>
                <w:szCs w:val="24"/>
              </w:rPr>
              <w:t>)</w:t>
            </w:r>
          </w:p>
        </w:tc>
        <w:tc>
          <w:tcPr>
            <w:tcW w:w="4353" w:type="dxa"/>
            <w:gridSpan w:val="2"/>
            <w:tcBorders>
              <w:bottom w:val="single" w:sz="4" w:space="0" w:color="auto"/>
            </w:tcBorders>
          </w:tcPr>
          <w:p w14:paraId="0635A8F6" w14:textId="77777777" w:rsidR="007757AB" w:rsidRPr="0035519F" w:rsidRDefault="007757AB" w:rsidP="007757AB">
            <w:pPr>
              <w:spacing w:line="360" w:lineRule="auto"/>
              <w:jc w:val="center"/>
              <w:rPr>
                <w:rFonts w:ascii="Arial" w:hAnsi="Arial" w:cs="Arial"/>
                <w:sz w:val="24"/>
                <w:szCs w:val="24"/>
              </w:rPr>
            </w:pPr>
            <w:r w:rsidRPr="0035519F">
              <w:rPr>
                <w:rFonts w:ascii="Arial" w:hAnsi="Arial" w:cs="Arial"/>
                <w:sz w:val="24"/>
                <w:szCs w:val="24"/>
              </w:rPr>
              <w:t>Risiko ko-morbiditas</w:t>
            </w:r>
          </w:p>
        </w:tc>
      </w:tr>
      <w:tr w:rsidR="00117F69" w:rsidRPr="0035519F" w14:paraId="711E4F90" w14:textId="77777777" w:rsidTr="00BB5810">
        <w:trPr>
          <w:trHeight w:val="433"/>
        </w:trPr>
        <w:tc>
          <w:tcPr>
            <w:tcW w:w="1631" w:type="dxa"/>
            <w:tcBorders>
              <w:bottom w:val="single" w:sz="4" w:space="0" w:color="auto"/>
            </w:tcBorders>
          </w:tcPr>
          <w:p w14:paraId="2A9260D8" w14:textId="77777777" w:rsidR="007757AB" w:rsidRPr="0035519F" w:rsidRDefault="007757AB" w:rsidP="007757AB">
            <w:pPr>
              <w:spacing w:line="360" w:lineRule="auto"/>
              <w:rPr>
                <w:rFonts w:ascii="Arial" w:hAnsi="Arial" w:cs="Arial"/>
                <w:sz w:val="24"/>
                <w:szCs w:val="24"/>
              </w:rPr>
            </w:pPr>
          </w:p>
        </w:tc>
        <w:tc>
          <w:tcPr>
            <w:tcW w:w="1399" w:type="dxa"/>
            <w:tcBorders>
              <w:bottom w:val="single" w:sz="4" w:space="0" w:color="auto"/>
            </w:tcBorders>
          </w:tcPr>
          <w:p w14:paraId="4C9A055A" w14:textId="77777777" w:rsidR="007757AB" w:rsidRPr="0035519F" w:rsidRDefault="007757AB" w:rsidP="007757AB">
            <w:pPr>
              <w:spacing w:line="360" w:lineRule="auto"/>
              <w:rPr>
                <w:rFonts w:ascii="Arial" w:hAnsi="Arial" w:cs="Arial"/>
                <w:sz w:val="24"/>
                <w:szCs w:val="24"/>
              </w:rPr>
            </w:pPr>
          </w:p>
        </w:tc>
        <w:tc>
          <w:tcPr>
            <w:tcW w:w="4353" w:type="dxa"/>
            <w:gridSpan w:val="2"/>
            <w:tcBorders>
              <w:bottom w:val="single" w:sz="4" w:space="0" w:color="auto"/>
            </w:tcBorders>
          </w:tcPr>
          <w:p w14:paraId="4BCC2117" w14:textId="77777777" w:rsidR="007757AB" w:rsidRPr="0035519F" w:rsidRDefault="007757AB" w:rsidP="007757AB">
            <w:pPr>
              <w:spacing w:line="360" w:lineRule="auto"/>
              <w:jc w:val="center"/>
              <w:rPr>
                <w:rFonts w:ascii="Arial" w:hAnsi="Arial" w:cs="Arial"/>
                <w:sz w:val="24"/>
                <w:szCs w:val="24"/>
              </w:rPr>
            </w:pPr>
            <w:r w:rsidRPr="0035519F">
              <w:rPr>
                <w:rFonts w:ascii="Arial" w:hAnsi="Arial" w:cs="Arial"/>
                <w:sz w:val="24"/>
                <w:szCs w:val="24"/>
              </w:rPr>
              <w:t xml:space="preserve">Lingkar Pinggang </w:t>
            </w:r>
          </w:p>
        </w:tc>
      </w:tr>
      <w:tr w:rsidR="00117F69" w:rsidRPr="0035519F" w14:paraId="37E3B3C5" w14:textId="77777777" w:rsidTr="00BB5810">
        <w:trPr>
          <w:trHeight w:val="975"/>
        </w:trPr>
        <w:tc>
          <w:tcPr>
            <w:tcW w:w="1631" w:type="dxa"/>
            <w:tcBorders>
              <w:bottom w:val="single" w:sz="4" w:space="0" w:color="auto"/>
            </w:tcBorders>
          </w:tcPr>
          <w:p w14:paraId="32DF29D8" w14:textId="77777777" w:rsidR="007757AB" w:rsidRPr="0035519F" w:rsidRDefault="007757AB" w:rsidP="007757AB">
            <w:pPr>
              <w:spacing w:line="276" w:lineRule="auto"/>
              <w:rPr>
                <w:rFonts w:ascii="Arial" w:hAnsi="Arial" w:cs="Arial"/>
                <w:sz w:val="24"/>
                <w:szCs w:val="24"/>
              </w:rPr>
            </w:pPr>
          </w:p>
        </w:tc>
        <w:tc>
          <w:tcPr>
            <w:tcW w:w="1399" w:type="dxa"/>
            <w:tcBorders>
              <w:bottom w:val="single" w:sz="4" w:space="0" w:color="auto"/>
            </w:tcBorders>
          </w:tcPr>
          <w:p w14:paraId="365517EA" w14:textId="77777777" w:rsidR="007757AB" w:rsidRPr="0035519F" w:rsidRDefault="007757AB" w:rsidP="007757AB">
            <w:pPr>
              <w:spacing w:line="276" w:lineRule="auto"/>
              <w:rPr>
                <w:rFonts w:ascii="Arial" w:hAnsi="Arial" w:cs="Arial"/>
                <w:sz w:val="24"/>
                <w:szCs w:val="24"/>
              </w:rPr>
            </w:pPr>
          </w:p>
        </w:tc>
        <w:tc>
          <w:tcPr>
            <w:tcW w:w="2241" w:type="dxa"/>
            <w:tcBorders>
              <w:bottom w:val="single" w:sz="4" w:space="0" w:color="auto"/>
            </w:tcBorders>
          </w:tcPr>
          <w:p w14:paraId="79833AAE"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&lt; 90 cm (Laki-laki) </w:t>
            </w:r>
          </w:p>
          <w:p w14:paraId="3A6F1AC6"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&lt; 80 cm (Perempuan)</w:t>
            </w:r>
          </w:p>
        </w:tc>
        <w:tc>
          <w:tcPr>
            <w:tcW w:w="2112" w:type="dxa"/>
            <w:tcBorders>
              <w:bottom w:val="single" w:sz="4" w:space="0" w:color="auto"/>
            </w:tcBorders>
          </w:tcPr>
          <w:p w14:paraId="5362F79E"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 90 cm (Laki-laki) </w:t>
            </w:r>
          </w:p>
          <w:p w14:paraId="16C25280"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80 cm (Perempuan)</w:t>
            </w:r>
          </w:p>
        </w:tc>
      </w:tr>
      <w:tr w:rsidR="00117F69" w:rsidRPr="0035519F" w14:paraId="14E4F1B9" w14:textId="77777777" w:rsidTr="00BB5810">
        <w:trPr>
          <w:trHeight w:val="975"/>
        </w:trPr>
        <w:tc>
          <w:tcPr>
            <w:tcW w:w="1631" w:type="dxa"/>
            <w:tcBorders>
              <w:bottom w:val="nil"/>
            </w:tcBorders>
          </w:tcPr>
          <w:p w14:paraId="35745A0B"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Berat badan kurang</w:t>
            </w:r>
          </w:p>
        </w:tc>
        <w:tc>
          <w:tcPr>
            <w:tcW w:w="1399" w:type="dxa"/>
            <w:tcBorders>
              <w:bottom w:val="nil"/>
            </w:tcBorders>
          </w:tcPr>
          <w:p w14:paraId="4BAF2ACB"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&lt;18,5</w:t>
            </w:r>
          </w:p>
        </w:tc>
        <w:tc>
          <w:tcPr>
            <w:tcW w:w="2241" w:type="dxa"/>
            <w:tcBorders>
              <w:bottom w:val="nil"/>
            </w:tcBorders>
          </w:tcPr>
          <w:p w14:paraId="1A097C93"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Rendah (resiko meningkat pada masalah klinis lain)</w:t>
            </w:r>
          </w:p>
        </w:tc>
        <w:tc>
          <w:tcPr>
            <w:tcW w:w="2112" w:type="dxa"/>
            <w:tcBorders>
              <w:bottom w:val="nil"/>
            </w:tcBorders>
          </w:tcPr>
          <w:p w14:paraId="78FCCA2C"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Sedang </w:t>
            </w:r>
          </w:p>
        </w:tc>
      </w:tr>
      <w:tr w:rsidR="00117F69" w:rsidRPr="0035519F" w14:paraId="31D0F9C1" w14:textId="77777777" w:rsidTr="00BB5810">
        <w:trPr>
          <w:trHeight w:val="325"/>
        </w:trPr>
        <w:tc>
          <w:tcPr>
            <w:tcW w:w="1631" w:type="dxa"/>
            <w:tcBorders>
              <w:top w:val="nil"/>
              <w:bottom w:val="nil"/>
            </w:tcBorders>
          </w:tcPr>
          <w:p w14:paraId="2E1A03E0"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Normal</w:t>
            </w:r>
          </w:p>
        </w:tc>
        <w:tc>
          <w:tcPr>
            <w:tcW w:w="1399" w:type="dxa"/>
            <w:tcBorders>
              <w:top w:val="nil"/>
              <w:bottom w:val="nil"/>
            </w:tcBorders>
          </w:tcPr>
          <w:p w14:paraId="37136EA9"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18,5-22,9</w:t>
            </w:r>
          </w:p>
        </w:tc>
        <w:tc>
          <w:tcPr>
            <w:tcW w:w="2241" w:type="dxa"/>
            <w:tcBorders>
              <w:top w:val="nil"/>
              <w:bottom w:val="nil"/>
            </w:tcBorders>
          </w:tcPr>
          <w:p w14:paraId="7F890B67"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Sedang</w:t>
            </w:r>
          </w:p>
        </w:tc>
        <w:tc>
          <w:tcPr>
            <w:tcW w:w="2112" w:type="dxa"/>
            <w:tcBorders>
              <w:top w:val="nil"/>
              <w:bottom w:val="nil"/>
            </w:tcBorders>
          </w:tcPr>
          <w:p w14:paraId="47876F98"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Meningkat </w:t>
            </w:r>
          </w:p>
        </w:tc>
      </w:tr>
      <w:tr w:rsidR="00117F69" w:rsidRPr="0035519F" w14:paraId="1E96C7C9" w14:textId="77777777" w:rsidTr="00BB5810">
        <w:trPr>
          <w:trHeight w:val="650"/>
        </w:trPr>
        <w:tc>
          <w:tcPr>
            <w:tcW w:w="1631" w:type="dxa"/>
            <w:tcBorders>
              <w:top w:val="nil"/>
              <w:bottom w:val="nil"/>
            </w:tcBorders>
          </w:tcPr>
          <w:p w14:paraId="390A2B4B"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Berat badan lebih</w:t>
            </w:r>
            <w:r w:rsidR="00E64E0A" w:rsidRPr="0035519F">
              <w:rPr>
                <w:rFonts w:ascii="Arial" w:hAnsi="Arial" w:cs="Arial"/>
                <w:sz w:val="24"/>
                <w:szCs w:val="24"/>
              </w:rPr>
              <w:t>:</w:t>
            </w:r>
          </w:p>
        </w:tc>
        <w:tc>
          <w:tcPr>
            <w:tcW w:w="1399" w:type="dxa"/>
            <w:tcBorders>
              <w:top w:val="nil"/>
              <w:bottom w:val="nil"/>
            </w:tcBorders>
          </w:tcPr>
          <w:p w14:paraId="562BAF57"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≥23</w:t>
            </w:r>
          </w:p>
        </w:tc>
        <w:tc>
          <w:tcPr>
            <w:tcW w:w="2241" w:type="dxa"/>
            <w:tcBorders>
              <w:top w:val="nil"/>
              <w:bottom w:val="nil"/>
            </w:tcBorders>
          </w:tcPr>
          <w:p w14:paraId="64F2874D" w14:textId="77777777" w:rsidR="007757AB" w:rsidRPr="0035519F" w:rsidRDefault="007757AB" w:rsidP="007757AB">
            <w:pPr>
              <w:spacing w:line="276" w:lineRule="auto"/>
              <w:rPr>
                <w:rFonts w:ascii="Arial" w:hAnsi="Arial" w:cs="Arial"/>
                <w:sz w:val="24"/>
                <w:szCs w:val="24"/>
              </w:rPr>
            </w:pPr>
          </w:p>
        </w:tc>
        <w:tc>
          <w:tcPr>
            <w:tcW w:w="2112" w:type="dxa"/>
            <w:tcBorders>
              <w:top w:val="nil"/>
              <w:bottom w:val="nil"/>
            </w:tcBorders>
          </w:tcPr>
          <w:p w14:paraId="473D87FD" w14:textId="77777777" w:rsidR="007757AB" w:rsidRPr="0035519F" w:rsidRDefault="007757AB" w:rsidP="007757AB">
            <w:pPr>
              <w:spacing w:line="276" w:lineRule="auto"/>
              <w:rPr>
                <w:rFonts w:ascii="Arial" w:hAnsi="Arial" w:cs="Arial"/>
                <w:sz w:val="24"/>
                <w:szCs w:val="24"/>
              </w:rPr>
            </w:pPr>
          </w:p>
        </w:tc>
      </w:tr>
      <w:tr w:rsidR="00117F69" w:rsidRPr="0035519F" w14:paraId="68280E9A" w14:textId="77777777" w:rsidTr="00BB5810">
        <w:trPr>
          <w:trHeight w:val="325"/>
        </w:trPr>
        <w:tc>
          <w:tcPr>
            <w:tcW w:w="1631" w:type="dxa"/>
            <w:tcBorders>
              <w:top w:val="nil"/>
              <w:bottom w:val="nil"/>
            </w:tcBorders>
          </w:tcPr>
          <w:p w14:paraId="197B1974"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   Berisiko</w:t>
            </w:r>
          </w:p>
        </w:tc>
        <w:tc>
          <w:tcPr>
            <w:tcW w:w="1399" w:type="dxa"/>
            <w:tcBorders>
              <w:top w:val="nil"/>
              <w:bottom w:val="nil"/>
            </w:tcBorders>
          </w:tcPr>
          <w:p w14:paraId="228C29CB"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23-24,9</w:t>
            </w:r>
          </w:p>
        </w:tc>
        <w:tc>
          <w:tcPr>
            <w:tcW w:w="2241" w:type="dxa"/>
            <w:tcBorders>
              <w:top w:val="nil"/>
              <w:bottom w:val="nil"/>
            </w:tcBorders>
          </w:tcPr>
          <w:p w14:paraId="762C227D"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Meningkat</w:t>
            </w:r>
          </w:p>
        </w:tc>
        <w:tc>
          <w:tcPr>
            <w:tcW w:w="2112" w:type="dxa"/>
            <w:tcBorders>
              <w:top w:val="nil"/>
              <w:bottom w:val="nil"/>
            </w:tcBorders>
          </w:tcPr>
          <w:p w14:paraId="16341C22"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Moderat </w:t>
            </w:r>
          </w:p>
        </w:tc>
      </w:tr>
      <w:tr w:rsidR="00117F69" w:rsidRPr="0035519F" w14:paraId="63E387D4" w14:textId="77777777" w:rsidTr="00BB5810">
        <w:trPr>
          <w:trHeight w:val="340"/>
        </w:trPr>
        <w:tc>
          <w:tcPr>
            <w:tcW w:w="1631" w:type="dxa"/>
            <w:tcBorders>
              <w:top w:val="nil"/>
              <w:bottom w:val="nil"/>
            </w:tcBorders>
          </w:tcPr>
          <w:p w14:paraId="63C52A5F"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   Obesitas I</w:t>
            </w:r>
          </w:p>
        </w:tc>
        <w:tc>
          <w:tcPr>
            <w:tcW w:w="1399" w:type="dxa"/>
            <w:tcBorders>
              <w:top w:val="nil"/>
              <w:bottom w:val="nil"/>
            </w:tcBorders>
          </w:tcPr>
          <w:p w14:paraId="1DF76517"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25-29,9</w:t>
            </w:r>
          </w:p>
        </w:tc>
        <w:tc>
          <w:tcPr>
            <w:tcW w:w="2241" w:type="dxa"/>
            <w:tcBorders>
              <w:top w:val="nil"/>
              <w:bottom w:val="nil"/>
            </w:tcBorders>
          </w:tcPr>
          <w:p w14:paraId="36EDF062"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Moderat</w:t>
            </w:r>
          </w:p>
        </w:tc>
        <w:tc>
          <w:tcPr>
            <w:tcW w:w="2112" w:type="dxa"/>
            <w:tcBorders>
              <w:top w:val="nil"/>
              <w:bottom w:val="nil"/>
            </w:tcBorders>
          </w:tcPr>
          <w:p w14:paraId="612BAEF3"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Berat </w:t>
            </w:r>
          </w:p>
        </w:tc>
      </w:tr>
      <w:tr w:rsidR="00117F69" w:rsidRPr="0035519F" w14:paraId="441FDECF" w14:textId="77777777" w:rsidTr="00BB5810">
        <w:trPr>
          <w:trHeight w:val="309"/>
        </w:trPr>
        <w:tc>
          <w:tcPr>
            <w:tcW w:w="1631" w:type="dxa"/>
            <w:tcBorders>
              <w:top w:val="nil"/>
            </w:tcBorders>
          </w:tcPr>
          <w:p w14:paraId="2ADEAAE8"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   Obesitas II</w:t>
            </w:r>
          </w:p>
        </w:tc>
        <w:tc>
          <w:tcPr>
            <w:tcW w:w="1399" w:type="dxa"/>
            <w:tcBorders>
              <w:top w:val="nil"/>
            </w:tcBorders>
          </w:tcPr>
          <w:p w14:paraId="3B4F466C"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≥30</w:t>
            </w:r>
          </w:p>
        </w:tc>
        <w:tc>
          <w:tcPr>
            <w:tcW w:w="2241" w:type="dxa"/>
            <w:tcBorders>
              <w:top w:val="nil"/>
            </w:tcBorders>
          </w:tcPr>
          <w:p w14:paraId="6B4D634A"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Berat</w:t>
            </w:r>
          </w:p>
        </w:tc>
        <w:tc>
          <w:tcPr>
            <w:tcW w:w="2112" w:type="dxa"/>
            <w:tcBorders>
              <w:top w:val="nil"/>
            </w:tcBorders>
          </w:tcPr>
          <w:p w14:paraId="12E707B8" w14:textId="77777777" w:rsidR="007757AB" w:rsidRPr="0035519F" w:rsidRDefault="007757AB" w:rsidP="007757AB">
            <w:pPr>
              <w:spacing w:line="276" w:lineRule="auto"/>
              <w:rPr>
                <w:rFonts w:ascii="Arial" w:hAnsi="Arial" w:cs="Arial"/>
                <w:sz w:val="24"/>
                <w:szCs w:val="24"/>
              </w:rPr>
            </w:pPr>
            <w:r w:rsidRPr="0035519F">
              <w:rPr>
                <w:rFonts w:ascii="Arial" w:hAnsi="Arial" w:cs="Arial"/>
                <w:sz w:val="24"/>
                <w:szCs w:val="24"/>
              </w:rPr>
              <w:t xml:space="preserve">Sangat berat </w:t>
            </w:r>
          </w:p>
        </w:tc>
      </w:tr>
    </w:tbl>
    <w:p w14:paraId="15B3712F" w14:textId="77777777" w:rsidR="007757AB" w:rsidRPr="0035519F" w:rsidRDefault="007757AB" w:rsidP="006742C4">
      <w:pPr>
        <w:spacing w:after="0" w:line="480" w:lineRule="auto"/>
        <w:ind w:left="284" w:firstLine="425"/>
        <w:rPr>
          <w:rFonts w:ascii="Arial" w:hAnsi="Arial" w:cs="Arial"/>
          <w:sz w:val="24"/>
          <w:szCs w:val="24"/>
        </w:rPr>
      </w:pPr>
      <w:r w:rsidRPr="0035519F">
        <w:rPr>
          <w:rFonts w:ascii="Arial" w:hAnsi="Arial" w:cs="Arial"/>
          <w:sz w:val="24"/>
          <w:szCs w:val="24"/>
        </w:rPr>
        <w:t xml:space="preserve">Sumber: </w:t>
      </w:r>
      <w:r w:rsidR="00807DBF" w:rsidRPr="0035519F">
        <w:rPr>
          <w:rFonts w:ascii="Arial" w:hAnsi="Arial" w:cs="Arial"/>
          <w:sz w:val="24"/>
          <w:szCs w:val="24"/>
        </w:rPr>
        <w:fldChar w:fldCharType="begin" w:fldLock="1"/>
      </w:r>
      <w:r w:rsidR="003E6681" w:rsidRPr="0035519F">
        <w:rPr>
          <w:rFonts w:ascii="Arial" w:hAnsi="Arial" w:cs="Arial"/>
          <w:sz w:val="24"/>
          <w:szCs w:val="24"/>
        </w:rPr>
        <w:instrText>ADDIN CSL_CITATION {"citationItems":[{"id":"ITEM-1","itemData":{"abstract":"Competence is a physiological state, distinct from sporulation and vegetative growth, that enables cells to bind and internalize transforming DNA, The transcriptional regulator ComK drives the development of competence in Bacillus subtilis, ComK is directly required for its own transcription as well as for the transcription of the genes that encode DNA transport proteins. When ComK is sequestered by binding to a complex of the proteins MecA and ClpC, the positive feedback loop leading to ComK synthesis is interrupted. The small protein ComS, produced as a result of signaling by a quorum-sensing two-component regulatory pathway, triggers the release of ComK from the complex, enabling comK transcription to occur. We show here, based on in vivo and in vitro experiments, that ComK accumulation is also regulated by proteolysis and that binding to MecA targets ComK for degradation by the ClpP protease in association with ClpC. The release of ComK from binding by MecA and ClpC, which occurs when ComS is synthesized, protects ComK from proteolysis. Following this release, the rates of MecA and ComS degradation by ClpCP are increased in our in vitro system. In this novel system, MecA serves to recruit ComK to the ClpCP protease and connects ComK degradation to the quorum-sensing signal-transduction pathway, thereby regulating a key developmental process. This is the first regulated degradation system in which a specific targeting molecule serves such a function.","author":[{"dropping-particle":"","family":"WHO","given":"","non-dropping-particle":"","parse-names":false,"suffix":""}],"editor":[{"dropping-particle":"","family":"International Association for the Study of Obesity.","given":"","non-dropping-particle":"","parse-names":false,"suffix":""}],"id":"ITEM-1","issued":{"date-parts":[["2000"]]},"publisher":"International Association for the Study of Obesity.","title":"The Asia – Pacific perspective: redefining obesity and its treatment","type":"book"},"uris":["http://www.mendeley.com/documents/?uuid=6f0a2960-abee-4d54-9f1d-ba61095e1653"]}],"mendeley":{"formattedCitation":"(WHO, 2000)","plainTextFormattedCitation":"(WHO, 2000)","previouslyFormattedCitation":"(WHO, 2000)"},"properties":{"noteIndex":0},"schema":"https://github.com/citation-style-language/schema/raw/master/csl-citation.json"}</w:instrText>
      </w:r>
      <w:r w:rsidR="00807DBF" w:rsidRPr="0035519F">
        <w:rPr>
          <w:rFonts w:ascii="Arial" w:hAnsi="Arial" w:cs="Arial"/>
          <w:sz w:val="24"/>
          <w:szCs w:val="24"/>
        </w:rPr>
        <w:fldChar w:fldCharType="separate"/>
      </w:r>
      <w:r w:rsidR="003E6681" w:rsidRPr="0035519F">
        <w:rPr>
          <w:rFonts w:ascii="Arial" w:hAnsi="Arial" w:cs="Arial"/>
          <w:noProof/>
          <w:sz w:val="24"/>
          <w:szCs w:val="24"/>
        </w:rPr>
        <w:t>(WHO, 2000)</w:t>
      </w:r>
      <w:r w:rsidR="00807DBF" w:rsidRPr="0035519F">
        <w:rPr>
          <w:rFonts w:ascii="Arial" w:hAnsi="Arial" w:cs="Arial"/>
          <w:sz w:val="24"/>
          <w:szCs w:val="24"/>
        </w:rPr>
        <w:fldChar w:fldCharType="end"/>
      </w:r>
      <w:r w:rsidRPr="0035519F">
        <w:rPr>
          <w:rFonts w:ascii="Arial" w:hAnsi="Arial" w:cs="Arial"/>
          <w:sz w:val="24"/>
          <w:szCs w:val="24"/>
        </w:rPr>
        <w:t xml:space="preserve"> </w:t>
      </w:r>
    </w:p>
    <w:p w14:paraId="2009E494" w14:textId="77777777" w:rsidR="003E6681" w:rsidRPr="0035519F" w:rsidRDefault="003E6681" w:rsidP="00AB4536">
      <w:pPr>
        <w:rPr>
          <w:rFonts w:ascii="Arial" w:hAnsi="Arial" w:cs="Arial"/>
          <w:b/>
          <w:sz w:val="24"/>
          <w:szCs w:val="24"/>
        </w:rPr>
      </w:pPr>
    </w:p>
    <w:p w14:paraId="3692C6B3" w14:textId="77777777" w:rsidR="007757AB" w:rsidRPr="0035519F" w:rsidRDefault="00C507E6" w:rsidP="00363776">
      <w:pPr>
        <w:pStyle w:val="ListParagraph"/>
        <w:numPr>
          <w:ilvl w:val="0"/>
          <w:numId w:val="34"/>
        </w:numPr>
        <w:ind w:left="990"/>
        <w:rPr>
          <w:rFonts w:ascii="Arial" w:hAnsi="Arial" w:cs="Arial"/>
          <w:sz w:val="24"/>
          <w:szCs w:val="24"/>
        </w:rPr>
      </w:pPr>
      <w:r w:rsidRPr="0035519F">
        <w:rPr>
          <w:rFonts w:ascii="Arial" w:hAnsi="Arial" w:cs="Arial"/>
          <w:sz w:val="24"/>
          <w:szCs w:val="24"/>
        </w:rPr>
        <w:t xml:space="preserve">Lingkar Pinggang </w:t>
      </w:r>
      <w:r w:rsidR="007757AB" w:rsidRPr="0035519F">
        <w:rPr>
          <w:rFonts w:ascii="Arial" w:hAnsi="Arial" w:cs="Arial"/>
          <w:sz w:val="24"/>
          <w:szCs w:val="24"/>
        </w:rPr>
        <w:t xml:space="preserve"> </w:t>
      </w:r>
    </w:p>
    <w:p w14:paraId="37DD9F10" w14:textId="77777777" w:rsidR="00642002" w:rsidRPr="0035519F" w:rsidRDefault="00642002" w:rsidP="007757AB">
      <w:pPr>
        <w:pStyle w:val="BodyText"/>
        <w:spacing w:before="5" w:line="480" w:lineRule="auto"/>
        <w:ind w:left="709" w:right="3" w:firstLine="425"/>
        <w:jc w:val="both"/>
      </w:pPr>
      <w:r w:rsidRPr="0035519F">
        <w:t>L</w:t>
      </w:r>
      <w:r w:rsidR="006742C4" w:rsidRPr="0035519F">
        <w:t xml:space="preserve">ingkar pinggang </w:t>
      </w:r>
      <w:r w:rsidRPr="0035519F">
        <w:t>merupakan</w:t>
      </w:r>
      <w:r w:rsidR="006742C4" w:rsidRPr="0035519F">
        <w:t xml:space="preserve"> indikator yang lebih baik </w:t>
      </w:r>
      <w:r w:rsidRPr="0035519F">
        <w:t>dibandingkan</w:t>
      </w:r>
      <w:r w:rsidR="006742C4" w:rsidRPr="0035519F">
        <w:t xml:space="preserve"> </w:t>
      </w:r>
      <w:r w:rsidR="00450B72" w:rsidRPr="0035519F">
        <w:t>IMT</w:t>
      </w:r>
      <w:r w:rsidR="006742C4" w:rsidRPr="0035519F">
        <w:t xml:space="preserve"> dan </w:t>
      </w:r>
      <w:r w:rsidRPr="0035519F">
        <w:t>WHR untuk mengukur obesitas sentral</w:t>
      </w:r>
      <w:r w:rsidR="006742C4" w:rsidRPr="0035519F">
        <w:t>.</w:t>
      </w:r>
      <w:r w:rsidRPr="0035519F">
        <w:t xml:space="preserve"> Pengukuran WC mudah dilakukan</w:t>
      </w:r>
      <w:r w:rsidR="006742C4" w:rsidRPr="0035519F">
        <w:t xml:space="preserve"> dan lebih berkorelasi kuat dengan </w:t>
      </w:r>
      <w:r w:rsidRPr="0035519F">
        <w:t>kandungan lemak intra</w:t>
      </w:r>
      <w:r w:rsidR="006742C4" w:rsidRPr="0035519F">
        <w:t xml:space="preserve">abdomen </w:t>
      </w:r>
      <w:r w:rsidRPr="0035519F">
        <w:t>serta</w:t>
      </w:r>
      <w:r w:rsidR="006742C4" w:rsidRPr="0035519F">
        <w:t xml:space="preserve"> faktor ris</w:t>
      </w:r>
      <w:r w:rsidRPr="0035519F">
        <w:t>iko kardiovaskular</w:t>
      </w:r>
      <w:r w:rsidR="006742C4" w:rsidRPr="0035519F">
        <w:t>. Namun, lokasi yang direkomendasikan untu</w:t>
      </w:r>
      <w:r w:rsidRPr="0035519F">
        <w:t>k pengukuran WC bervariasi</w:t>
      </w:r>
      <w:r w:rsidR="006742C4" w:rsidRPr="0035519F">
        <w:t xml:space="preserve">. Organisasi Kesehatan Dunia </w:t>
      </w:r>
      <w:r w:rsidRPr="0035519F">
        <w:t xml:space="preserve">(WHO) </w:t>
      </w:r>
      <w:r w:rsidR="006742C4" w:rsidRPr="0035519F">
        <w:t>dan Federasi Diabetes Internasional (IDF) m</w:t>
      </w:r>
      <w:r w:rsidRPr="0035519F">
        <w:t xml:space="preserve">enyarankan untuk mengukur WC pada </w:t>
      </w:r>
      <w:r w:rsidR="006742C4" w:rsidRPr="0035519F">
        <w:t>bidang horizontal di tengah antara tulang rusuk terend</w:t>
      </w:r>
      <w:r w:rsidRPr="0035519F">
        <w:t>ah dan krista iliaka. Pengukuran ini menggunakan ukuran pita secara horizontal pada saat</w:t>
      </w:r>
      <w:r w:rsidRPr="0035519F">
        <w:rPr>
          <w:spacing w:val="1"/>
        </w:rPr>
        <w:t xml:space="preserve"> </w:t>
      </w:r>
      <w:r w:rsidRPr="0035519F">
        <w:t>ekspirasi</w:t>
      </w:r>
      <w:r w:rsidR="00450B72" w:rsidRPr="0035519F">
        <w:t>,</w:t>
      </w:r>
      <w:r w:rsidRPr="0035519F">
        <w:t xml:space="preserve"> kedua tungkai dilebarkan 20-30 cm, </w:t>
      </w:r>
      <w:r w:rsidRPr="0035519F">
        <w:lastRenderedPageBreak/>
        <w:t>pasien diminta untuk</w:t>
      </w:r>
      <w:r w:rsidRPr="0035519F">
        <w:rPr>
          <w:spacing w:val="1"/>
        </w:rPr>
        <w:t xml:space="preserve"> </w:t>
      </w:r>
      <w:r w:rsidRPr="0035519F">
        <w:t>tidak</w:t>
      </w:r>
      <w:r w:rsidRPr="0035519F">
        <w:rPr>
          <w:spacing w:val="1"/>
        </w:rPr>
        <w:t xml:space="preserve"> </w:t>
      </w:r>
      <w:r w:rsidRPr="0035519F">
        <w:t>menahan</w:t>
      </w:r>
      <w:r w:rsidRPr="0035519F">
        <w:rPr>
          <w:spacing w:val="1"/>
        </w:rPr>
        <w:t xml:space="preserve"> </w:t>
      </w:r>
      <w:r w:rsidRPr="0035519F">
        <w:t>perutnya</w:t>
      </w:r>
      <w:r w:rsidRPr="0035519F">
        <w:rPr>
          <w:spacing w:val="1"/>
        </w:rPr>
        <w:t xml:space="preserve"> </w:t>
      </w:r>
      <w:r w:rsidRPr="0035519F">
        <w:t>dan</w:t>
      </w:r>
      <w:r w:rsidRPr="0035519F">
        <w:rPr>
          <w:spacing w:val="1"/>
        </w:rPr>
        <w:t xml:space="preserve"> </w:t>
      </w:r>
      <w:r w:rsidRPr="0035519F">
        <w:t>diukur</w:t>
      </w:r>
      <w:r w:rsidRPr="0035519F">
        <w:rPr>
          <w:spacing w:val="1"/>
        </w:rPr>
        <w:t xml:space="preserve"> </w:t>
      </w:r>
      <w:r w:rsidRPr="0035519F">
        <w:t>memakai</w:t>
      </w:r>
      <w:r w:rsidRPr="0035519F">
        <w:rPr>
          <w:spacing w:val="1"/>
        </w:rPr>
        <w:t xml:space="preserve"> </w:t>
      </w:r>
      <w:r w:rsidRPr="0035519F">
        <w:t>pita</w:t>
      </w:r>
      <w:r w:rsidRPr="0035519F">
        <w:rPr>
          <w:spacing w:val="1"/>
        </w:rPr>
        <w:t xml:space="preserve"> </w:t>
      </w:r>
      <w:r w:rsidRPr="0035519F">
        <w:t>dengan</w:t>
      </w:r>
      <w:r w:rsidRPr="0035519F">
        <w:rPr>
          <w:spacing w:val="1"/>
        </w:rPr>
        <w:t xml:space="preserve"> </w:t>
      </w:r>
      <w:r w:rsidR="0003017A" w:rsidRPr="0035519F">
        <w:t>tegangan pegas yang konstan</w:t>
      </w:r>
      <w:r w:rsidR="003E6681" w:rsidRPr="0035519F">
        <w:t xml:space="preserve"> </w:t>
      </w:r>
      <w:r w:rsidRPr="0035519F">
        <w:fldChar w:fldCharType="begin" w:fldLock="1"/>
      </w:r>
      <w:r w:rsidR="00D11F03" w:rsidRPr="0035519F">
        <w:instrText>ADDIN CSL_CITATION {"citationItems":[{"id":"ITEM-1","itemData":{"DOI":"10.2337/DC12-1452/-/DC1","ISSN":"01495992","PMID":"23275359","abstract":"OBJECTIVE - Waist circumference (WC) is used to define central obesity. This study aimed to compare the performance of two recommended locations of WC measurement. RESEARCH DESIGN AND METHODS - A cohort of 1,898 subjects who were without diabetes from 2006 to 2012 were followed for a median of 31 months (Taiwan Lifestyle Study). The WC-IC, recommended by the National Cholesterol Education Program Third Adult Treatment Panel, was measured at the superior border of the iliac crest, and the WC-mid, recommended by World Health Organization and International Diabetes Federation, was measured midway between the lowest ribs and the iliac crest. The abdominal subcutaneous fat area (SFA) and visceral fat area (VFA) were assessed by computed tomography. RESULTS - There was greater difference between WC-IC and WC-mid measurements in women than in men ( P &lt; 0.001). Both WC-IC and WC-mid correlated significantly with BMI, VFA, and SFA (all P &lt; 0.001). WC-mid was better correlated to VFA than WC-IC, particularly in women, and it correlated more strongly to blood pressure, plasma glucose, hemoglobin A1c, triglyceride levels, HDL cholesterol, and C-reactive protein (all P &lt; 0.05). The association of WC-mid with hypertension, diabetes, and metabolic syndrome was slightly better than that of WC-IC (area under the receiver operator curve 0.7 vs. 0.69, 0.71 vs. 0.68, and 0.75 vs. 0.7, respectively; all age-adjusted P &lt; 0.05). With 90 cm (male)/80 cm (female) as criteria for central obesity, WC-mid, but not WC-IC, predicted the incidence of diabetes development (age-adjusted P = 0.003). CONCLUSIONS - WC-mid is a better measurement to de fine central obesity than WC-IC, particularly in women. © 2013 by the American Diabetes Association.","author":[{"dropping-particle":"","family":"Ma","given":"Wen Ya","non-dropping-particle":"","parse-names":false,"suffix":""},{"dropping-particle":"","family":"Yang","given":"Chung Yi","non-dropping-particle":"","parse-names":false,"suffix":""},{"dropping-particle":"","family":"Shih","given":"Shyang Rong","non-dropping-particle":"","parse-names":false,"suffix":""},{"dropping-particle":"","family":"Hsieh","given":"Hong Jen","non-dropping-particle":"","parse-names":false,"suffix":""},{"dropping-particle":"","family":"Hung","given":"Chi Sheng","non-dropping-particle":"","parse-names":false,"suffix":""},{"dropping-particle":"","family":"Chiu","given":"Fu Chun","non-dropping-particle":"","parse-names":false,"suffix":""},{"dropping-particle":"","family":"Lin","given":"Mao Shin","non-dropping-particle":"","parse-names":false,"suffix":""},{"dropping-particle":"","family":"Liu","given":"Pi Hua","non-dropping-particle":"","parse-names":false,"suffix":""},{"dropping-particle":"","family":"Hua","given":"Cyue Huei","non-dropping-particle":"","parse-names":false,"suffix":""},{"dropping-particle":"","family":"Hsein","given":"Yenh Chen","non-dropping-particle":"","parse-names":false,"suffix":""},{"dropping-particle":"","family":"Chuang","given":"Lee Ming","non-dropping-particle":"","parse-names":false,"suffix":""},{"dropping-particle":"","family":"Lin","given":"Jou Wei","non-dropping-particle":"","parse-names":false,"suffix":""},{"dropping-particle":"","family":"Wei","given":"Jung Nan","non-dropping-particle":"","parse-names":false,"suffix":""},{"dropping-particle":"","family":"Li","given":"Hung Yuan","non-dropping-particle":"","parse-names":false,"suffix":""}],"container-title":"Diabetes Care","id":"ITEM-1","issue":"6","issued":{"date-parts":[["2013","6"]]},"page":"1660-1666","publisher":"American Diabetes Association","title":"Measurement of waist circumference: Midabdominal or iliac crest?","type":"article-journal","volume":"36"},"uris":["http://www.mendeley.com/documents/?uuid=2b0b046a-0987-3cd5-ae41-39c5d0130268"]}],"mendeley":{"formattedCitation":"(Ma &lt;i&gt;et al.&lt;/i&gt;, 2013)","plainTextFormattedCitation":"(Ma et al., 2013)","previouslyFormattedCitation":"(Ma &lt;i&gt;et al.&lt;/i&gt;, 2013)"},"properties":{"noteIndex":0},"schema":"https://github.com/citation-style-language/schema/raw/master/csl-citation.json"}</w:instrText>
      </w:r>
      <w:r w:rsidRPr="0035519F">
        <w:fldChar w:fldCharType="separate"/>
      </w:r>
      <w:r w:rsidR="00D11F03" w:rsidRPr="0035519F">
        <w:rPr>
          <w:noProof/>
        </w:rPr>
        <w:t xml:space="preserve">(Ma </w:t>
      </w:r>
      <w:r w:rsidR="00D11F03" w:rsidRPr="0035519F">
        <w:rPr>
          <w:i/>
          <w:noProof/>
        </w:rPr>
        <w:t>et al.</w:t>
      </w:r>
      <w:r w:rsidR="00D11F03" w:rsidRPr="0035519F">
        <w:rPr>
          <w:noProof/>
        </w:rPr>
        <w:t>, 2013)</w:t>
      </w:r>
      <w:r w:rsidRPr="0035519F">
        <w:fldChar w:fldCharType="end"/>
      </w:r>
      <w:r w:rsidR="0003017A" w:rsidRPr="0035519F">
        <w:t>.</w:t>
      </w:r>
      <w:r w:rsidRPr="0035519F">
        <w:t xml:space="preserve"> </w:t>
      </w:r>
    </w:p>
    <w:p w14:paraId="4C2C0114" w14:textId="77777777" w:rsidR="004351B4" w:rsidRPr="0035519F" w:rsidRDefault="00642002" w:rsidP="004351B4">
      <w:pPr>
        <w:pStyle w:val="BodyText"/>
        <w:spacing w:before="5" w:line="480" w:lineRule="auto"/>
        <w:ind w:left="709" w:right="3" w:firstLine="425"/>
        <w:jc w:val="both"/>
      </w:pPr>
      <w:r w:rsidRPr="0035519F">
        <w:t xml:space="preserve"> </w:t>
      </w:r>
      <w:r w:rsidR="0003017A" w:rsidRPr="0035519F">
        <w:t>Hasil pengu</w:t>
      </w:r>
      <w:r w:rsidR="00314B4E" w:rsidRPr="0035519F">
        <w:t xml:space="preserve">kuran lingkar pinggang menurut etnis </w:t>
      </w:r>
      <w:r w:rsidR="0003017A" w:rsidRPr="0035519F">
        <w:t>yang digunakan dalam</w:t>
      </w:r>
      <w:r w:rsidR="00314B4E" w:rsidRPr="0035519F">
        <w:t xml:space="preserve"> </w:t>
      </w:r>
      <w:r w:rsidR="0003017A" w:rsidRPr="0035519F">
        <w:t>meng</w:t>
      </w:r>
      <w:r w:rsidR="00314B4E" w:rsidRPr="0035519F">
        <w:t>identifikasi orang dewasa dengan peningkatan risiko CVD telah dikembangkan. Kisaran ukuran lingkar pinggang</w:t>
      </w:r>
      <w:r w:rsidR="0003017A" w:rsidRPr="0035519F">
        <w:t xml:space="preserve"> dengan</w:t>
      </w:r>
      <w:r w:rsidR="00314B4E" w:rsidRPr="0035519F">
        <w:t xml:space="preserve"> risiko tinggi untuk pria dewasa </w:t>
      </w:r>
      <w:r w:rsidR="0003017A" w:rsidRPr="0035519F">
        <w:t xml:space="preserve">adalah </w:t>
      </w:r>
      <w:r w:rsidR="00314B4E" w:rsidRPr="0035519F">
        <w:t>(80-98 cm) dan wanita (80-96 cm</w:t>
      </w:r>
      <w:r w:rsidR="0003017A" w:rsidRPr="0035519F">
        <w:t>) sangat bervariasi antar etnis.</w:t>
      </w:r>
      <w:r w:rsidR="00314B4E" w:rsidRPr="0035519F">
        <w:t xml:space="preserve"> </w:t>
      </w:r>
      <w:r w:rsidR="0003017A" w:rsidRPr="0035519F">
        <w:t>Hal ini kembali</w:t>
      </w:r>
      <w:r w:rsidR="00314B4E" w:rsidRPr="0035519F">
        <w:t xml:space="preserve"> menegaskan perlunya nilai lingkar pinggang </w:t>
      </w:r>
      <w:r w:rsidR="0003017A" w:rsidRPr="0035519F">
        <w:t xml:space="preserve">yang lebih </w:t>
      </w:r>
      <w:r w:rsidR="00314B4E" w:rsidRPr="0035519F">
        <w:t>spesifik</w:t>
      </w:r>
      <w:r w:rsidR="0003017A" w:rsidRPr="0035519F">
        <w:t xml:space="preserve"> menurut etnis</w:t>
      </w:r>
      <w:r w:rsidR="006834A5" w:rsidRPr="0035519F">
        <w:t xml:space="preserve"> (Tabel 2)</w:t>
      </w:r>
      <w:r w:rsidR="003E6681" w:rsidRPr="0035519F">
        <w:t xml:space="preserve"> </w:t>
      </w:r>
      <w:r w:rsidR="00314B4E" w:rsidRPr="0035519F">
        <w:fldChar w:fldCharType="begin" w:fldLock="1"/>
      </w:r>
      <w:r w:rsidR="00D11F03" w:rsidRPr="0035519F">
        <w:instrText>ADDIN CSL_CITATION {"citationItems":[{"id":"ITEM-1","itemData":{"DOI":"10.1038/s41574-019-0310-7","ISSN":"17595037","PMID":"32020062","abstract":"Despite decades of unequivocal evidence that waist circumference provides both independent and additive information to BMI for predicting morbidity and risk of death, this measurement is not routinely obtained in clinical practice. This Consensus Statement proposes that measurements of waist circumference afford practitioners with an important opportunity to improve the management and health of patients. We argue that BMI alone is not sufficient to properly assess or manage the cardiometabolic risk associated with increased adiposity in adults and provide a thorough review of the evidence that will empower health practitioners and professional societies to routinely include waist circumference in the evaluation and management of patients with overweight or obesity. We recommend that decreases in waist circumference are a critically important treatment target for reducing adverse health risks for both men and women. Moreover, we describe evidence that clinically relevant reductions in waist circumference can be achieved by routine, moderate-intensity exercise and/or dietary interventions. We identify gaps in the knowledge, including the refinement of waist circumference threshold values for a given BMI category, to optimize obesity risk stratification across age, sex and ethnicity. We recommend that health professionals are trained to properly perform this simple measurement and consider it as an important ‘vital sign’ in clinical practice.","author":[{"dropping-particle":"","family":"Ross","given":"Robert","non-dropping-particle":"","parse-names":false,"suffix":""},{"dropping-particle":"","family":"Neeland","given":"Ian J.","non-dropping-particle":"","parse-names":false,"suffix":""},{"dropping-particle":"","family":"Yamashita","given":"Shizuya","non-dropping-particle":"","parse-names":false,"suffix":""},{"dropping-particle":"","family":"Shai","given":"Iris","non-dropping-particle":"","parse-names":false,"suffix":""},{"dropping-particle":"","family":"Seidell","given":"Jaap","non-dropping-particle":"","parse-names":false,"suffix":""},{"dropping-particle":"","family":"Magni","given":"Paolo","non-dropping-particle":"","parse-names":false,"suffix":""},{"dropping-particle":"","family":"Santos","given":"Raul D.","non-dropping-particle":"","parse-names":false,"suffix":""},{"dropping-particle":"","family":"Arsenault","given":"Benoit","non-dropping-particle":"","parse-names":false,"suffix":""},{"dropping-particle":"","family":"Cuevas","given":"Ada","non-dropping-particle":"","parse-names":false,"suffix":""},{"dropping-particle":"","family":"Hu","given":"Frank B.","non-dropping-particle":"","parse-names":false,"suffix":""},{"dropping-particle":"","family":"Griffin","given":"Bruce A.","non-dropping-particle":"","parse-names":false,"suffix":""},{"dropping-particle":"","family":"Zambon","given":"Alberto","non-dropping-particle":"","parse-names":false,"suffix":""},{"dropping-particle":"","family":"Barter","given":"Philip","non-dropping-particle":"","parse-names":false,"suffix":""},{"dropping-particle":"","family":"Fruchart","given":"Jean Charles","non-dropping-particle":"","parse-names":false,"suffix":""},{"dropping-particle":"","family":"Eckel","given":"Robert H.","non-dropping-particle":"","parse-names":false,"suffix":""},{"dropping-particle":"","family":"Matsuzawa","given":"Yuji","non-dropping-particle":"","parse-names":false,"suffix":""},{"dropping-particle":"","family":"Després","given":"Jean Pierre","non-dropping-particle":"","parse-names":false,"suffix":""}],"container-title":"Nature Reviews Endocrinology","id":"ITEM-1","issue":"3","issued":{"date-parts":[["2020","2","4"]]},"page":"177-189","publisher":"Nature Publishing Group","title":"Waist circumference as a vital sign in clinical practice: a Consensus Statement from the IAS and ICCR Working Group on Visceral Obesity","type":"article-journal","volume":"16"},"uris":["http://www.mendeley.com/documents/?uuid=b5dac89d-11ab-3545-8f73-93c21f7d0257"]}],"mendeley":{"formattedCitation":"(Ross &lt;i&gt;et al.&lt;/i&gt;, 2020)","plainTextFormattedCitation":"(Ross et al., 2020)","previouslyFormattedCitation":"(Ross &lt;i&gt;et al.&lt;/i&gt;, 2020)"},"properties":{"noteIndex":0},"schema":"https://github.com/citation-style-language/schema/raw/master/csl-citation.json"}</w:instrText>
      </w:r>
      <w:r w:rsidR="00314B4E" w:rsidRPr="0035519F">
        <w:fldChar w:fldCharType="separate"/>
      </w:r>
      <w:r w:rsidR="00D11F03" w:rsidRPr="0035519F">
        <w:rPr>
          <w:noProof/>
        </w:rPr>
        <w:t xml:space="preserve">(Ross </w:t>
      </w:r>
      <w:r w:rsidR="00D11F03" w:rsidRPr="0035519F">
        <w:rPr>
          <w:i/>
          <w:noProof/>
        </w:rPr>
        <w:t>et al.</w:t>
      </w:r>
      <w:r w:rsidR="00D11F03" w:rsidRPr="0035519F">
        <w:rPr>
          <w:noProof/>
        </w:rPr>
        <w:t>, 2020)</w:t>
      </w:r>
      <w:r w:rsidR="00314B4E" w:rsidRPr="0035519F">
        <w:fldChar w:fldCharType="end"/>
      </w:r>
      <w:r w:rsidR="0003017A" w:rsidRPr="0035519F">
        <w:t>. Secara umum k</w:t>
      </w:r>
      <w:r w:rsidR="00314B4E" w:rsidRPr="0035519F">
        <w:t>arakteristik</w:t>
      </w:r>
      <w:r w:rsidR="0003017A" w:rsidRPr="0035519F">
        <w:t xml:space="preserve"> </w:t>
      </w:r>
      <w:r w:rsidR="00314B4E" w:rsidRPr="0035519F">
        <w:t xml:space="preserve">orang Asia adalah kecil dan kurus serta memiliki persentasi lemak tubuh lebih banyak dibandingkan etnis Kaukasia dengan IMT yang sama, </w:t>
      </w:r>
      <w:r w:rsidR="0003017A" w:rsidRPr="0035519F">
        <w:t>WHR</w:t>
      </w:r>
      <w:r w:rsidR="00314B4E" w:rsidRPr="0035519F">
        <w:t xml:space="preserve"> lebih besar dan </w:t>
      </w:r>
      <w:r w:rsidR="0003017A" w:rsidRPr="0035519F">
        <w:t xml:space="preserve">memiliki </w:t>
      </w:r>
      <w:r w:rsidR="00314B4E" w:rsidRPr="0035519F">
        <w:t xml:space="preserve">kecenderungan distribusi lemak tubuh </w:t>
      </w:r>
      <w:r w:rsidR="0003017A" w:rsidRPr="0035519F">
        <w:t xml:space="preserve">secara </w:t>
      </w:r>
      <w:r w:rsidR="00314B4E" w:rsidRPr="0035519F">
        <w:t>sentral</w:t>
      </w:r>
      <w:r w:rsidR="003E6681" w:rsidRPr="0035519F">
        <w:t xml:space="preserve"> </w:t>
      </w:r>
      <w:r w:rsidR="00314B4E" w:rsidRPr="0035519F">
        <w:fldChar w:fldCharType="begin" w:fldLock="1"/>
      </w:r>
      <w:r w:rsidR="00A364B3" w:rsidRPr="0035519F">
        <w:instrText>ADDIN CSL_CITATION {"citationItems":[{"id":"ITEM-1","itemData":{"author":[{"dropping-particle":"","family":"Suwitra","given":"Ketut","non-dropping-particle":"","parse-names":false,"suffix":""}],"chapter-number":"310","container-title":"Buku Ajar Ilmu Penyakit Dalam","edition":"6","editor":[{"dropping-particle":"","family":"Sudoyo","given":"Aru W","non-dropping-particle":"","parse-names":false,"suffix":""},{"dropping-particle":"","family":"Setiyohadi","given":"Bambang","non-dropping-particle":"","parse-names":false,"suffix":""},{"dropping-particle":"","family":"Alwi","given":"Idrus","non-dropping-particle":"","parse-names":false,"suffix":""},{"dropping-particle":"","family":"Simadibrata","given":"Marcellus","non-dropping-particle":"","parse-names":false,"suffix":""},{"dropping-particle":"","family":"Setiati","given":"Siti","non-dropping-particle":"","parse-names":false,"suffix":""}],"id":"ITEM-1","issued":{"date-parts":[["2014"]]},"page":"1973-1983","publisher":"Interna Publishing","publisher-place":"Jakarta","title":"Penyakit Ginjal Kronik","type":"chapter"},"uris":["http://www.mendeley.com/documents/?uuid=7ffc0944-aa84-4fcf-b68e-6a37f88341a3","http://www.mendeley.com/documents/?uuid=1fb8e845-ebd3-4a11-adc1-edfe40089742"]}],"mendeley":{"formattedCitation":"(Suwitra, 2014)","plainTextFormattedCitation":"(Suwitra, 2014)","previouslyFormattedCitation":"(Suwitra, 2014)"},"properties":{"noteIndex":0},"schema":"https://github.com/citation-style-language/schema/raw/master/csl-citation.json"}</w:instrText>
      </w:r>
      <w:r w:rsidR="00314B4E" w:rsidRPr="0035519F">
        <w:fldChar w:fldCharType="separate"/>
      </w:r>
      <w:r w:rsidR="00BA51F5" w:rsidRPr="0035519F">
        <w:rPr>
          <w:noProof/>
        </w:rPr>
        <w:t>(Suwitra, 2014)</w:t>
      </w:r>
      <w:r w:rsidR="00314B4E" w:rsidRPr="0035519F">
        <w:fldChar w:fldCharType="end"/>
      </w:r>
      <w:r w:rsidR="0003017A" w:rsidRPr="0035519F">
        <w:t>.</w:t>
      </w:r>
    </w:p>
    <w:p w14:paraId="4A81FF4A" w14:textId="36A903FE" w:rsidR="006834A5" w:rsidRPr="0035519F" w:rsidRDefault="00611B87" w:rsidP="00611B87">
      <w:pPr>
        <w:pStyle w:val="Caption"/>
        <w:ind w:left="720"/>
        <w:rPr>
          <w:rFonts w:ascii="Arial" w:hAnsi="Arial" w:cs="Arial"/>
          <w:i w:val="0"/>
          <w:color w:val="auto"/>
          <w:sz w:val="24"/>
          <w:szCs w:val="24"/>
        </w:rPr>
      </w:pPr>
      <w:bookmarkStart w:id="39" w:name="_Toc72145878"/>
      <w:bookmarkStart w:id="40" w:name="_Toc73825304"/>
      <w:bookmarkStart w:id="41" w:name="_Toc111873674"/>
      <w:r w:rsidRPr="0035519F">
        <w:rPr>
          <w:rFonts w:ascii="Arial" w:hAnsi="Arial" w:cs="Arial"/>
          <w:i w:val="0"/>
          <w:color w:val="auto"/>
          <w:sz w:val="24"/>
          <w:szCs w:val="24"/>
        </w:rPr>
        <w:t xml:space="preserve">Tabel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Tabel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2</w:t>
      </w:r>
      <w:r w:rsidRPr="0035519F">
        <w:rPr>
          <w:rFonts w:ascii="Arial" w:hAnsi="Arial" w:cs="Arial"/>
          <w:i w:val="0"/>
          <w:color w:val="auto"/>
          <w:sz w:val="24"/>
          <w:szCs w:val="24"/>
        </w:rPr>
        <w:fldChar w:fldCharType="end"/>
      </w:r>
      <w:r w:rsidRPr="0035519F">
        <w:rPr>
          <w:rFonts w:ascii="Arial" w:hAnsi="Arial" w:cs="Arial"/>
          <w:i w:val="0"/>
          <w:color w:val="auto"/>
          <w:sz w:val="24"/>
          <w:szCs w:val="24"/>
        </w:rPr>
        <w:t xml:space="preserve">. </w:t>
      </w:r>
      <w:r w:rsidR="006834A5" w:rsidRPr="0035519F">
        <w:rPr>
          <w:rFonts w:ascii="Arial" w:hAnsi="Arial" w:cs="Arial"/>
          <w:color w:val="auto"/>
          <w:sz w:val="24"/>
          <w:szCs w:val="24"/>
        </w:rPr>
        <w:t>Cut-off</w:t>
      </w:r>
      <w:r w:rsidR="006834A5" w:rsidRPr="0035519F">
        <w:rPr>
          <w:rFonts w:ascii="Arial" w:hAnsi="Arial" w:cs="Arial"/>
          <w:i w:val="0"/>
          <w:color w:val="auto"/>
          <w:sz w:val="24"/>
          <w:szCs w:val="24"/>
        </w:rPr>
        <w:t xml:space="preserve"> lingkar pinggang untuk kelompok etnis berbeda berdasarkan rekomendasi IDF</w:t>
      </w:r>
      <w:bookmarkEnd w:id="39"/>
      <w:bookmarkEnd w:id="40"/>
      <w:bookmarkEnd w:id="41"/>
    </w:p>
    <w:tbl>
      <w:tblPr>
        <w:tblW w:w="7229" w:type="dxa"/>
        <w:tblInd w:w="709" w:type="dxa"/>
        <w:tblLayout w:type="fixed"/>
        <w:tblCellMar>
          <w:left w:w="0" w:type="dxa"/>
          <w:right w:w="0" w:type="dxa"/>
        </w:tblCellMar>
        <w:tblLook w:val="01E0" w:firstRow="1" w:lastRow="1" w:firstColumn="1" w:lastColumn="1" w:noHBand="0" w:noVBand="0"/>
      </w:tblPr>
      <w:tblGrid>
        <w:gridCol w:w="3868"/>
        <w:gridCol w:w="1675"/>
        <w:gridCol w:w="1686"/>
      </w:tblGrid>
      <w:tr w:rsidR="00117F69" w:rsidRPr="0035519F" w14:paraId="2403DDD9" w14:textId="77777777" w:rsidTr="005B640F">
        <w:trPr>
          <w:trHeight w:val="275"/>
        </w:trPr>
        <w:tc>
          <w:tcPr>
            <w:tcW w:w="3868" w:type="dxa"/>
            <w:tcBorders>
              <w:top w:val="single" w:sz="4" w:space="0" w:color="auto"/>
            </w:tcBorders>
          </w:tcPr>
          <w:p w14:paraId="782B90B9" w14:textId="77777777" w:rsidR="006834A5" w:rsidRPr="0035519F" w:rsidRDefault="006834A5" w:rsidP="00A00813">
            <w:pPr>
              <w:pStyle w:val="TableParagraph"/>
              <w:spacing w:line="360" w:lineRule="auto"/>
              <w:ind w:left="1511" w:right="1395"/>
              <w:jc w:val="center"/>
              <w:rPr>
                <w:rFonts w:cs="Arial"/>
                <w:sz w:val="24"/>
                <w:szCs w:val="24"/>
              </w:rPr>
            </w:pPr>
            <w:r w:rsidRPr="0035519F">
              <w:rPr>
                <w:rFonts w:cs="Arial"/>
                <w:sz w:val="24"/>
                <w:szCs w:val="24"/>
              </w:rPr>
              <w:t>Populasi</w:t>
            </w:r>
          </w:p>
        </w:tc>
        <w:tc>
          <w:tcPr>
            <w:tcW w:w="1675" w:type="dxa"/>
            <w:tcBorders>
              <w:top w:val="single" w:sz="4" w:space="0" w:color="auto"/>
            </w:tcBorders>
          </w:tcPr>
          <w:p w14:paraId="3A5BF70D" w14:textId="77777777" w:rsidR="006834A5" w:rsidRPr="0035519F" w:rsidRDefault="006834A5" w:rsidP="00A00813">
            <w:pPr>
              <w:pStyle w:val="TableParagraph"/>
              <w:spacing w:line="360" w:lineRule="auto"/>
              <w:ind w:left="436" w:right="338"/>
              <w:jc w:val="center"/>
              <w:rPr>
                <w:rFonts w:cs="Arial"/>
                <w:sz w:val="24"/>
                <w:szCs w:val="24"/>
              </w:rPr>
            </w:pPr>
            <w:r w:rsidRPr="0035519F">
              <w:rPr>
                <w:rFonts w:cs="Arial"/>
                <w:sz w:val="24"/>
                <w:szCs w:val="24"/>
              </w:rPr>
              <w:t>Pria</w:t>
            </w:r>
          </w:p>
        </w:tc>
        <w:tc>
          <w:tcPr>
            <w:tcW w:w="1686" w:type="dxa"/>
            <w:tcBorders>
              <w:top w:val="single" w:sz="4" w:space="0" w:color="auto"/>
            </w:tcBorders>
          </w:tcPr>
          <w:p w14:paraId="752192A6" w14:textId="77777777" w:rsidR="006834A5" w:rsidRPr="0035519F" w:rsidRDefault="006834A5" w:rsidP="00A00813">
            <w:pPr>
              <w:pStyle w:val="TableParagraph"/>
              <w:spacing w:line="360" w:lineRule="auto"/>
              <w:ind w:left="309" w:right="315"/>
              <w:jc w:val="center"/>
              <w:rPr>
                <w:rFonts w:cs="Arial"/>
                <w:sz w:val="24"/>
                <w:szCs w:val="24"/>
              </w:rPr>
            </w:pPr>
            <w:r w:rsidRPr="0035519F">
              <w:rPr>
                <w:rFonts w:cs="Arial"/>
                <w:sz w:val="24"/>
                <w:szCs w:val="24"/>
              </w:rPr>
              <w:t>Wanita</w:t>
            </w:r>
          </w:p>
        </w:tc>
      </w:tr>
      <w:tr w:rsidR="00117F69" w:rsidRPr="0035519F" w14:paraId="028B83E1" w14:textId="77777777" w:rsidTr="00A00813">
        <w:trPr>
          <w:trHeight w:val="280"/>
        </w:trPr>
        <w:tc>
          <w:tcPr>
            <w:tcW w:w="3868" w:type="dxa"/>
            <w:tcBorders>
              <w:top w:val="single" w:sz="4" w:space="0" w:color="000000"/>
            </w:tcBorders>
          </w:tcPr>
          <w:p w14:paraId="436284E8" w14:textId="77777777" w:rsidR="006834A5" w:rsidRPr="0035519F" w:rsidRDefault="006834A5" w:rsidP="00A00813">
            <w:pPr>
              <w:pStyle w:val="TableParagraph"/>
              <w:spacing w:line="480" w:lineRule="auto"/>
              <w:ind w:left="115"/>
              <w:rPr>
                <w:rFonts w:cs="Arial"/>
                <w:sz w:val="24"/>
                <w:szCs w:val="24"/>
              </w:rPr>
            </w:pPr>
            <w:r w:rsidRPr="0035519F">
              <w:rPr>
                <w:rFonts w:cs="Arial"/>
                <w:sz w:val="24"/>
                <w:szCs w:val="24"/>
              </w:rPr>
              <w:t>Eropa</w:t>
            </w:r>
          </w:p>
        </w:tc>
        <w:tc>
          <w:tcPr>
            <w:tcW w:w="1675" w:type="dxa"/>
            <w:tcBorders>
              <w:top w:val="single" w:sz="4" w:space="0" w:color="000000"/>
            </w:tcBorders>
          </w:tcPr>
          <w:p w14:paraId="35917F2A" w14:textId="77777777" w:rsidR="006834A5" w:rsidRPr="0035519F" w:rsidRDefault="006834A5" w:rsidP="00A00813">
            <w:pPr>
              <w:pStyle w:val="TableParagraph"/>
              <w:spacing w:line="480" w:lineRule="auto"/>
              <w:ind w:left="436" w:right="339"/>
              <w:jc w:val="center"/>
              <w:rPr>
                <w:rFonts w:cs="Arial"/>
                <w:sz w:val="24"/>
                <w:szCs w:val="24"/>
              </w:rPr>
            </w:pPr>
            <w:r w:rsidRPr="0035519F">
              <w:rPr>
                <w:rFonts w:cs="Arial"/>
                <w:sz w:val="24"/>
                <w:szCs w:val="24"/>
              </w:rPr>
              <w:t>&gt;</w:t>
            </w:r>
            <w:r w:rsidRPr="0035519F">
              <w:rPr>
                <w:rFonts w:cs="Arial"/>
                <w:spacing w:val="-1"/>
                <w:sz w:val="24"/>
                <w:szCs w:val="24"/>
              </w:rPr>
              <w:t xml:space="preserve"> </w:t>
            </w:r>
            <w:r w:rsidRPr="0035519F">
              <w:rPr>
                <w:rFonts w:cs="Arial"/>
                <w:sz w:val="24"/>
                <w:szCs w:val="24"/>
              </w:rPr>
              <w:t>94 cm</w:t>
            </w:r>
          </w:p>
        </w:tc>
        <w:tc>
          <w:tcPr>
            <w:tcW w:w="1686" w:type="dxa"/>
            <w:tcBorders>
              <w:top w:val="single" w:sz="4" w:space="0" w:color="000000"/>
            </w:tcBorders>
          </w:tcPr>
          <w:p w14:paraId="29C841A8" w14:textId="77777777" w:rsidR="006834A5" w:rsidRPr="0035519F" w:rsidRDefault="006834A5" w:rsidP="00A00813">
            <w:pPr>
              <w:pStyle w:val="TableParagraph"/>
              <w:spacing w:line="480" w:lineRule="auto"/>
              <w:ind w:left="337" w:right="315"/>
              <w:jc w:val="center"/>
              <w:rPr>
                <w:rFonts w:cs="Arial"/>
                <w:sz w:val="24"/>
                <w:szCs w:val="24"/>
              </w:rPr>
            </w:pPr>
            <w:r w:rsidRPr="0035519F">
              <w:rPr>
                <w:rFonts w:cs="Arial"/>
                <w:sz w:val="24"/>
                <w:szCs w:val="24"/>
              </w:rPr>
              <w:t>&gt;</w:t>
            </w:r>
            <w:r w:rsidRPr="0035519F">
              <w:rPr>
                <w:rFonts w:cs="Arial"/>
                <w:spacing w:val="-1"/>
                <w:sz w:val="24"/>
                <w:szCs w:val="24"/>
              </w:rPr>
              <w:t xml:space="preserve"> </w:t>
            </w:r>
            <w:r w:rsidRPr="0035519F">
              <w:rPr>
                <w:rFonts w:cs="Arial"/>
                <w:sz w:val="24"/>
                <w:szCs w:val="24"/>
              </w:rPr>
              <w:t>80 cm</w:t>
            </w:r>
          </w:p>
        </w:tc>
      </w:tr>
      <w:tr w:rsidR="00117F69" w:rsidRPr="0035519F" w14:paraId="2BCF0E7E" w14:textId="77777777" w:rsidTr="005B640F">
        <w:trPr>
          <w:trHeight w:val="273"/>
        </w:trPr>
        <w:tc>
          <w:tcPr>
            <w:tcW w:w="3868" w:type="dxa"/>
            <w:tcBorders>
              <w:bottom w:val="single" w:sz="4" w:space="0" w:color="auto"/>
            </w:tcBorders>
          </w:tcPr>
          <w:p w14:paraId="3D4F0AE8" w14:textId="77777777" w:rsidR="006834A5" w:rsidRPr="0035519F" w:rsidRDefault="006834A5" w:rsidP="00A00813">
            <w:pPr>
              <w:pStyle w:val="TableParagraph"/>
              <w:spacing w:line="480" w:lineRule="auto"/>
              <w:ind w:left="115"/>
              <w:rPr>
                <w:rFonts w:cs="Arial"/>
                <w:sz w:val="24"/>
                <w:szCs w:val="24"/>
              </w:rPr>
            </w:pPr>
            <w:r w:rsidRPr="0035519F">
              <w:rPr>
                <w:rFonts w:cs="Arial"/>
                <w:sz w:val="24"/>
                <w:szCs w:val="24"/>
              </w:rPr>
              <w:t>Asia</w:t>
            </w:r>
            <w:r w:rsidRPr="0035519F">
              <w:rPr>
                <w:rFonts w:cs="Arial"/>
                <w:spacing w:val="-2"/>
                <w:sz w:val="24"/>
                <w:szCs w:val="24"/>
              </w:rPr>
              <w:t xml:space="preserve"> </w:t>
            </w:r>
            <w:r w:rsidRPr="0035519F">
              <w:rPr>
                <w:rFonts w:cs="Arial"/>
                <w:sz w:val="24"/>
                <w:szCs w:val="24"/>
              </w:rPr>
              <w:t>Selatan,</w:t>
            </w:r>
            <w:r w:rsidRPr="0035519F">
              <w:rPr>
                <w:rFonts w:cs="Arial"/>
                <w:spacing w:val="-2"/>
                <w:sz w:val="24"/>
                <w:szCs w:val="24"/>
              </w:rPr>
              <w:t xml:space="preserve"> </w:t>
            </w:r>
            <w:r w:rsidRPr="0035519F">
              <w:rPr>
                <w:rFonts w:cs="Arial"/>
                <w:sz w:val="24"/>
                <w:szCs w:val="24"/>
              </w:rPr>
              <w:t>Cina</w:t>
            </w:r>
            <w:r w:rsidRPr="0035519F">
              <w:rPr>
                <w:rFonts w:cs="Arial"/>
                <w:spacing w:val="-4"/>
                <w:sz w:val="24"/>
                <w:szCs w:val="24"/>
              </w:rPr>
              <w:t xml:space="preserve"> </w:t>
            </w:r>
            <w:r w:rsidRPr="0035519F">
              <w:rPr>
                <w:rFonts w:cs="Arial"/>
                <w:sz w:val="24"/>
                <w:szCs w:val="24"/>
              </w:rPr>
              <w:t>dan Jepang</w:t>
            </w:r>
          </w:p>
        </w:tc>
        <w:tc>
          <w:tcPr>
            <w:tcW w:w="1675" w:type="dxa"/>
            <w:tcBorders>
              <w:bottom w:val="single" w:sz="4" w:space="0" w:color="auto"/>
            </w:tcBorders>
          </w:tcPr>
          <w:p w14:paraId="1C623AA8" w14:textId="77777777" w:rsidR="006834A5" w:rsidRPr="0035519F" w:rsidRDefault="006834A5" w:rsidP="00A00813">
            <w:pPr>
              <w:pStyle w:val="TableParagraph"/>
              <w:spacing w:line="480" w:lineRule="auto"/>
              <w:ind w:left="436" w:right="339"/>
              <w:jc w:val="center"/>
              <w:rPr>
                <w:rFonts w:cs="Arial"/>
                <w:sz w:val="24"/>
                <w:szCs w:val="24"/>
              </w:rPr>
            </w:pPr>
            <w:r w:rsidRPr="0035519F">
              <w:rPr>
                <w:rFonts w:cs="Arial"/>
                <w:sz w:val="24"/>
                <w:szCs w:val="24"/>
              </w:rPr>
              <w:t>&gt;</w:t>
            </w:r>
            <w:r w:rsidRPr="0035519F">
              <w:rPr>
                <w:rFonts w:cs="Arial"/>
                <w:spacing w:val="-1"/>
                <w:sz w:val="24"/>
                <w:szCs w:val="24"/>
              </w:rPr>
              <w:t xml:space="preserve"> </w:t>
            </w:r>
            <w:r w:rsidRPr="0035519F">
              <w:rPr>
                <w:rFonts w:cs="Arial"/>
                <w:sz w:val="24"/>
                <w:szCs w:val="24"/>
              </w:rPr>
              <w:t>90 cm</w:t>
            </w:r>
          </w:p>
        </w:tc>
        <w:tc>
          <w:tcPr>
            <w:tcW w:w="1686" w:type="dxa"/>
            <w:tcBorders>
              <w:bottom w:val="single" w:sz="4" w:space="0" w:color="auto"/>
            </w:tcBorders>
          </w:tcPr>
          <w:p w14:paraId="7F70F760" w14:textId="77777777" w:rsidR="006834A5" w:rsidRPr="0035519F" w:rsidRDefault="006834A5" w:rsidP="00A00813">
            <w:pPr>
              <w:pStyle w:val="TableParagraph"/>
              <w:spacing w:line="480" w:lineRule="auto"/>
              <w:ind w:left="337" w:right="315"/>
              <w:jc w:val="center"/>
              <w:rPr>
                <w:rFonts w:cs="Arial"/>
                <w:sz w:val="24"/>
                <w:szCs w:val="24"/>
              </w:rPr>
            </w:pPr>
            <w:r w:rsidRPr="0035519F">
              <w:rPr>
                <w:rFonts w:cs="Arial"/>
                <w:sz w:val="24"/>
                <w:szCs w:val="24"/>
              </w:rPr>
              <w:t>&gt;</w:t>
            </w:r>
            <w:r w:rsidRPr="0035519F">
              <w:rPr>
                <w:rFonts w:cs="Arial"/>
                <w:spacing w:val="-1"/>
                <w:sz w:val="24"/>
                <w:szCs w:val="24"/>
              </w:rPr>
              <w:t xml:space="preserve"> </w:t>
            </w:r>
            <w:r w:rsidRPr="0035519F">
              <w:rPr>
                <w:rFonts w:cs="Arial"/>
                <w:sz w:val="24"/>
                <w:szCs w:val="24"/>
              </w:rPr>
              <w:t>80 cm</w:t>
            </w:r>
          </w:p>
        </w:tc>
      </w:tr>
    </w:tbl>
    <w:p w14:paraId="416BD1EA" w14:textId="77777777" w:rsidR="006834A5" w:rsidRPr="0035519F" w:rsidRDefault="006834A5" w:rsidP="006834A5">
      <w:pPr>
        <w:spacing w:after="0" w:line="480" w:lineRule="auto"/>
        <w:ind w:left="1843" w:right="284" w:hanging="992"/>
        <w:rPr>
          <w:rFonts w:ascii="Arial" w:hAnsi="Arial" w:cs="Arial"/>
          <w:sz w:val="24"/>
          <w:szCs w:val="24"/>
        </w:rPr>
      </w:pPr>
      <w:r w:rsidRPr="0035519F">
        <w:rPr>
          <w:rFonts w:ascii="Arial" w:hAnsi="Arial" w:cs="Arial"/>
          <w:sz w:val="24"/>
          <w:szCs w:val="24"/>
        </w:rPr>
        <w:t xml:space="preserve">Sumber: </w:t>
      </w:r>
      <w:r w:rsidRPr="0035519F">
        <w:rPr>
          <w:rFonts w:ascii="Arial" w:hAnsi="Arial" w:cs="Arial"/>
          <w:sz w:val="24"/>
          <w:szCs w:val="24"/>
        </w:rPr>
        <w:fldChar w:fldCharType="begin" w:fldLock="1"/>
      </w:r>
      <w:r w:rsidR="003E6681" w:rsidRPr="0035519F">
        <w:rPr>
          <w:rFonts w:ascii="Arial" w:hAnsi="Arial" w:cs="Arial"/>
          <w:sz w:val="24"/>
          <w:szCs w:val="24"/>
        </w:rPr>
        <w:instrText>ADDIN CSL_CITATION {"citationItems":[{"id":"ITEM-1","itemData":{"ISBN":"9789241501491","abstract":"A World Health Organization (WHO) Expert Consultation on Waist Circumference (WC) and Waist-Hip Ratio (WHR) was convened in Geneva from 8 to 11 December 2008 to consider approaches to developing international guidelines for indices and action levels in order to characterize health risks associated with these measures of body fat distribution-alternative or complementary to the existing WHO guidelines for assessments of generalized obesity on the basis of body mass index. Six background papers prepared for the Consultation are compiled in this issue. These six papers examine a range of health outcomes and issues, including whether there is a basis for choosing WC over WHR and whether different action levels by gender, age, ethnicity, country or region are warranted. Although guidelines involving WC and WHR are potentially useful and clearly required, the challenges in identifying cutoffs for international guidelines should not be underestimated or oversimplified. The final report and outcomes of the Expert Consultation will be published by WHO.","author":[{"dropping-particle":"","family":"WHO","given":"","non-dropping-particle":"","parse-names":false,"suffix":""}],"id":"ITEM-1","issue":"1","issued":{"date-parts":[["2011"]]},"page":"8-11","title":"Waist Circumference and Waist–Hip Ratio: Report of a WHO Expert Consultation: Ginebra, 8-11, 2011","type":"article-journal"},"uris":["http://www.mendeley.com/documents/?uuid=6e2a1ea5-9178-4d78-b5ad-0234429503a7"]}],"mendeley":{"formattedCitation":"(WHO, 2011)","plainTextFormattedCitation":"(WHO, 2011)","previouslyFormattedCitation":"(WHO, 2011)"},"properties":{"noteIndex":0},"schema":"https://github.com/citation-style-language/schema/raw/master/csl-citation.json"}</w:instrText>
      </w:r>
      <w:r w:rsidRPr="0035519F">
        <w:rPr>
          <w:rFonts w:ascii="Arial" w:hAnsi="Arial" w:cs="Arial"/>
          <w:sz w:val="24"/>
          <w:szCs w:val="24"/>
        </w:rPr>
        <w:fldChar w:fldCharType="separate"/>
      </w:r>
      <w:r w:rsidR="003E6681" w:rsidRPr="0035519F">
        <w:rPr>
          <w:rFonts w:ascii="Arial" w:hAnsi="Arial" w:cs="Arial"/>
          <w:noProof/>
          <w:sz w:val="24"/>
          <w:szCs w:val="24"/>
        </w:rPr>
        <w:t>(WHO, 2011)</w:t>
      </w:r>
      <w:r w:rsidRPr="0035519F">
        <w:rPr>
          <w:rFonts w:ascii="Arial" w:hAnsi="Arial" w:cs="Arial"/>
          <w:sz w:val="24"/>
          <w:szCs w:val="24"/>
        </w:rPr>
        <w:fldChar w:fldCharType="end"/>
      </w:r>
    </w:p>
    <w:p w14:paraId="6060C530" w14:textId="77777777" w:rsidR="00BB5810" w:rsidRPr="0035519F" w:rsidRDefault="00BB5810" w:rsidP="006834A5">
      <w:pPr>
        <w:spacing w:after="0" w:line="480" w:lineRule="auto"/>
        <w:ind w:left="1843" w:right="284" w:hanging="992"/>
        <w:rPr>
          <w:rFonts w:ascii="Arial" w:hAnsi="Arial" w:cs="Arial"/>
          <w:sz w:val="20"/>
          <w:szCs w:val="20"/>
        </w:rPr>
      </w:pPr>
    </w:p>
    <w:p w14:paraId="7B79B1B4" w14:textId="77777777" w:rsidR="007757AB" w:rsidRPr="0035519F" w:rsidRDefault="007757AB" w:rsidP="007757AB">
      <w:pPr>
        <w:spacing w:after="0" w:line="480" w:lineRule="auto"/>
        <w:ind w:left="709" w:firstLine="425"/>
        <w:jc w:val="both"/>
      </w:pPr>
      <w:r w:rsidRPr="0035519F">
        <w:rPr>
          <w:rFonts w:ascii="Arial" w:hAnsi="Arial" w:cs="Arial"/>
          <w:sz w:val="24"/>
          <w:szCs w:val="24"/>
        </w:rPr>
        <w:t xml:space="preserve">Penelitian yang dilakukan oleh Kurniawan et al., 2018 dan 2020 di Makassar, didapatkan nilai </w:t>
      </w:r>
      <w:r w:rsidRPr="0035519F">
        <w:rPr>
          <w:rFonts w:ascii="Arial" w:hAnsi="Arial" w:cs="Arial"/>
          <w:i/>
          <w:sz w:val="24"/>
          <w:szCs w:val="24"/>
        </w:rPr>
        <w:t>cut-off</w:t>
      </w:r>
      <w:r w:rsidRPr="0035519F">
        <w:rPr>
          <w:rFonts w:ascii="Arial" w:hAnsi="Arial" w:cs="Arial"/>
          <w:sz w:val="24"/>
          <w:szCs w:val="24"/>
        </w:rPr>
        <w:t xml:space="preserve"> Lingkar pinggang pada pria dewasa muda dengan obesitas dan wanita dewasa muda dengan </w:t>
      </w:r>
      <w:r w:rsidRPr="0035519F">
        <w:rPr>
          <w:rFonts w:ascii="Arial" w:hAnsi="Arial" w:cs="Arial"/>
          <w:sz w:val="24"/>
          <w:szCs w:val="24"/>
        </w:rPr>
        <w:lastRenderedPageBreak/>
        <w:t>obesitas secara berturut-turut sebesar 91,5 cm dan 83,5 cm</w:t>
      </w:r>
      <w:r w:rsidR="0094174C" w:rsidRPr="0035519F">
        <w:rPr>
          <w:rFonts w:ascii="Arial" w:hAnsi="Arial" w:cs="Arial"/>
          <w:sz w:val="24"/>
          <w:szCs w:val="24"/>
        </w:rPr>
        <w:t>.</w:t>
      </w:r>
      <w:r w:rsidR="0094174C" w:rsidRPr="0035519F">
        <w:rPr>
          <w:rFonts w:ascii="Arial" w:hAnsi="Arial" w:cs="Arial"/>
          <w:sz w:val="24"/>
          <w:szCs w:val="24"/>
        </w:rPr>
        <w:fldChar w:fldCharType="begin" w:fldLock="1"/>
      </w:r>
      <w:r w:rsidR="003E6681" w:rsidRPr="0035519F">
        <w:rPr>
          <w:rFonts w:ascii="Arial" w:hAnsi="Arial" w:cs="Arial"/>
          <w:sz w:val="24"/>
          <w:szCs w:val="24"/>
        </w:rPr>
        <w:instrText>ADDIN CSL_CITATION {"citationItems":[{"id":"ITEM-1","itemData":{"DOI":"10.3390/JCM7050096","ISSN":"2077-0383","PMID":"29723977","abstract":"The incidence of obesity which leads to insulin resistance (IR) and metabolic disorder is increasing in developing countries, including Indonesia. Male adults have a higher risk of abdominal obesity than females. This is associated with cardiometabolic disorders. Several anthropometric measurements have been proposed to predict IR. The aim of this study was to investigate whether body mass, body mass index (BMI), waist circumference (WC), body fat percentage (BF) or visceral fat level (VF) could become a better predictor of IR in healthy young male adults. A total of 140 healthy young male adults ranging from 18–25 years were recruited in the study. Insulin resistance was measured by calculating their Homeostatic Model Assessment for Insulin Resistance (HOMA-IR). Subjects with a HOMA-IR value ≥75th percentile, with cut off 3.75, were defined as IR. Anthropometric measurements including body weight, BMI, and WC were performed, whereas BF and VC were measured using bioelectrical impedance analysis (BIA). IR had a strong correlation with body weight, BMI, WC, BF, and VF. In the area under the curve of body mass, BF and VF were slightly greater than WC and BMI. Anthropometric measurements correlated strongly with IR but body weight, BF, VF had a stronger correlation than WC and BMI in healthy young male adults.","author":[{"dropping-particle":"","family":"Kurniawan","given":"Liong Boy","non-dropping-particle":"","parse-names":false,"suffix":""},{"dropping-particle":"","family":"Bahrun","given":"Uleng","non-dropping-particle":"","parse-names":false,"suffix":""},{"dropping-particle":"","family":"Hatta","given":"Mochammad","non-dropping-particle":"","parse-names":false,"suffix":""},{"dropping-particle":"","family":"Arif","given":"Mansyur","non-dropping-particle":"","parse-names":false,"suffix":""}],"container-title":"Journal of clinical medicine","id":"ITEM-1","issue":"5","issued":{"date-parts":[["2018","5","1"]]},"publisher":"J Clin Med","title":"Body Mass, Total Body Fat Percentage, and Visceral Fat Level Predict Insulin Resistance Better Than Waist Circumference and Body Mass Index in Healthy Young Male Adults in Indonesia","type":"article-journal","volume":"7"},"uris":["http://www.mendeley.com/documents/?uuid=e9904de6-5c2f-3a39-bca7-35ffb8af8958"]},{"id":"ITEM-2","itemData":{"DOI":"10.2478/rjim-2020-0015","ISSN":"2501-062X","PMID":"32549128","abstract":"Introduction. The prevalence of obesity is increasing worldwide in high, low, and middle-income countries such as Indonesia. Obesity rate is higher in females in Indonesia. Obesity has important contribution in the occurrence of insulin resistance (IR) and type 2 diabetes mellitus. Several anthropometric measurements such as waist circumference (WC), body mass index (BMI), body mass (BM), total body fat percentage (Fat%) and visceral fat (VF) are related to IR. This study aimed to investigate which of those measurements could be used as a better predictor of IR in non-menopausal Indonesian adult females.","author":[{"dropping-particle":"","family":"Kurniawan","given":"Liong Boy","non-dropping-particle":"","parse-names":false,"suffix":""},{"dropping-particle":"","family":"Syamsir","given":"Bachtiar","non-dropping-particle":"","parse-names":false,"suffix":""},{"dropping-particle":"","family":"Rahman","given":"Ilham Akbar","non-dropping-particle":"","parse-names":false,"suffix":""},{"dropping-particle":"","family":"Adnan","given":"Endy","non-dropping-particle":"","parse-names":false,"suffix":""},{"dropping-particle":"","family":"Esa","given":"Tenri","non-dropping-particle":"","parse-names":false,"suffix":""},{"dropping-particle":"","family":"Widaningsih","given":"Yuyun","non-dropping-particle":"","parse-names":false,"suffix":""},{"dropping-particle":"","family":"Bahrun","given":"Uleng","non-dropping-particle":"","parse-names":false,"suffix":""},{"dropping-particle":"","family":"Arif","given":"Mansyur","non-dropping-particle":"","parse-names":false,"suffix":""}],"container-title":"Romanian Journal of Internal Medicine","id":"ITEM-2","issue":"3","issued":{"date-parts":[["2020","9"]]},"page":"168-172","title":"Anthropometric features in predicting insulin resistance among non-menopausal Indonesian adult females","type":"article-journal","volume":"58"},"uris":["http://www.mendeley.com/documents/?uuid=20086e65-bebf-4029-a5f6-9375c02f0798"]}],"mendeley":{"formattedCitation":"(L. B. Kurniawan &lt;i&gt;et al.&lt;/i&gt;, 2018; Kurniawan &lt;i&gt;et al.&lt;/i&gt;, 2020b)","manualFormatting":"(L. B. Kurniawan et al., 2018; Kurniawan et al., 2020)","plainTextFormattedCitation":"(L. B. Kurniawan et al., 2018; Kurniawan et al., 2020b)","previouslyFormattedCitation":"(L. B. Kurniawan &lt;i&gt;et al.&lt;/i&gt;, 2018; Kurniawan &lt;i&gt;et al.&lt;/i&gt;, 2020b)"},"properties":{"noteIndex":0},"schema":"https://github.com/citation-style-language/schema/raw/master/csl-citation.json"}</w:instrText>
      </w:r>
      <w:r w:rsidR="0094174C" w:rsidRPr="0035519F">
        <w:rPr>
          <w:rFonts w:ascii="Arial" w:hAnsi="Arial" w:cs="Arial"/>
          <w:sz w:val="24"/>
          <w:szCs w:val="24"/>
        </w:rPr>
        <w:fldChar w:fldCharType="separate"/>
      </w:r>
      <w:r w:rsidR="00D11F03" w:rsidRPr="0035519F">
        <w:rPr>
          <w:rFonts w:ascii="Arial" w:hAnsi="Arial" w:cs="Arial"/>
          <w:noProof/>
          <w:sz w:val="24"/>
          <w:szCs w:val="24"/>
        </w:rPr>
        <w:t xml:space="preserve">(L. B. Kurniawan </w:t>
      </w:r>
      <w:r w:rsidR="00D11F03" w:rsidRPr="0035519F">
        <w:rPr>
          <w:rFonts w:ascii="Arial" w:hAnsi="Arial" w:cs="Arial"/>
          <w:i/>
          <w:noProof/>
          <w:sz w:val="24"/>
          <w:szCs w:val="24"/>
        </w:rPr>
        <w:t>et al.</w:t>
      </w:r>
      <w:r w:rsidR="00D11F03" w:rsidRPr="0035519F">
        <w:rPr>
          <w:rFonts w:ascii="Arial" w:hAnsi="Arial" w:cs="Arial"/>
          <w:noProof/>
          <w:sz w:val="24"/>
          <w:szCs w:val="24"/>
        </w:rPr>
        <w:t xml:space="preserve">, 2018; Kurniawan </w:t>
      </w:r>
      <w:r w:rsidR="00D11F03" w:rsidRPr="0035519F">
        <w:rPr>
          <w:rFonts w:ascii="Arial" w:hAnsi="Arial" w:cs="Arial"/>
          <w:i/>
          <w:noProof/>
          <w:sz w:val="24"/>
          <w:szCs w:val="24"/>
        </w:rPr>
        <w:t>et al.</w:t>
      </w:r>
      <w:r w:rsidR="003E6681" w:rsidRPr="0035519F">
        <w:rPr>
          <w:rFonts w:ascii="Arial" w:hAnsi="Arial" w:cs="Arial"/>
          <w:noProof/>
          <w:sz w:val="24"/>
          <w:szCs w:val="24"/>
        </w:rPr>
        <w:t>, 2020</w:t>
      </w:r>
      <w:r w:rsidR="00D11F03" w:rsidRPr="0035519F">
        <w:rPr>
          <w:rFonts w:ascii="Arial" w:hAnsi="Arial" w:cs="Arial"/>
          <w:noProof/>
          <w:sz w:val="24"/>
          <w:szCs w:val="24"/>
        </w:rPr>
        <w:t>)</w:t>
      </w:r>
      <w:r w:rsidR="0094174C" w:rsidRPr="0035519F">
        <w:rPr>
          <w:rFonts w:ascii="Arial" w:hAnsi="Arial" w:cs="Arial"/>
          <w:sz w:val="24"/>
          <w:szCs w:val="24"/>
        </w:rPr>
        <w:fldChar w:fldCharType="end"/>
      </w:r>
      <w:r w:rsidRPr="0035519F">
        <w:rPr>
          <w:rFonts w:ascii="Arial" w:hAnsi="Arial" w:cs="Arial"/>
          <w:sz w:val="24"/>
          <w:szCs w:val="24"/>
        </w:rPr>
        <w:t xml:space="preserve">  Kedua nilai </w:t>
      </w:r>
      <w:r w:rsidRPr="0035519F">
        <w:rPr>
          <w:rFonts w:ascii="Arial" w:hAnsi="Arial" w:cs="Arial"/>
          <w:i/>
          <w:sz w:val="24"/>
          <w:szCs w:val="24"/>
        </w:rPr>
        <w:t>cut-off</w:t>
      </w:r>
      <w:r w:rsidRPr="0035519F">
        <w:rPr>
          <w:rFonts w:ascii="Arial" w:hAnsi="Arial" w:cs="Arial"/>
          <w:sz w:val="24"/>
          <w:szCs w:val="24"/>
        </w:rPr>
        <w:t xml:space="preserve"> di atas memenuhi kriteria lingkar pinggang berdasarkan rekomendasi </w:t>
      </w:r>
      <w:r w:rsidRPr="0035519F">
        <w:rPr>
          <w:rFonts w:ascii="Arial" w:hAnsi="Arial" w:cs="Arial"/>
          <w:i/>
          <w:sz w:val="24"/>
          <w:szCs w:val="24"/>
        </w:rPr>
        <w:t>International</w:t>
      </w:r>
      <w:r w:rsidRPr="0035519F">
        <w:rPr>
          <w:rFonts w:ascii="Arial" w:hAnsi="Arial" w:cs="Arial"/>
          <w:i/>
          <w:spacing w:val="1"/>
          <w:sz w:val="24"/>
          <w:szCs w:val="24"/>
        </w:rPr>
        <w:t xml:space="preserve"> </w:t>
      </w:r>
      <w:r w:rsidRPr="0035519F">
        <w:rPr>
          <w:rFonts w:ascii="Arial" w:hAnsi="Arial" w:cs="Arial"/>
          <w:i/>
          <w:sz w:val="24"/>
          <w:szCs w:val="24"/>
        </w:rPr>
        <w:t>Diabetes</w:t>
      </w:r>
      <w:r w:rsidRPr="0035519F">
        <w:rPr>
          <w:rFonts w:ascii="Arial" w:hAnsi="Arial" w:cs="Arial"/>
          <w:i/>
          <w:spacing w:val="1"/>
          <w:sz w:val="24"/>
          <w:szCs w:val="24"/>
        </w:rPr>
        <w:t xml:space="preserve"> </w:t>
      </w:r>
      <w:r w:rsidRPr="0035519F">
        <w:rPr>
          <w:rFonts w:ascii="Arial" w:hAnsi="Arial" w:cs="Arial"/>
          <w:i/>
          <w:sz w:val="24"/>
          <w:szCs w:val="24"/>
        </w:rPr>
        <w:t>Federation</w:t>
      </w:r>
      <w:r w:rsidRPr="0035519F">
        <w:rPr>
          <w:rFonts w:ascii="Arial" w:hAnsi="Arial" w:cs="Arial"/>
          <w:i/>
          <w:spacing w:val="1"/>
          <w:sz w:val="24"/>
          <w:szCs w:val="24"/>
        </w:rPr>
        <w:t xml:space="preserve"> </w:t>
      </w:r>
      <w:r w:rsidRPr="0035519F">
        <w:rPr>
          <w:rFonts w:ascii="Arial" w:hAnsi="Arial" w:cs="Arial"/>
          <w:sz w:val="24"/>
          <w:szCs w:val="24"/>
        </w:rPr>
        <w:t>(IDF).</w:t>
      </w:r>
      <w:r w:rsidRPr="0035519F">
        <w:t xml:space="preserve"> </w:t>
      </w:r>
    </w:p>
    <w:p w14:paraId="3F53F85A" w14:textId="77777777" w:rsidR="007757AB" w:rsidRPr="0035519F" w:rsidRDefault="007757AB" w:rsidP="00363776">
      <w:pPr>
        <w:pStyle w:val="ListParagraph"/>
        <w:numPr>
          <w:ilvl w:val="0"/>
          <w:numId w:val="34"/>
        </w:numPr>
        <w:spacing w:after="0" w:line="480" w:lineRule="auto"/>
        <w:ind w:left="709" w:hanging="283"/>
        <w:rPr>
          <w:rFonts w:ascii="Arial" w:hAnsi="Arial" w:cs="Arial"/>
          <w:sz w:val="24"/>
          <w:szCs w:val="24"/>
        </w:rPr>
      </w:pPr>
      <w:r w:rsidRPr="0035519F">
        <w:rPr>
          <w:rFonts w:ascii="Arial" w:hAnsi="Arial" w:cs="Arial"/>
          <w:sz w:val="24"/>
          <w:szCs w:val="24"/>
        </w:rPr>
        <w:t xml:space="preserve">Rasio lingkar pinggang-pinggul </w:t>
      </w:r>
      <w:r w:rsidR="00331B82" w:rsidRPr="0035519F">
        <w:rPr>
          <w:rFonts w:ascii="Arial" w:hAnsi="Arial" w:cs="Arial"/>
          <w:sz w:val="24"/>
          <w:szCs w:val="24"/>
        </w:rPr>
        <w:t xml:space="preserve">(RLPP) atau </w:t>
      </w:r>
      <w:r w:rsidRPr="0035519F">
        <w:rPr>
          <w:rFonts w:ascii="Arial" w:hAnsi="Arial" w:cs="Arial"/>
          <w:i/>
          <w:sz w:val="24"/>
          <w:szCs w:val="24"/>
        </w:rPr>
        <w:t>Waist to hip ratio</w:t>
      </w:r>
      <w:r w:rsidR="00331B82" w:rsidRPr="0035519F">
        <w:rPr>
          <w:rFonts w:ascii="Arial" w:hAnsi="Arial" w:cs="Arial"/>
          <w:sz w:val="24"/>
          <w:szCs w:val="24"/>
        </w:rPr>
        <w:t xml:space="preserve"> (</w:t>
      </w:r>
      <w:r w:rsidRPr="0035519F">
        <w:rPr>
          <w:rFonts w:ascii="Arial" w:hAnsi="Arial" w:cs="Arial"/>
          <w:sz w:val="24"/>
          <w:szCs w:val="24"/>
        </w:rPr>
        <w:t xml:space="preserve">WHR) </w:t>
      </w:r>
    </w:p>
    <w:p w14:paraId="136B5AFB" w14:textId="77777777" w:rsidR="007757AB" w:rsidRPr="0035519F" w:rsidRDefault="00331B82" w:rsidP="00331B82">
      <w:pPr>
        <w:pStyle w:val="BodyText"/>
        <w:spacing w:line="480" w:lineRule="auto"/>
        <w:ind w:left="709" w:right="3" w:firstLine="425"/>
        <w:jc w:val="both"/>
      </w:pPr>
      <w:r w:rsidRPr="0035519F">
        <w:t xml:space="preserve">Rasio lingkar pinggang-panggul merupakan salah satu pengukuran antropometri yang baik untuk obesitas sentral dan dapat digunakan untuk deteksi dini pada risiko suatu penyakit yang meliputi jantung, tekanan darah tinggi, hiperkolesterolemia, </w:t>
      </w:r>
      <w:r w:rsidR="0003017A" w:rsidRPr="0035519F">
        <w:t xml:space="preserve">DM </w:t>
      </w:r>
      <w:r w:rsidRPr="0035519F">
        <w:t xml:space="preserve">dan </w:t>
      </w:r>
      <w:r w:rsidR="004351B4" w:rsidRPr="0035519F">
        <w:t xml:space="preserve">dislipidemia </w:t>
      </w:r>
      <w:r w:rsidRPr="0035519F">
        <w:fldChar w:fldCharType="begin" w:fldLock="1"/>
      </w:r>
      <w:r w:rsidR="00D11F03" w:rsidRPr="0035519F">
        <w:instrText>ADDIN CSL_CITATION {"citationItems":[{"id":"ITEM-1","itemData":{"DOI":"10.2337/DC14-3084","ISSN":"1935-5548","PMID":"25852209","abstract":"OBJECTIVE: Abdominal obesity is a major risk factor for type 2 diabetes (T2D). We aimed to examine the association between the genetic predisposition to central obesity, assessed by the waist-to-hip ratio (WHR) genetic score, and T2D risk. RESEARCH DESIGN AND METHODS: The current study included 2,591 participants with T2D and 3,052 participants without T2D of European ancestry from the Nurses' Health Study (NHS) and the Health Professionals Follow-up Study (HPFS). Genetic predisposition to central obesity was estimated using a genetic score based on 14 established loci for the WHR. RESULTS: We found that the central obesity genetic score was linearly related to higher T2D risk. Results were similar in the NHS (women) and HPFS (men). In combined results, each point of the central obesity genetic score was associated with an odds ratio (OR) of 1.04 (95% CI 1.01-1.07) for developing T2D, and the OR was 1.24 (1.03-1.45) when comparing extreme quartiles of the genetic score after multivariate adjustment. CONCLUSIONS: The data indicate that genetic predisposition to central obesity is associated with higher T2D risk. This association is mediated by central obesity.","author":[{"dropping-particle":"","family":"Huang","given":"Tao","non-dropping-particle":"","parse-names":false,"suffix":""},{"dropping-particle":"","family":"Qi","given":"Qibin","non-dropping-particle":"","parse-names":false,"suffix":""},{"dropping-particle":"","family":"Zheng","given":"Yan","non-dropping-particle":"","parse-names":false,"suffix":""},{"dropping-particle":"","family":"Ley","given":"Sylvia H.","non-dropping-particle":"","parse-names":false,"suffix":""},{"dropping-particle":"","family":"Manson","given":"Jo Ann E.","non-dropping-particle":"","parse-names":false,"suffix":""},{"dropping-particle":"","family":"Hu","given":"Frank B.","non-dropping-particle":"","parse-names":false,"suffix":""},{"dropping-particle":"","family":"Qi","given":"Lu","non-dropping-particle":"","parse-names":false,"suffix":""}],"container-title":"Diabetes care","id":"ITEM-1","issue":"7","issued":{"date-parts":[["2015","7","1"]]},"page":"1306-1311","publisher":"Diabetes Care","title":"Genetic Predisposition to Central Obesity and Risk of Type 2 Diabetes: Two Independent Cohort Studies","type":"article-journal","volume":"38"},"uris":["http://www.mendeley.com/documents/?uuid=8fee0306-5aa1-3e39-9294-ba32d466bde2"]}],"mendeley":{"formattedCitation":"(Huang &lt;i&gt;et al.&lt;/i&gt;, 2015)","plainTextFormattedCitation":"(Huang et al., 2015)","previouslyFormattedCitation":"(Huang &lt;i&gt;et al.&lt;/i&gt;, 2015)"},"properties":{"noteIndex":0},"schema":"https://github.com/citation-style-language/schema/raw/master/csl-citation.json"}</w:instrText>
      </w:r>
      <w:r w:rsidRPr="0035519F">
        <w:fldChar w:fldCharType="separate"/>
      </w:r>
      <w:r w:rsidR="00D11F03" w:rsidRPr="0035519F">
        <w:rPr>
          <w:noProof/>
        </w:rPr>
        <w:t xml:space="preserve">(Huang </w:t>
      </w:r>
      <w:r w:rsidR="00D11F03" w:rsidRPr="0035519F">
        <w:rPr>
          <w:i/>
          <w:noProof/>
        </w:rPr>
        <w:t>et al.</w:t>
      </w:r>
      <w:r w:rsidR="00D11F03" w:rsidRPr="0035519F">
        <w:rPr>
          <w:noProof/>
        </w:rPr>
        <w:t>, 2015)</w:t>
      </w:r>
      <w:r w:rsidRPr="0035519F">
        <w:fldChar w:fldCharType="end"/>
      </w:r>
      <w:r w:rsidR="0003017A" w:rsidRPr="0035519F">
        <w:t>.</w:t>
      </w:r>
      <w:r w:rsidRPr="0035519F">
        <w:t xml:space="preserve"> </w:t>
      </w:r>
      <w:r w:rsidR="007757AB" w:rsidRPr="0035519F">
        <w:t>Menurut</w:t>
      </w:r>
      <w:r w:rsidR="007757AB" w:rsidRPr="0035519F">
        <w:rPr>
          <w:spacing w:val="-14"/>
        </w:rPr>
        <w:t xml:space="preserve"> </w:t>
      </w:r>
      <w:r w:rsidR="007757AB" w:rsidRPr="0035519F">
        <w:t>WHO</w:t>
      </w:r>
      <w:r w:rsidR="0003017A" w:rsidRPr="0035519F">
        <w:t>,</w:t>
      </w:r>
      <w:r w:rsidR="007757AB" w:rsidRPr="0035519F">
        <w:rPr>
          <w:spacing w:val="-10"/>
        </w:rPr>
        <w:t xml:space="preserve"> </w:t>
      </w:r>
      <w:r w:rsidR="007757AB" w:rsidRPr="0035519F">
        <w:t>batasan</w:t>
      </w:r>
      <w:r w:rsidR="007757AB" w:rsidRPr="0035519F">
        <w:rPr>
          <w:spacing w:val="-17"/>
        </w:rPr>
        <w:t xml:space="preserve"> </w:t>
      </w:r>
      <w:r w:rsidR="007757AB" w:rsidRPr="0035519F">
        <w:t>WHR</w:t>
      </w:r>
      <w:r w:rsidR="007757AB" w:rsidRPr="0035519F">
        <w:rPr>
          <w:spacing w:val="-11"/>
        </w:rPr>
        <w:t xml:space="preserve"> </w:t>
      </w:r>
      <w:r w:rsidR="007757AB" w:rsidRPr="0035519F">
        <w:t>untuk obesitas abdominal adalah pria &gt;0,90 dan wanita &gt;0,85</w:t>
      </w:r>
      <w:r w:rsidR="003E6681" w:rsidRPr="0035519F">
        <w:t xml:space="preserve"> </w:t>
      </w:r>
      <w:r w:rsidRPr="0035519F">
        <w:fldChar w:fldCharType="begin" w:fldLock="1"/>
      </w:r>
      <w:r w:rsidR="003E6681" w:rsidRPr="0035519F">
        <w:instrText>ADDIN CSL_CITATION {"citationItems":[{"id":"ITEM-1","itemData":{"ISBN":"9789241501491","abstract":"A World Health Organization (WHO) Expert Consultation on Waist Circumference (WC) and Waist-Hip Ratio (WHR) was convened in Geneva from 8 to 11 December 2008 to consider approaches to developing international guidelines for indices and action levels in order to characterize health risks associated with these measures of body fat distribution-alternative or complementary to the existing WHO guidelines for assessments of generalized obesity on the basis of body mass index. Six background papers prepared for the Consultation are compiled in this issue. These six papers examine a range of health outcomes and issues, including whether there is a basis for choosing WC over WHR and whether different action levels by gender, age, ethnicity, country or region are warranted. Although guidelines involving WC and WHR are potentially useful and clearly required, the challenges in identifying cutoffs for international guidelines should not be underestimated or oversimplified. The final report and outcomes of the Expert Consultation will be published by WHO.","author":[{"dropping-particle":"","family":"WHO","given":"","non-dropping-particle":"","parse-names":false,"suffix":""}],"id":"ITEM-1","issue":"1","issued":{"date-parts":[["2011"]]},"page":"8-11","title":"Waist Circumference and Waist–Hip Ratio: Report of a WHO Expert Consultation: Ginebra, 8-11, 2011","type":"article-journal"},"uris":["http://www.mendeley.com/documents/?uuid=6e2a1ea5-9178-4d78-b5ad-0234429503a7"]}],"mendeley":{"formattedCitation":"(WHO, 2011)","plainTextFormattedCitation":"(WHO, 2011)","previouslyFormattedCitation":"(WHO, 2011)"},"properties":{"noteIndex":0},"schema":"https://github.com/citation-style-language/schema/raw/master/csl-citation.json"}</w:instrText>
      </w:r>
      <w:r w:rsidRPr="0035519F">
        <w:fldChar w:fldCharType="separate"/>
      </w:r>
      <w:r w:rsidR="003E6681" w:rsidRPr="0035519F">
        <w:rPr>
          <w:noProof/>
        </w:rPr>
        <w:t>(WHO, 2011)</w:t>
      </w:r>
      <w:r w:rsidRPr="0035519F">
        <w:fldChar w:fldCharType="end"/>
      </w:r>
      <w:r w:rsidR="007757AB" w:rsidRPr="0035519F">
        <w:rPr>
          <w:spacing w:val="1"/>
        </w:rPr>
        <w:t>.</w:t>
      </w:r>
      <w:r w:rsidR="007757AB" w:rsidRPr="0035519F">
        <w:t xml:space="preserve"> </w:t>
      </w:r>
    </w:p>
    <w:p w14:paraId="188E1133" w14:textId="77777777" w:rsidR="009C71A4" w:rsidRPr="0035519F" w:rsidRDefault="009C71A4" w:rsidP="00331B82">
      <w:pPr>
        <w:pStyle w:val="BodyText"/>
        <w:spacing w:line="480" w:lineRule="auto"/>
        <w:ind w:left="709" w:right="3" w:firstLine="425"/>
        <w:jc w:val="both"/>
      </w:pPr>
    </w:p>
    <w:p w14:paraId="1D3685FB" w14:textId="77777777" w:rsidR="007757AB" w:rsidRPr="0035519F" w:rsidRDefault="007757AB" w:rsidP="00891FA6">
      <w:pPr>
        <w:pStyle w:val="ListParagraph"/>
        <w:numPr>
          <w:ilvl w:val="0"/>
          <w:numId w:val="23"/>
        </w:numPr>
        <w:spacing w:after="0" w:line="480" w:lineRule="auto"/>
        <w:ind w:left="426" w:hanging="426"/>
        <w:jc w:val="center"/>
        <w:outlineLvl w:val="1"/>
        <w:rPr>
          <w:rFonts w:ascii="Arial" w:hAnsi="Arial" w:cs="Arial"/>
          <w:b/>
          <w:sz w:val="24"/>
          <w:szCs w:val="24"/>
        </w:rPr>
      </w:pPr>
      <w:bookmarkStart w:id="42" w:name="_Toc111022765"/>
      <w:r w:rsidRPr="0035519F">
        <w:rPr>
          <w:rFonts w:ascii="Arial" w:hAnsi="Arial" w:cs="Arial"/>
          <w:b/>
          <w:sz w:val="24"/>
          <w:szCs w:val="24"/>
        </w:rPr>
        <w:t>Insulin dan Resistensi Insulin</w:t>
      </w:r>
      <w:bookmarkEnd w:id="42"/>
    </w:p>
    <w:p w14:paraId="4FBEA75A" w14:textId="77777777" w:rsidR="005E32D7" w:rsidRPr="0035519F" w:rsidRDefault="00417FAB" w:rsidP="00417FAB">
      <w:pPr>
        <w:spacing w:after="0" w:line="480" w:lineRule="auto"/>
        <w:ind w:firstLine="426"/>
        <w:jc w:val="both"/>
        <w:rPr>
          <w:rFonts w:ascii="Arial" w:hAnsi="Arial" w:cs="Arial"/>
          <w:sz w:val="24"/>
          <w:szCs w:val="24"/>
        </w:rPr>
      </w:pPr>
      <w:r w:rsidRPr="0035519F">
        <w:rPr>
          <w:rFonts w:ascii="Arial" w:hAnsi="Arial" w:cs="Arial"/>
          <w:sz w:val="24"/>
          <w:szCs w:val="24"/>
        </w:rPr>
        <w:t>Insulin dikode</w:t>
      </w:r>
      <w:r w:rsidR="0097253C" w:rsidRPr="0035519F">
        <w:rPr>
          <w:rFonts w:ascii="Arial" w:hAnsi="Arial" w:cs="Arial"/>
          <w:sz w:val="24"/>
          <w:szCs w:val="24"/>
        </w:rPr>
        <w:t xml:space="preserve"> oleh lengan pendek kromosom 11</w:t>
      </w:r>
      <w:r w:rsidRPr="0035519F">
        <w:rPr>
          <w:rFonts w:ascii="Arial" w:hAnsi="Arial" w:cs="Arial"/>
          <w:sz w:val="24"/>
          <w:szCs w:val="24"/>
        </w:rPr>
        <w:t xml:space="preserve"> dan disi</w:t>
      </w:r>
      <w:r w:rsidR="00630C45" w:rsidRPr="0035519F">
        <w:rPr>
          <w:rFonts w:ascii="Arial" w:hAnsi="Arial" w:cs="Arial"/>
          <w:sz w:val="24"/>
          <w:szCs w:val="24"/>
        </w:rPr>
        <w:t>ntesa oleh sel β dari islet pank</w:t>
      </w:r>
      <w:r w:rsidRPr="0035519F">
        <w:rPr>
          <w:rFonts w:ascii="Arial" w:hAnsi="Arial" w:cs="Arial"/>
          <w:sz w:val="24"/>
          <w:szCs w:val="24"/>
        </w:rPr>
        <w:t>reas Langerhans sebagai proinsulin</w:t>
      </w:r>
      <w:r w:rsidR="0003017A" w:rsidRPr="0035519F">
        <w:rPr>
          <w:rFonts w:ascii="Arial" w:hAnsi="Arial" w:cs="Arial"/>
          <w:sz w:val="24"/>
          <w:szCs w:val="24"/>
        </w:rPr>
        <w:t>.</w:t>
      </w:r>
      <w:r w:rsidR="004351B4" w:rsidRPr="0035519F">
        <w:rPr>
          <w:rFonts w:ascii="Arial" w:hAnsi="Arial" w:cs="Arial"/>
          <w:sz w:val="24"/>
          <w:szCs w:val="24"/>
        </w:rPr>
        <w:t xml:space="preserve"> Proinsulin disintesis</w:t>
      </w:r>
      <w:r w:rsidR="005E32D7" w:rsidRPr="0035519F">
        <w:rPr>
          <w:rFonts w:ascii="Arial" w:hAnsi="Arial" w:cs="Arial"/>
          <w:sz w:val="24"/>
          <w:szCs w:val="24"/>
        </w:rPr>
        <w:t xml:space="preserve"> di ribosom-Retikulum Endoplasma kasar dari mRNA sebagai pre-proinsulin. Pre-proinsulin dibentuk melalui sintesa signal peptide. Pelepasan signal peptida akan membentuk proinsulin di Retikulum Endoplasma. Vesikel sekretori aka</w:t>
      </w:r>
      <w:r w:rsidR="00630C45" w:rsidRPr="0035519F">
        <w:rPr>
          <w:rFonts w:ascii="Arial" w:hAnsi="Arial" w:cs="Arial"/>
          <w:sz w:val="24"/>
          <w:szCs w:val="24"/>
        </w:rPr>
        <w:t>n mengirim proinsulin dari retik</w:t>
      </w:r>
      <w:r w:rsidR="005E32D7" w:rsidRPr="0035519F">
        <w:rPr>
          <w:rFonts w:ascii="Arial" w:hAnsi="Arial" w:cs="Arial"/>
          <w:sz w:val="24"/>
          <w:szCs w:val="24"/>
        </w:rPr>
        <w:t xml:space="preserve">ulum endoplasma ke badan golgi. Di badan golgi, proinsulin akan diberikan tambahan zink dan kalsium yang akan menyebabkan bentukan heksamer proinsulin yang tidak larut air. </w:t>
      </w:r>
      <w:r w:rsidR="005E32D7" w:rsidRPr="0035519F">
        <w:rPr>
          <w:rFonts w:ascii="Arial" w:hAnsi="Arial" w:cs="Arial"/>
          <w:sz w:val="24"/>
          <w:szCs w:val="24"/>
        </w:rPr>
        <w:lastRenderedPageBreak/>
        <w:t>Enzim di luar badan golgi akan merubah proinsulin menjadi insulin dan C-peptide.</w:t>
      </w:r>
      <w:r w:rsidR="003E6681" w:rsidRPr="0035519F">
        <w:rPr>
          <w:rFonts w:ascii="Arial" w:hAnsi="Arial" w:cs="Arial"/>
          <w:sz w:val="24"/>
          <w:szCs w:val="24"/>
        </w:rPr>
        <w:t xml:space="preserve"> </w:t>
      </w:r>
      <w:r w:rsidR="005E32D7"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{"citationItems":[{"id":"ITEM-1","itemData":{"ISBN":"0159-8090","ISSN":"0159-8090","PMID":"16278749","abstract":"As obesity and diabetes reach epidemic proportions in the developed world, the role of insulin resistance and its consequences are gaining prominence. Understanding the role of insulin in wide-ranging physiological processes and the influences on its synthesis and secretion, alongside its actions from the molecular to the whole body level, has significant implications for much chronic disease seen in Westernised populations today. This review provides an overview of insulin, its history, structure, synthesis, secretion, actions and interactions followed by a discussion of insulin resistance and its associated clinical manifestations. Specific areas of focus include the actions of insulin and manifestations of insulin resistance in specific organs and tissues, physiological, environmental and pharmacological influences on insulin action and insulin resistance as well as clinical syndromes associated with insulin resistance. Clinical and functional measures of insulin resistance are also covered. Despite our incomplete understanding of the complex biological mechanisms of insulin action and insulin resistance, we need to consider the dramatic social changes of the past century with respect to physical activity, diet, work, socialisation and sleep patterns. Rapid globalization, urbanisation and industrialization have spawned epidemics of obesity, diabetes and their attendant co-morbidities, as physical inactivity and dietary imbalance unmask latent predisposing genetic traits.","author":[{"dropping-particle":"","family":"Wilcox","given":"Gisela","non-dropping-particle":"","parse-names":false,"suffix":""}],"container-title":"Clinical Biochemist Reviews","id":"ITEM-1","issue":"2","issued":{"date-parts":[["2005"]]},"page":"19","publisher":"Australasian Association for Clinical Biochemistry and Laboratory Medicine","title":"Insulin and Insulin Resistance","type":"article-journal","volume":"26"},"uris":["http://www.mendeley.com/documents/?uuid=0e931791-deb1-35ac-b48e-b26471d0f344"]}],"mendeley":{"formattedCitation":"(Wilcox, 2005)","plainTextFormattedCitation":"(Wilcox, 2005)","previouslyFormattedCitation":"(Wilcox, 2005)"},"properties":{"noteIndex":0},"schema":"https://github.com/citation-style-language/schema/raw/master/csl-citation.json"}</w:instrText>
      </w:r>
      <w:r w:rsidR="005E32D7" w:rsidRPr="0035519F">
        <w:rPr>
          <w:rFonts w:ascii="Arial" w:hAnsi="Arial" w:cs="Arial"/>
          <w:sz w:val="24"/>
          <w:szCs w:val="24"/>
        </w:rPr>
        <w:fldChar w:fldCharType="separate"/>
      </w:r>
      <w:r w:rsidR="00D11F03" w:rsidRPr="0035519F">
        <w:rPr>
          <w:rFonts w:ascii="Arial" w:hAnsi="Arial" w:cs="Arial"/>
          <w:noProof/>
          <w:sz w:val="24"/>
          <w:szCs w:val="24"/>
        </w:rPr>
        <w:t>(Wilcox, 2005)</w:t>
      </w:r>
      <w:r w:rsidR="005E32D7" w:rsidRPr="0035519F">
        <w:rPr>
          <w:rFonts w:ascii="Arial" w:hAnsi="Arial" w:cs="Arial"/>
          <w:sz w:val="24"/>
          <w:szCs w:val="24"/>
        </w:rPr>
        <w:fldChar w:fldCharType="end"/>
      </w:r>
    </w:p>
    <w:p w14:paraId="6027183C" w14:textId="77777777" w:rsidR="00417FAB" w:rsidRPr="0035519F" w:rsidRDefault="00417FAB" w:rsidP="00417FAB">
      <w:pPr>
        <w:spacing w:after="0" w:line="480" w:lineRule="auto"/>
        <w:ind w:firstLine="426"/>
        <w:jc w:val="both"/>
        <w:rPr>
          <w:rFonts w:ascii="Arial" w:hAnsi="Arial" w:cs="Arial"/>
          <w:sz w:val="24"/>
          <w:szCs w:val="24"/>
        </w:rPr>
      </w:pPr>
      <w:r w:rsidRPr="0035519F">
        <w:rPr>
          <w:rFonts w:ascii="Arial" w:hAnsi="Arial" w:cs="Arial"/>
          <w:sz w:val="24"/>
          <w:szCs w:val="24"/>
        </w:rPr>
        <w:t xml:space="preserve"> Insulin adalah protein yang terdiri dari 51 asam amino yang terkandung dalam dua rantai peptida: rantai A, dengan 21 asam amino; dan rantai B, dengan 30 asam amino. Rantai tersebut dihubungkan oleh dua jembatan disulfida (Gambar 5). Selain itu, terdapat jembatan disulfida </w:t>
      </w:r>
      <w:r w:rsidRPr="0035519F">
        <w:rPr>
          <w:rFonts w:ascii="Arial" w:hAnsi="Arial" w:cs="Arial"/>
          <w:i/>
          <w:sz w:val="24"/>
          <w:szCs w:val="24"/>
        </w:rPr>
        <w:t>intra-chain</w:t>
      </w:r>
      <w:r w:rsidRPr="0035519F">
        <w:rPr>
          <w:rFonts w:ascii="Arial" w:hAnsi="Arial" w:cs="Arial"/>
          <w:sz w:val="24"/>
          <w:szCs w:val="24"/>
        </w:rPr>
        <w:t xml:space="preserve"> menghubungkan posisi 6 dan 11 dalam rantai A. Insulin manusia memiliki berat molekul 5808. Insulin endogen memiliki waktu paruh di dalam sirkulasi sekitar 3 sampai 5 menit. Insulin didegradasi terutama oleh insulinase di hati, ginjal, dan plasenta. Sekali melewati hati, akan menghilan</w:t>
      </w:r>
      <w:r w:rsidR="0003017A" w:rsidRPr="0035519F">
        <w:rPr>
          <w:rFonts w:ascii="Arial" w:hAnsi="Arial" w:cs="Arial"/>
          <w:sz w:val="24"/>
          <w:szCs w:val="24"/>
        </w:rPr>
        <w:t>gkan sekitar 50% insulin plasma</w:t>
      </w:r>
      <w:r w:rsidR="003E6681"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s://books.google.co.id/books/about/Greenspan_s_Basic_and_Clinical_Endocrino.html?id=sloxDwAAQBAJ&amp;redir_esc=y","accessed":{"date-parts":[["2022","2","9"]]},"author":[{"dropping-particle":"","family":"Gardner","given":"David G.","non-dropping-particle":"","parse-names":false,"suffix":""},{"dropping-particle":"","family":"Shoback","given":"Dolores","non-dropping-particle":"","parse-names":false,"suffix":""}],"id":"ITEM-1","issued":{"date-parts":[["2018"]]},"title":"Greenspan's Basic and Clinical Endocrinology, Tenth Edition - David G. Gardner, Dolores M. Shoback - Google Buku","type":"webpage"},"uris":["http://www.mendeley.com/documents/?uuid=42e2b114-12b1-3eca-8b35-0053ddb31b0a"]}],"mendeley":{"formattedCitation":"(Gardner and Shoback, 2018)","plainTextFormattedCitation":"(Gardner and Shoback, 2018)","previouslyFormattedCitation":"(Gardner and Shoback, 2018)"},"properties":{"noteIndex":0},"schema":"https://github.com/citation-style-language/schema/raw/master/csl-citation.json"}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(Gardner and Shoback, 2018)</w:t>
      </w:r>
      <w:r w:rsidR="0003017A" w:rsidRPr="0035519F">
        <w:rPr>
          <w:rFonts w:ascii="Arial" w:hAnsi="Arial" w:cs="Arial"/>
          <w:sz w:val="24"/>
          <w:szCs w:val="24"/>
        </w:rPr>
        <w:fldChar w:fldCharType="end"/>
      </w:r>
      <w:r w:rsidR="0003017A" w:rsidRPr="0035519F">
        <w:rPr>
          <w:rFonts w:ascii="Arial" w:hAnsi="Arial" w:cs="Arial"/>
          <w:sz w:val="24"/>
          <w:szCs w:val="24"/>
        </w:rPr>
        <w:t>.</w:t>
      </w:r>
    </w:p>
    <w:p w14:paraId="56D9AF41" w14:textId="77777777" w:rsidR="0097253C" w:rsidRPr="0035519F" w:rsidRDefault="0097253C" w:rsidP="003626A6">
      <w:pPr>
        <w:spacing w:after="0" w:line="240" w:lineRule="auto"/>
        <w:jc w:val="center"/>
        <w:rPr>
          <w:rFonts w:ascii="Arial" w:hAnsi="Arial" w:cs="Arial"/>
          <w:sz w:val="24"/>
          <w:szCs w:val="24"/>
        </w:rPr>
      </w:pPr>
      <w:r w:rsidRPr="0035519F">
        <w:rPr>
          <w:noProof/>
        </w:rPr>
        <w:drawing>
          <wp:inline distT="0" distB="0" distL="0" distR="0" wp14:anchorId="027A2137" wp14:editId="2258DA3A">
            <wp:extent cx="3944049" cy="2695575"/>
            <wp:effectExtent l="76200" t="38100" r="75565" b="1047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352" t="14925" r="25931" b="23426"/>
                    <a:stretch/>
                  </pic:blipFill>
                  <pic:spPr bwMode="auto">
                    <a:xfrm>
                      <a:off x="0" y="0"/>
                      <a:ext cx="4000421" cy="2734103"/>
                    </a:xfrm>
                    <a:prstGeom prst="rect">
                      <a:avLst/>
                    </a:prstGeom>
                    <a:ln w="19050">
                      <a:solidFill>
                        <a:schemeClr val="tx1"/>
                      </a:solid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8253B4F" w14:textId="0849183B" w:rsidR="0097253C" w:rsidRPr="0035519F" w:rsidRDefault="001C440B" w:rsidP="005C54E1">
      <w:pPr>
        <w:pStyle w:val="Caption"/>
        <w:ind w:left="2160" w:right="831" w:hanging="1170"/>
        <w:jc w:val="both"/>
        <w:rPr>
          <w:rFonts w:ascii="Arial" w:hAnsi="Arial" w:cs="Arial"/>
          <w:i w:val="0"/>
          <w:color w:val="auto"/>
          <w:sz w:val="24"/>
          <w:szCs w:val="24"/>
        </w:rPr>
      </w:pPr>
      <w:bookmarkStart w:id="43" w:name="_Toc111873693"/>
      <w:r w:rsidRPr="0035519F">
        <w:rPr>
          <w:rFonts w:ascii="Arial" w:hAnsi="Arial" w:cs="Arial"/>
          <w:i w:val="0"/>
          <w:color w:val="auto"/>
          <w:sz w:val="24"/>
          <w:szCs w:val="24"/>
        </w:rPr>
        <w:t xml:space="preserve">Gambar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Gambar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5</w:t>
      </w:r>
      <w:r w:rsidRPr="0035519F">
        <w:rPr>
          <w:rFonts w:ascii="Arial" w:hAnsi="Arial" w:cs="Arial"/>
          <w:i w:val="0"/>
          <w:color w:val="auto"/>
          <w:sz w:val="24"/>
          <w:szCs w:val="24"/>
        </w:rPr>
        <w:fldChar w:fldCharType="end"/>
      </w:r>
      <w:r w:rsidR="0097253C" w:rsidRPr="0035519F">
        <w:rPr>
          <w:rFonts w:ascii="Arial" w:hAnsi="Arial" w:cs="Arial"/>
          <w:i w:val="0"/>
          <w:color w:val="auto"/>
          <w:sz w:val="24"/>
          <w:szCs w:val="24"/>
        </w:rPr>
        <w:t>. Struktur peptida C proinsulin manusia dan molekul insulin yang terhubung di dua tempat oleh tautan dipeptide</w:t>
      </w:r>
      <w:r w:rsidR="003E6681" w:rsidRPr="0035519F">
        <w:rPr>
          <w:rFonts w:ascii="Arial" w:hAnsi="Arial" w:cs="Arial"/>
          <w:i w:val="0"/>
          <w:color w:val="auto"/>
          <w:sz w:val="24"/>
          <w:szCs w:val="24"/>
        </w:rPr>
        <w:t xml:space="preserve"> </w:t>
      </w:r>
      <w:r w:rsidR="0003017A" w:rsidRPr="0035519F">
        <w:rPr>
          <w:rFonts w:ascii="Arial" w:hAnsi="Arial" w:cs="Arial"/>
          <w:i w:val="0"/>
          <w:color w:val="auto"/>
          <w:sz w:val="24"/>
          <w:szCs w:val="24"/>
        </w:rPr>
        <w:fldChar w:fldCharType="begin" w:fldLock="1"/>
      </w:r>
      <w:r w:rsidR="00D11F03" w:rsidRPr="0035519F">
        <w:rPr>
          <w:rFonts w:ascii="Arial" w:hAnsi="Arial" w:cs="Arial"/>
          <w:i w:val="0"/>
          <w:color w:val="auto"/>
          <w:sz w:val="24"/>
          <w:szCs w:val="24"/>
        </w:rPr>
        <w:instrText>ADDIN CSL_CITATION {"citationItems":[{"id":"ITEM-1","itemData":{"URL":"https://books.google.co.id/books/about/Greenspan_s_Basic_and_Clinical_Endocrino.html?id=sloxDwAAQBAJ&amp;redir_esc=y","accessed":{"date-parts":[["2022","2","9"]]},"author":[{"dropping-particle":"","family":"Gardner","given":"David G.","non-dropping-particle":"","parse-names":false,"suffix":""},{"dropping-particle":"","family":"Shoback","given":"Dolores","non-dropping-particle":"","parse-names":false,"suffix":""}],"id":"ITEM-1","issued":{"date-parts":[["2018"]]},"title":"Greenspan's Basic and Clinical Endocrinology, Tenth Edition - David G. Gardner, Dolores M. Shoback - Google Buku","type":"webpage"},"uris":["http://www.mendeley.com/documents/?uuid=42e2b114-12b1-3eca-8b35-0053ddb31b0a"]}],"mendeley":{"formattedCitation":"(Gardner and Shoback, 2018)","plainTextFormattedCitation":"(Gardner and Shoback, 2018)","previouslyFormattedCitation":"(Gardner and Shoback, 2018)"},"properties":{"noteIndex":0},"schema":"https://github.com/citation-style-language/schema/raw/master/csl-citation.json"}</w:instrText>
      </w:r>
      <w:r w:rsidR="0003017A" w:rsidRPr="0035519F">
        <w:rPr>
          <w:rFonts w:ascii="Arial" w:hAnsi="Arial" w:cs="Arial"/>
          <w:i w:val="0"/>
          <w:color w:val="auto"/>
          <w:sz w:val="24"/>
          <w:szCs w:val="24"/>
        </w:rPr>
        <w:fldChar w:fldCharType="separate"/>
      </w:r>
      <w:r w:rsidR="00D11F03" w:rsidRPr="0035519F">
        <w:rPr>
          <w:rFonts w:ascii="Arial" w:hAnsi="Arial" w:cs="Arial"/>
          <w:i w:val="0"/>
          <w:noProof/>
          <w:color w:val="auto"/>
          <w:sz w:val="24"/>
          <w:szCs w:val="24"/>
        </w:rPr>
        <w:t>(Gardner and Shoback, 2018)</w:t>
      </w:r>
      <w:r w:rsidR="0003017A" w:rsidRPr="0035519F">
        <w:rPr>
          <w:rFonts w:ascii="Arial" w:hAnsi="Arial" w:cs="Arial"/>
          <w:i w:val="0"/>
          <w:color w:val="auto"/>
          <w:sz w:val="24"/>
          <w:szCs w:val="24"/>
        </w:rPr>
        <w:fldChar w:fldCharType="end"/>
      </w:r>
      <w:r w:rsidR="0003017A" w:rsidRPr="0035519F">
        <w:rPr>
          <w:rFonts w:ascii="Arial" w:hAnsi="Arial" w:cs="Arial"/>
          <w:i w:val="0"/>
          <w:color w:val="auto"/>
          <w:sz w:val="24"/>
          <w:szCs w:val="24"/>
        </w:rPr>
        <w:t>.</w:t>
      </w:r>
      <w:bookmarkEnd w:id="43"/>
    </w:p>
    <w:p w14:paraId="476138B7" w14:textId="77777777" w:rsidR="0097253C" w:rsidRPr="0035519F" w:rsidRDefault="0097253C" w:rsidP="007757AB">
      <w:pPr>
        <w:spacing w:after="0" w:line="480" w:lineRule="auto"/>
        <w:ind w:firstLine="426"/>
        <w:jc w:val="both"/>
        <w:rPr>
          <w:rFonts w:ascii="Arial" w:hAnsi="Arial" w:cs="Arial"/>
          <w:sz w:val="24"/>
          <w:szCs w:val="24"/>
        </w:rPr>
      </w:pPr>
    </w:p>
    <w:p w14:paraId="77C9976C" w14:textId="77777777" w:rsidR="00862876" w:rsidRPr="0035519F" w:rsidRDefault="00862E08" w:rsidP="00862876">
      <w:pPr>
        <w:spacing w:after="0" w:line="480" w:lineRule="auto"/>
        <w:ind w:firstLine="426"/>
        <w:jc w:val="both"/>
        <w:rPr>
          <w:rFonts w:ascii="Arial" w:hAnsi="Arial" w:cs="Arial"/>
          <w:sz w:val="24"/>
          <w:szCs w:val="24"/>
        </w:rPr>
      </w:pPr>
      <w:r w:rsidRPr="0035519F">
        <w:rPr>
          <w:rFonts w:ascii="Arial" w:hAnsi="Arial" w:cs="Arial"/>
          <w:sz w:val="24"/>
          <w:szCs w:val="24"/>
        </w:rPr>
        <w:lastRenderedPageBreak/>
        <w:t xml:space="preserve">Pankreas manusia mengeluarkan sekitar </w:t>
      </w:r>
      <w:r w:rsidR="008136F5" w:rsidRPr="0035519F">
        <w:rPr>
          <w:rFonts w:ascii="Arial" w:hAnsi="Arial" w:cs="Arial"/>
          <w:sz w:val="24"/>
          <w:szCs w:val="24"/>
        </w:rPr>
        <w:t>30</w:t>
      </w:r>
      <w:r w:rsidR="005B640F" w:rsidRPr="0035519F">
        <w:rPr>
          <w:rFonts w:ascii="Arial" w:hAnsi="Arial" w:cs="Arial"/>
          <w:sz w:val="24"/>
          <w:szCs w:val="24"/>
        </w:rPr>
        <w:t xml:space="preserve"> </w:t>
      </w:r>
      <w:r w:rsidR="00630C45" w:rsidRPr="0035519F">
        <w:rPr>
          <w:rFonts w:ascii="Arial" w:hAnsi="Arial" w:cs="Arial"/>
          <w:sz w:val="24"/>
          <w:szCs w:val="24"/>
        </w:rPr>
        <w:t xml:space="preserve">unit </w:t>
      </w:r>
      <w:r w:rsidRPr="0035519F">
        <w:rPr>
          <w:rFonts w:ascii="Arial" w:hAnsi="Arial" w:cs="Arial"/>
          <w:sz w:val="24"/>
          <w:szCs w:val="24"/>
        </w:rPr>
        <w:t xml:space="preserve">insulin per hari ke dalam sirkulasi portal orang dewasa normal dengan waktu kurang lebih 5 menit. konsentrasi basal dari insulin dalam darah </w:t>
      </w:r>
      <w:r w:rsidR="0054296F" w:rsidRPr="0035519F">
        <w:rPr>
          <w:rFonts w:ascii="Arial" w:hAnsi="Arial" w:cs="Arial"/>
          <w:sz w:val="24"/>
          <w:szCs w:val="24"/>
        </w:rPr>
        <w:t>perifer manusia puasa rata-rata 10</w:t>
      </w:r>
      <w:r w:rsidR="0054296F" w:rsidRPr="0035519F">
        <w:t xml:space="preserve"> </w:t>
      </w:r>
      <w:r w:rsidR="0054296F" w:rsidRPr="0035519F">
        <w:rPr>
          <w:rFonts w:ascii="Arial" w:hAnsi="Arial" w:cs="Arial"/>
          <w:sz w:val="24"/>
          <w:szCs w:val="24"/>
        </w:rPr>
        <w:t xml:space="preserve">µU/mL (0.4 ng/mL, or 61 pmol/L). </w:t>
      </w:r>
      <w:r w:rsidRPr="0035519F">
        <w:rPr>
          <w:rFonts w:ascii="Arial" w:hAnsi="Arial" w:cs="Arial"/>
          <w:sz w:val="24"/>
          <w:szCs w:val="24"/>
        </w:rPr>
        <w:t xml:space="preserve">Pada subjek kontrol normal, insulin jarang naik di </w:t>
      </w:r>
      <w:r w:rsidR="008136F5" w:rsidRPr="0035519F">
        <w:rPr>
          <w:rFonts w:ascii="Arial" w:hAnsi="Arial" w:cs="Arial"/>
          <w:sz w:val="24"/>
          <w:szCs w:val="24"/>
        </w:rPr>
        <w:t>100 µU/mL (6</w:t>
      </w:r>
      <w:r w:rsidR="0054296F" w:rsidRPr="0035519F">
        <w:rPr>
          <w:rFonts w:ascii="Arial" w:hAnsi="Arial" w:cs="Arial"/>
          <w:sz w:val="24"/>
          <w:szCs w:val="24"/>
        </w:rPr>
        <w:t>10 pmol/L)</w:t>
      </w:r>
      <w:r w:rsidR="0054296F" w:rsidRPr="0035519F">
        <w:rPr>
          <w:rFonts w:ascii="Arial" w:hAnsi="Arial" w:cs="Arial"/>
        </w:rPr>
        <w:t xml:space="preserve"> </w:t>
      </w:r>
      <w:r w:rsidRPr="0035519F">
        <w:rPr>
          <w:rFonts w:ascii="Arial" w:hAnsi="Arial" w:cs="Arial"/>
          <w:sz w:val="24"/>
          <w:szCs w:val="24"/>
        </w:rPr>
        <w:t xml:space="preserve">setelah </w:t>
      </w:r>
      <w:r w:rsidR="0054296F" w:rsidRPr="0035519F">
        <w:rPr>
          <w:rFonts w:ascii="Arial" w:hAnsi="Arial" w:cs="Arial"/>
          <w:sz w:val="24"/>
          <w:szCs w:val="24"/>
        </w:rPr>
        <w:t>makan</w:t>
      </w:r>
      <w:r w:rsidRPr="0035519F">
        <w:rPr>
          <w:rFonts w:ascii="Arial" w:hAnsi="Arial" w:cs="Arial"/>
          <w:sz w:val="24"/>
          <w:szCs w:val="24"/>
        </w:rPr>
        <w:t xml:space="preserve">. Setelah konsumsi makanan, konsentrasi insulin perifer meningkat dalam 8 hingga 10 menit, mencapai konsentrasi puncak dalam 30 hingga 45 menit, dan kemudian dengan cepat menurun ke nilai dasar </w:t>
      </w:r>
      <w:r w:rsidR="0054296F" w:rsidRPr="0035519F">
        <w:rPr>
          <w:rFonts w:ascii="Arial" w:hAnsi="Arial" w:cs="Arial"/>
          <w:sz w:val="24"/>
          <w:szCs w:val="24"/>
        </w:rPr>
        <w:t>dalam</w:t>
      </w:r>
      <w:r w:rsidRPr="0035519F">
        <w:rPr>
          <w:rFonts w:ascii="Arial" w:hAnsi="Arial" w:cs="Arial"/>
          <w:sz w:val="24"/>
          <w:szCs w:val="24"/>
        </w:rPr>
        <w:t xml:space="preserve"> 90 sampai</w:t>
      </w:r>
      <w:r w:rsidR="0003017A" w:rsidRPr="0035519F">
        <w:rPr>
          <w:rFonts w:ascii="Arial" w:hAnsi="Arial" w:cs="Arial"/>
          <w:sz w:val="24"/>
          <w:szCs w:val="24"/>
        </w:rPr>
        <w:t xml:space="preserve"> 1</w:t>
      </w:r>
      <w:r w:rsidRPr="0035519F">
        <w:rPr>
          <w:rFonts w:ascii="Arial" w:hAnsi="Arial" w:cs="Arial"/>
          <w:sz w:val="24"/>
          <w:szCs w:val="24"/>
        </w:rPr>
        <w:t>20 menit setelah makan</w:t>
      </w:r>
      <w:r w:rsidR="003E6681"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s://books.google.co.id/books/about/Greenspan_s_Basic_and_Clinical_Endocrino.html?id=sloxDwAAQBAJ&amp;redir_esc=y","accessed":{"date-parts":[["2022","2","9"]]},"author":[{"dropping-particle":"","family":"Gardner","given":"David G.","non-dropping-particle":"","parse-names":false,"suffix":""},{"dropping-particle":"","family":"Shoback","given":"Dolores","non-dropping-particle":"","parse-names":false,"suffix":""}],"id":"ITEM-1","issued":{"date-parts":[["2018"]]},"title":"Greenspan's Basic and Clinical Endocrinology, Tenth Edition - David G. Gardner, Dolores M. Shoback - Google Buku","type":"webpage"},"uris":["http://www.mendeley.com/documents/?uuid=42e2b114-12b1-3eca-8b35-0053ddb31b0a"]}],"mendeley":{"formattedCitation":"(Gardner and Shoback, 2018)","plainTextFormattedCitation":"(Gardner and Shoback, 2018)","previouslyFormattedCitation":"(Gardner and Shoback, 2018)"},"properties":{"noteIndex":0},"schema":"https://github.com/citation-style-language/schema/raw/master/csl-citation.json"}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(Gardner and Shoback, 2018)</w:t>
      </w:r>
      <w:r w:rsidR="0003017A" w:rsidRPr="0035519F">
        <w:rPr>
          <w:rFonts w:ascii="Arial" w:hAnsi="Arial" w:cs="Arial"/>
          <w:sz w:val="24"/>
          <w:szCs w:val="24"/>
        </w:rPr>
        <w:fldChar w:fldCharType="end"/>
      </w:r>
      <w:r w:rsidR="0054296F" w:rsidRPr="0035519F">
        <w:rPr>
          <w:rFonts w:ascii="Arial" w:hAnsi="Arial" w:cs="Arial"/>
          <w:sz w:val="24"/>
          <w:szCs w:val="24"/>
        </w:rPr>
        <w:t xml:space="preserve">. </w:t>
      </w:r>
    </w:p>
    <w:p w14:paraId="0BC30D5D" w14:textId="77777777" w:rsidR="00CF1DE8" w:rsidRPr="0035519F" w:rsidRDefault="009D2A0E" w:rsidP="000B55DE">
      <w:pPr>
        <w:spacing w:after="0" w:line="480" w:lineRule="auto"/>
        <w:ind w:firstLine="426"/>
        <w:jc w:val="both"/>
        <w:rPr>
          <w:rFonts w:ascii="Arial" w:hAnsi="Arial" w:cs="Arial"/>
          <w:sz w:val="24"/>
          <w:szCs w:val="24"/>
        </w:rPr>
      </w:pPr>
      <w:r w:rsidRPr="0035519F">
        <w:rPr>
          <w:rFonts w:ascii="Arial" w:hAnsi="Arial" w:cs="Arial"/>
          <w:sz w:val="24"/>
          <w:szCs w:val="24"/>
        </w:rPr>
        <w:t>I</w:t>
      </w:r>
      <w:r w:rsidR="00D6603D" w:rsidRPr="0035519F">
        <w:rPr>
          <w:rFonts w:ascii="Arial" w:hAnsi="Arial" w:cs="Arial"/>
          <w:sz w:val="24"/>
          <w:szCs w:val="24"/>
        </w:rPr>
        <w:t xml:space="preserve">nsulin memfasilitasi penyerapan glukosa seluler di jaringan perifer (hati, jaringan adiposa, dan otot rangka) dengan mengaktifkan jalur </w:t>
      </w:r>
      <w:r w:rsidR="00D6603D" w:rsidRPr="0035519F">
        <w:rPr>
          <w:rFonts w:ascii="Arial" w:hAnsi="Arial" w:cs="Arial"/>
          <w:i/>
          <w:sz w:val="24"/>
          <w:szCs w:val="24"/>
        </w:rPr>
        <w:t>phosphatidylinositol 3-kinase</w:t>
      </w:r>
      <w:r w:rsidR="00D6603D" w:rsidRPr="0035519F">
        <w:rPr>
          <w:rFonts w:ascii="Arial" w:hAnsi="Arial" w:cs="Arial"/>
          <w:sz w:val="24"/>
          <w:szCs w:val="24"/>
        </w:rPr>
        <w:t xml:space="preserve"> (PI3K)-</w:t>
      </w:r>
      <w:r w:rsidR="00D6603D" w:rsidRPr="0035519F">
        <w:rPr>
          <w:rFonts w:ascii="Arial" w:hAnsi="Arial" w:cs="Arial"/>
          <w:i/>
          <w:sz w:val="24"/>
          <w:szCs w:val="24"/>
        </w:rPr>
        <w:t>protein kinase B</w:t>
      </w:r>
      <w:r w:rsidR="00D6603D" w:rsidRPr="0035519F">
        <w:rPr>
          <w:rFonts w:ascii="Arial" w:hAnsi="Arial" w:cs="Arial"/>
          <w:sz w:val="24"/>
          <w:szCs w:val="24"/>
        </w:rPr>
        <w:t xml:space="preserve"> (</w:t>
      </w:r>
      <w:r w:rsidRPr="0035519F">
        <w:rPr>
          <w:rFonts w:ascii="Arial" w:hAnsi="Arial" w:cs="Arial"/>
          <w:sz w:val="24"/>
          <w:szCs w:val="24"/>
        </w:rPr>
        <w:t>AKT</w:t>
      </w:r>
      <w:r w:rsidR="00D6603D"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URL":"https://books.google.co.id/books/about/Greenspan_s_Basic_and_Clinical_Endocrino.html?id=sloxDwAAQBAJ&amp;redir_esc=y","accessed":{"date-parts":[["2022","2","9"]]},"author":[{"dropping-particle":"","family":"Gardner","given":"David G.","non-dropping-particle":"","parse-names":false,"suffix":""},{"dropping-particle":"","family":"Shoback","given":"Dolores","non-dropping-particle":"","parse-names":false,"suffix":""}],"id":"ITEM-1","issued":{"date-parts":[["2018"]]},"title":"Greenspan's Basic and Clinical Endocrinology, Tenth Edition - David G. Gardner, Dolores M. Shoback - Google Buku","type":"webpage"},"uris":["http://www.mendeley.com/documents/?uuid=42e2b114-12b1-3eca-8b35-0053ddb31b0a"]}],"mendeley":{"formattedCitation":"(Gardner and Shoback, 2018)","plainTextFormattedCitation":"(Gardner and Shoback, 2018)","previouslyFormattedCitation":"(Gardner and Shoback, 2018)"},"properties":{"noteIndex":0},"schema":"https://github.com/citation-style-language/schema/raw/master/csl-citation.json"}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(Gardner and Shoback, 2018)</w:t>
      </w:r>
      <w:r w:rsidR="0003017A" w:rsidRPr="0035519F">
        <w:rPr>
          <w:rFonts w:ascii="Arial" w:hAnsi="Arial" w:cs="Arial"/>
          <w:sz w:val="24"/>
          <w:szCs w:val="24"/>
        </w:rPr>
        <w:fldChar w:fldCharType="end"/>
      </w:r>
      <w:r w:rsidR="000B55DE" w:rsidRPr="0035519F">
        <w:rPr>
          <w:rFonts w:ascii="Arial" w:hAnsi="Arial" w:cs="Arial"/>
          <w:sz w:val="24"/>
          <w:szCs w:val="24"/>
        </w:rPr>
        <w:t xml:space="preserve">. </w:t>
      </w:r>
      <w:r w:rsidR="00235767" w:rsidRPr="0035519F">
        <w:rPr>
          <w:rFonts w:ascii="Arial" w:hAnsi="Arial" w:cs="Arial"/>
          <w:sz w:val="24"/>
          <w:szCs w:val="24"/>
        </w:rPr>
        <w:t>Dalam kondisi nor</w:t>
      </w:r>
      <w:r w:rsidR="00D6603D" w:rsidRPr="0035519F">
        <w:rPr>
          <w:rFonts w:ascii="Arial" w:hAnsi="Arial" w:cs="Arial"/>
          <w:sz w:val="24"/>
          <w:szCs w:val="24"/>
        </w:rPr>
        <w:t>mal, insulin berikatan dengan reseptornya</w:t>
      </w:r>
      <w:r w:rsidR="00235767" w:rsidRPr="0035519F">
        <w:rPr>
          <w:rFonts w:ascii="Arial" w:hAnsi="Arial" w:cs="Arial"/>
          <w:sz w:val="24"/>
          <w:szCs w:val="24"/>
        </w:rPr>
        <w:t xml:space="preserve"> dan mengaktifkan dua jalur transduksi sinyal utama: jal</w:t>
      </w:r>
      <w:r w:rsidR="0003017A" w:rsidRPr="0035519F">
        <w:rPr>
          <w:rFonts w:ascii="Arial" w:hAnsi="Arial" w:cs="Arial"/>
          <w:sz w:val="24"/>
          <w:szCs w:val="24"/>
        </w:rPr>
        <w:t>ur yang bergantung pada PI3K-AKT</w:t>
      </w:r>
      <w:r w:rsidR="00235767" w:rsidRPr="0035519F">
        <w:rPr>
          <w:rFonts w:ascii="Arial" w:hAnsi="Arial" w:cs="Arial"/>
          <w:sz w:val="24"/>
          <w:szCs w:val="24"/>
        </w:rPr>
        <w:t xml:space="preserve"> yang disebutkan sebelumnya dan MAPK (</w:t>
      </w:r>
      <w:r w:rsidR="00235767" w:rsidRPr="0035519F">
        <w:rPr>
          <w:rFonts w:ascii="Arial" w:hAnsi="Arial" w:cs="Arial"/>
          <w:i/>
          <w:sz w:val="24"/>
          <w:szCs w:val="24"/>
        </w:rPr>
        <w:t>mitogen-activated protei</w:t>
      </w:r>
      <w:r w:rsidR="00D6603D" w:rsidRPr="0035519F">
        <w:rPr>
          <w:rFonts w:ascii="Arial" w:hAnsi="Arial" w:cs="Arial"/>
          <w:i/>
          <w:sz w:val="24"/>
          <w:szCs w:val="24"/>
        </w:rPr>
        <w:t>n kinase</w:t>
      </w:r>
      <w:r w:rsidR="00D6603D" w:rsidRPr="0035519F">
        <w:rPr>
          <w:rFonts w:ascii="Arial" w:hAnsi="Arial" w:cs="Arial"/>
          <w:sz w:val="24"/>
          <w:szCs w:val="24"/>
        </w:rPr>
        <w:t>) jalur kinase</w:t>
      </w:r>
      <w:r w:rsidR="0003017A" w:rsidRPr="0035519F">
        <w:rPr>
          <w:rFonts w:ascii="Arial" w:hAnsi="Arial" w:cs="Arial"/>
          <w:sz w:val="24"/>
          <w:szCs w:val="24"/>
        </w:rPr>
        <w:t>,</w:t>
      </w:r>
      <w:r w:rsidR="00D6603D" w:rsidRPr="0035519F">
        <w:rPr>
          <w:rFonts w:ascii="Arial" w:hAnsi="Arial" w:cs="Arial"/>
          <w:sz w:val="24"/>
          <w:szCs w:val="24"/>
        </w:rPr>
        <w:t xml:space="preserve"> (Gambar 6)</w:t>
      </w:r>
      <w:r w:rsidR="003E6681"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{"citationItems":[{"id":"ITEM-1","itemData":{"DOI":"10.3390/IJMS22115603","ISSN":"1422-0067","PMID":"34070553","abstract":"Alzheimer’s disease (AD) is the most common form of neurodegenerative dementia. Metabolic disorders including obesity and type 2 diabetes mellitus (T2DM) may stimulate amyloid β (Aβ) aggregate formation. AD, obesity, and T2DM share similar features such as chronic inflammation, increased oxidative stress, insulin resistance, and impaired energy metabolism. Adiposity is associated with the pro-inflammatory phenotype. Adiposity-related inflammatory factors lead to the formation of inflammasome complexes, which are responsible for the activation, maturation, and release of the pro-inflammatory cytokines including interleukin-1β (IL-1β) and interleukin-18 (IL-18). Activation of the inflammasome complex, particularly NLRP3, has a crucial role in obesity-induced inflammation, insulin resistance, and T2DM. The abnormal activation of the NLRP3 signaling pathway influences neuroinflammatory processes. NLRP3/IL-1β signaling could underlie the association between adiposity and cognitive impairment in humans. The review includes a broadened approach to the role of obesity-related diseases (obesity, low-grade chronic inflammation, type 2 diabetes, insulin resistance, and enhanced NLRP3 activity) in AD. Moreover, we also discuss the mechanisms by which the NLRP3 activation potentially links inflammation, peripheral and central insulin resistance, and metabolic changes with AD.","author":[{"dropping-particle":"","family":"Litwiniuk","given":"Anna","non-dropping-particle":"","parse-names":false,"suffix":""},{"dropping-particle":"","family":"Bik","given":"Wojciech","non-dropping-particle":"","parse-names":false,"suffix":""},{"dropping-particle":"","family":"Kalisz","given":"Małgorzata","non-dropping-particle":"","parse-names":false,"suffix":""},{"dropping-particle":"","family":"Baranowska-Bik","given":"Agnieszka","non-dropping-particle":"","parse-names":false,"suffix":""}],"container-title":"International journal of molecular sciences","id":"ITEM-1","issue":"11","issued":{"date-parts":[["2021","6","1"]]},"publisher":"Int J Mol Sci","title":"Inflammasome NLRP3 Potentially Links Obesity-Associated Low-Grade Systemic Inflammation and Insulin Resistance with Alzheimer's Disease","type":"article-journal","volume":"22"},"uris":["http://www.mendeley.com/documents/?uuid=49dd6ca3-6107-3150-9d1a-379852dc3b17"]}],"mendeley":{"formattedCitation":"(Litwiniuk &lt;i&gt;et al.&lt;/i&gt;, 2021)","plainTextFormattedCitation":"(Litwiniuk et al., 2021)","previouslyFormattedCitation":"(Litwiniuk &lt;i&gt;et al.&lt;/i&gt;, 2021)"},"properties":{"noteIndex":0},"schema":"https://github.com/citation-style-language/schema/raw/master/csl-citation.json"}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 xml:space="preserve">(Litwiniuk </w:t>
      </w:r>
      <w:r w:rsidR="00D11F03" w:rsidRPr="0035519F">
        <w:rPr>
          <w:rFonts w:ascii="Arial" w:hAnsi="Arial" w:cs="Arial"/>
          <w:i/>
          <w:noProof/>
          <w:sz w:val="24"/>
          <w:szCs w:val="24"/>
        </w:rPr>
        <w:t>et al.</w:t>
      </w:r>
      <w:r w:rsidR="00D11F03" w:rsidRPr="0035519F">
        <w:rPr>
          <w:rFonts w:ascii="Arial" w:hAnsi="Arial" w:cs="Arial"/>
          <w:noProof/>
          <w:sz w:val="24"/>
          <w:szCs w:val="24"/>
        </w:rPr>
        <w:t>, 2021)</w:t>
      </w:r>
      <w:r w:rsidR="0003017A" w:rsidRPr="0035519F">
        <w:rPr>
          <w:rFonts w:ascii="Arial" w:hAnsi="Arial" w:cs="Arial"/>
          <w:sz w:val="24"/>
          <w:szCs w:val="24"/>
        </w:rPr>
        <w:fldChar w:fldCharType="end"/>
      </w:r>
      <w:r w:rsidR="00D6603D" w:rsidRPr="0035519F">
        <w:rPr>
          <w:rFonts w:ascii="Arial" w:hAnsi="Arial" w:cs="Arial"/>
          <w:sz w:val="24"/>
          <w:szCs w:val="24"/>
        </w:rPr>
        <w:t xml:space="preserve">. </w:t>
      </w:r>
    </w:p>
    <w:p w14:paraId="54E45777" w14:textId="77777777" w:rsidR="00CF1DE8" w:rsidRPr="0035519F" w:rsidRDefault="00CF1DE8" w:rsidP="000B55DE">
      <w:pPr>
        <w:spacing w:after="0" w:line="240" w:lineRule="auto"/>
        <w:jc w:val="center"/>
        <w:rPr>
          <w:rFonts w:ascii="Arial" w:hAnsi="Arial" w:cs="Arial"/>
        </w:rPr>
      </w:pPr>
      <w:r w:rsidRPr="0035519F">
        <w:rPr>
          <w:noProof/>
        </w:rPr>
        <w:lastRenderedPageBreak/>
        <w:drawing>
          <wp:inline distT="0" distB="0" distL="0" distR="0" wp14:anchorId="45B8B319" wp14:editId="59BB9043">
            <wp:extent cx="4844988" cy="2552700"/>
            <wp:effectExtent l="76200" t="38100" r="70485" b="1143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355" t="30403" r="14984" b="24936"/>
                    <a:stretch/>
                  </pic:blipFill>
                  <pic:spPr bwMode="auto">
                    <a:xfrm>
                      <a:off x="0" y="0"/>
                      <a:ext cx="4848923" cy="2554773"/>
                    </a:xfrm>
                    <a:prstGeom prst="rect">
                      <a:avLst/>
                    </a:prstGeom>
                    <a:ln w="19050" cap="flat" cmpd="sng" algn="ctr">
                      <a:solidFill>
                        <a:sysClr val="windowText" lastClr="000000"/>
                      </a:solidFill>
                      <a:prstDash val="solid"/>
                      <a:round/>
                      <a:headEnd type="none" w="med" len="med"/>
                      <a:tailEnd type="none" w="med" len="med"/>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56FC504A" w14:textId="23F54622" w:rsidR="00CB253F" w:rsidRPr="0035519F" w:rsidRDefault="001C440B" w:rsidP="006E0438">
      <w:pPr>
        <w:pStyle w:val="Caption"/>
        <w:ind w:left="810" w:hanging="630"/>
        <w:jc w:val="both"/>
        <w:rPr>
          <w:rFonts w:ascii="Arial" w:hAnsi="Arial" w:cs="Arial"/>
          <w:i w:val="0"/>
          <w:color w:val="auto"/>
          <w:sz w:val="24"/>
          <w:szCs w:val="24"/>
        </w:rPr>
      </w:pPr>
      <w:bookmarkStart w:id="44" w:name="_Toc111873694"/>
      <w:r w:rsidRPr="0035519F">
        <w:rPr>
          <w:rFonts w:ascii="Arial" w:hAnsi="Arial" w:cs="Arial"/>
          <w:i w:val="0"/>
          <w:color w:val="auto"/>
          <w:sz w:val="24"/>
          <w:szCs w:val="24"/>
        </w:rPr>
        <w:t xml:space="preserve">Gambar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Gambar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6</w:t>
      </w:r>
      <w:r w:rsidRPr="0035519F">
        <w:rPr>
          <w:rFonts w:ascii="Arial" w:hAnsi="Arial" w:cs="Arial"/>
          <w:i w:val="0"/>
          <w:color w:val="auto"/>
          <w:sz w:val="24"/>
          <w:szCs w:val="24"/>
        </w:rPr>
        <w:fldChar w:fldCharType="end"/>
      </w:r>
      <w:r w:rsidR="00CB253F" w:rsidRPr="0035519F">
        <w:rPr>
          <w:rFonts w:ascii="Arial" w:hAnsi="Arial" w:cs="Arial"/>
          <w:i w:val="0"/>
          <w:color w:val="auto"/>
          <w:sz w:val="24"/>
          <w:szCs w:val="24"/>
        </w:rPr>
        <w:t>. Skema jalur transduksi sinyal insulin</w:t>
      </w:r>
      <w:r w:rsidR="003E6681" w:rsidRPr="0035519F">
        <w:rPr>
          <w:rFonts w:ascii="Arial" w:hAnsi="Arial" w:cs="Arial"/>
          <w:i w:val="0"/>
          <w:color w:val="auto"/>
          <w:sz w:val="24"/>
          <w:szCs w:val="24"/>
        </w:rPr>
        <w:t xml:space="preserve"> </w:t>
      </w:r>
      <w:r w:rsidR="0003017A" w:rsidRPr="0035519F">
        <w:rPr>
          <w:rFonts w:ascii="Arial" w:hAnsi="Arial" w:cs="Arial"/>
          <w:i w:val="0"/>
          <w:color w:val="auto"/>
          <w:sz w:val="24"/>
          <w:szCs w:val="24"/>
        </w:rPr>
        <w:fldChar w:fldCharType="begin" w:fldLock="1"/>
      </w:r>
      <w:r w:rsidR="00D11F03" w:rsidRPr="0035519F">
        <w:rPr>
          <w:rFonts w:ascii="Arial" w:hAnsi="Arial" w:cs="Arial"/>
          <w:i w:val="0"/>
          <w:color w:val="auto"/>
          <w:sz w:val="24"/>
          <w:szCs w:val="24"/>
        </w:rPr>
        <w:instrText>ADDIN CSL_CITATION {"citationItems":[{"id":"ITEM-1","itemData":{"DOI":"10.3390/IJMS22115603","ISSN":"1422-0067","PMID":"34070553","abstract":"Alzheimer’s disease (AD) is the most common form of neurodegenerative dementia. Metabolic disorders including obesity and type 2 diabetes mellitus (T2DM) may stimulate amyloid β (Aβ) aggregate formation. AD, obesity, and T2DM share similar features such as chronic inflammation, increased oxidative stress, insulin resistance, and impaired energy metabolism. Adiposity is associated with the pro-inflammatory phenotype. Adiposity-related inflammatory factors lead to the formation of inflammasome complexes, which are responsible for the activation, maturation, and release of the pro-inflammatory cytokines including interleukin-1β (IL-1β) and interleukin-18 (IL-18). Activation of the inflammasome complex, particularly NLRP3, has a crucial role in obesity-induced inflammation, insulin resistance, and T2DM. The abnormal activation of the NLRP3 signaling pathway influences neuroinflammatory processes. NLRP3/IL-1β signaling could underlie the association between adiposity and cognitive impairment in humans. The review includes a broadened approach to the role of obesity-related diseases (obesity, low-grade chronic inflammation, type 2 diabetes, insulin resistance, and enhanced NLRP3 activity) in AD. Moreover, we also discuss the mechanisms by which the NLRP3 activation potentially links inflammation, peripheral and central insulin resistance, and metabolic changes with AD.","author":[{"dropping-particle":"","family":"Litwiniuk","given":"Anna","non-dropping-particle":"","parse-names":false,"suffix":""},{"dropping-particle":"","family":"Bik","given":"Wojciech","non-dropping-particle":"","parse-names":false,"suffix":""},{"dropping-particle":"","family":"Kalisz","given":"Małgorzata","non-dropping-particle":"","parse-names":false,"suffix":""},{"dropping-particle":"","family":"Baranowska-Bik","given":"Agnieszka","non-dropping-particle":"","parse-names":false,"suffix":""}],"container-title":"International journal of molecular sciences","id":"ITEM-1","issue":"11","issued":{"date-parts":[["2021","6","1"]]},"publisher":"Int J Mol Sci","title":"Inflammasome NLRP3 Potentially Links Obesity-Associated Low-Grade Systemic Inflammation and Insulin Resistance with Alzheimer's Disease","type":"article-journal","volume":"22"},"uris":["http://www.mendeley.com/documents/?uuid=49dd6ca3-6107-3150-9d1a-379852dc3b17"]}],"mendeley":{"formattedCitation":"(Litwiniuk &lt;i&gt;et al.&lt;/i&gt;, 2021)","plainTextFormattedCitation":"(Litwiniuk et al., 2021)","previouslyFormattedCitation":"(Litwiniuk &lt;i&gt;et al.&lt;/i&gt;, 2021)"},"properties":{"noteIndex":0},"schema":"https://github.com/citation-style-language/schema/raw/master/csl-citation.json"}</w:instrText>
      </w:r>
      <w:r w:rsidR="0003017A" w:rsidRPr="0035519F">
        <w:rPr>
          <w:rFonts w:ascii="Arial" w:hAnsi="Arial" w:cs="Arial"/>
          <w:i w:val="0"/>
          <w:color w:val="auto"/>
          <w:sz w:val="24"/>
          <w:szCs w:val="24"/>
        </w:rPr>
        <w:fldChar w:fldCharType="separate"/>
      </w:r>
      <w:r w:rsidR="00D11F03" w:rsidRPr="0035519F">
        <w:rPr>
          <w:rFonts w:ascii="Arial" w:hAnsi="Arial" w:cs="Arial"/>
          <w:i w:val="0"/>
          <w:noProof/>
          <w:color w:val="auto"/>
          <w:sz w:val="24"/>
          <w:szCs w:val="24"/>
        </w:rPr>
        <w:t>(Litwiniuk et al., 2021)</w:t>
      </w:r>
      <w:r w:rsidR="0003017A" w:rsidRPr="0035519F">
        <w:rPr>
          <w:rFonts w:ascii="Arial" w:hAnsi="Arial" w:cs="Arial"/>
          <w:i w:val="0"/>
          <w:color w:val="auto"/>
          <w:sz w:val="24"/>
          <w:szCs w:val="24"/>
        </w:rPr>
        <w:fldChar w:fldCharType="end"/>
      </w:r>
      <w:r w:rsidR="0003017A" w:rsidRPr="0035519F">
        <w:rPr>
          <w:rFonts w:ascii="Arial" w:hAnsi="Arial" w:cs="Arial"/>
          <w:i w:val="0"/>
          <w:color w:val="auto"/>
          <w:sz w:val="24"/>
          <w:szCs w:val="24"/>
        </w:rPr>
        <w:t>.</w:t>
      </w:r>
      <w:bookmarkEnd w:id="44"/>
    </w:p>
    <w:p w14:paraId="28A0FB7B" w14:textId="77777777" w:rsidR="000B55DE" w:rsidRPr="0035519F" w:rsidRDefault="000B55DE" w:rsidP="000B55DE">
      <w:pPr>
        <w:spacing w:after="0" w:line="240" w:lineRule="auto"/>
        <w:ind w:firstLine="432"/>
        <w:jc w:val="center"/>
        <w:rPr>
          <w:rFonts w:ascii="Arial" w:hAnsi="Arial" w:cs="Arial"/>
        </w:rPr>
      </w:pPr>
    </w:p>
    <w:p w14:paraId="42DC53EF" w14:textId="77777777" w:rsidR="00CF1DE8" w:rsidRPr="0035519F" w:rsidRDefault="00D6603D" w:rsidP="007757AB">
      <w:pPr>
        <w:spacing w:after="0" w:line="480" w:lineRule="auto"/>
        <w:ind w:firstLine="426"/>
        <w:jc w:val="both"/>
        <w:rPr>
          <w:rFonts w:ascii="Arial" w:hAnsi="Arial" w:cs="Arial"/>
          <w:sz w:val="24"/>
          <w:szCs w:val="24"/>
        </w:rPr>
      </w:pPr>
      <w:r w:rsidRPr="0035519F">
        <w:rPr>
          <w:rFonts w:ascii="Arial" w:hAnsi="Arial" w:cs="Arial"/>
          <w:sz w:val="24"/>
          <w:szCs w:val="24"/>
        </w:rPr>
        <w:t>S</w:t>
      </w:r>
      <w:r w:rsidR="00235767" w:rsidRPr="0035519F">
        <w:rPr>
          <w:rFonts w:ascii="Arial" w:hAnsi="Arial" w:cs="Arial"/>
          <w:sz w:val="24"/>
          <w:szCs w:val="24"/>
        </w:rPr>
        <w:t xml:space="preserve">elanjutnya, insulin dapat </w:t>
      </w:r>
      <w:r w:rsidR="008136F5" w:rsidRPr="0035519F">
        <w:rPr>
          <w:rFonts w:ascii="Arial" w:hAnsi="Arial" w:cs="Arial"/>
          <w:sz w:val="24"/>
          <w:szCs w:val="24"/>
        </w:rPr>
        <w:t>terikat</w:t>
      </w:r>
      <w:r w:rsidR="00235767" w:rsidRPr="0035519F">
        <w:rPr>
          <w:rFonts w:ascii="Arial" w:hAnsi="Arial" w:cs="Arial"/>
          <w:sz w:val="24"/>
          <w:szCs w:val="24"/>
        </w:rPr>
        <w:t xml:space="preserve"> tidak hanya pada bentuk klasik reseptor insulin tetapi juga dapat berinteraksi dengan homolog </w:t>
      </w:r>
      <w:r w:rsidR="00235767" w:rsidRPr="0035519F">
        <w:rPr>
          <w:rFonts w:ascii="Arial" w:hAnsi="Arial" w:cs="Arial"/>
          <w:i/>
          <w:sz w:val="24"/>
          <w:szCs w:val="24"/>
        </w:rPr>
        <w:t xml:space="preserve">insulin-like growth factor-1 receptor </w:t>
      </w:r>
      <w:r w:rsidR="00235767" w:rsidRPr="0035519F">
        <w:rPr>
          <w:rFonts w:ascii="Arial" w:hAnsi="Arial" w:cs="Arial"/>
          <w:sz w:val="24"/>
          <w:szCs w:val="24"/>
        </w:rPr>
        <w:t>(IGF-1R) atau dengan reseptor in</w:t>
      </w:r>
      <w:r w:rsidR="00CF1DE8" w:rsidRPr="0035519F">
        <w:rPr>
          <w:rFonts w:ascii="Arial" w:hAnsi="Arial" w:cs="Arial"/>
          <w:sz w:val="24"/>
          <w:szCs w:val="24"/>
        </w:rPr>
        <w:t>sulin-IGF1R heterodimer</w:t>
      </w:r>
      <w:r w:rsidR="003E6681"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{"citationItems":[{"id":"ITEM-1","itemData":{"DOI":"10.3390/IJMS22115603","ISSN":"1422-0067","PMID":"34070553","abstract":"Alzheimer’s disease (AD) is the most common form of neurodegenerative dementia. Metabolic disorders including obesity and type 2 diabetes mellitus (T2DM) may stimulate amyloid β (Aβ) aggregate formation. AD, obesity, and T2DM share similar features such as chronic inflammation, increased oxidative stress, insulin resistance, and impaired energy metabolism. Adiposity is associated with the pro-inflammatory phenotype. Adiposity-related inflammatory factors lead to the formation of inflammasome complexes, which are responsible for the activation, maturation, and release of the pro-inflammatory cytokines including interleukin-1β (IL-1β) and interleukin-18 (IL-18). Activation of the inflammasome complex, particularly NLRP3, has a crucial role in obesity-induced inflammation, insulin resistance, and T2DM. The abnormal activation of the NLRP3 signaling pathway influences neuroinflammatory processes. NLRP3/IL-1β signaling could underlie the association between adiposity and cognitive impairment in humans. The review includes a broadened approach to the role of obesity-related diseases (obesity, low-grade chronic inflammation, type 2 diabetes, insulin resistance, and enhanced NLRP3 activity) in AD. Moreover, we also discuss the mechanisms by which the NLRP3 activation potentially links inflammation, peripheral and central insulin resistance, and metabolic changes with AD.","author":[{"dropping-particle":"","family":"Litwiniuk","given":"Anna","non-dropping-particle":"","parse-names":false,"suffix":""},{"dropping-particle":"","family":"Bik","given":"Wojciech","non-dropping-particle":"","parse-names":false,"suffix":""},{"dropping-particle":"","family":"Kalisz","given":"Małgorzata","non-dropping-particle":"","parse-names":false,"suffix":""},{"dropping-particle":"","family":"Baranowska-Bik","given":"Agnieszka","non-dropping-particle":"","parse-names":false,"suffix":""}],"container-title":"International journal of molecular sciences","id":"ITEM-1","issue":"11","issued":{"date-parts":[["2021","6","1"]]},"publisher":"Int J Mol Sci","title":"Inflammasome NLRP3 Potentially Links Obesity-Associated Low-Grade Systemic Inflammation and Insulin Resistance with Alzheimer's Disease","type":"article-journal","volume":"22"},"uris":["http://www.mendeley.com/documents/?uuid=49dd6ca3-6107-3150-9d1a-379852dc3b17"]}],"mendeley":{"formattedCitation":"(Litwiniuk &lt;i&gt;et al.&lt;/i&gt;, 2021)","plainTextFormattedCitation":"(Litwiniuk et al., 2021)","previouslyFormattedCitation":"(Litwiniuk &lt;i&gt;et al.&lt;/i&gt;, 2021)"},"properties":{"noteIndex":0},"schema":"https://github.com/citation-style-language/schema/raw/master/csl-citation.json"}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 xml:space="preserve">(Litwiniuk </w:t>
      </w:r>
      <w:r w:rsidR="00D11F03" w:rsidRPr="0035519F">
        <w:rPr>
          <w:rFonts w:ascii="Arial" w:hAnsi="Arial" w:cs="Arial"/>
          <w:i/>
          <w:noProof/>
          <w:sz w:val="24"/>
          <w:szCs w:val="24"/>
        </w:rPr>
        <w:t>et al.</w:t>
      </w:r>
      <w:r w:rsidR="00D11F03" w:rsidRPr="0035519F">
        <w:rPr>
          <w:rFonts w:ascii="Arial" w:hAnsi="Arial" w:cs="Arial"/>
          <w:noProof/>
          <w:sz w:val="24"/>
          <w:szCs w:val="24"/>
        </w:rPr>
        <w:t>, 2021)</w:t>
      </w:r>
      <w:r w:rsidR="0003017A" w:rsidRPr="0035519F">
        <w:rPr>
          <w:rFonts w:ascii="Arial" w:hAnsi="Arial" w:cs="Arial"/>
          <w:sz w:val="24"/>
          <w:szCs w:val="24"/>
        </w:rPr>
        <w:fldChar w:fldCharType="end"/>
      </w:r>
      <w:r w:rsidR="00CF1DE8" w:rsidRPr="0035519F">
        <w:rPr>
          <w:rFonts w:ascii="Arial" w:hAnsi="Arial" w:cs="Arial"/>
          <w:sz w:val="24"/>
          <w:szCs w:val="24"/>
        </w:rPr>
        <w:t xml:space="preserve">. </w:t>
      </w:r>
    </w:p>
    <w:p w14:paraId="198CBEC9" w14:textId="77777777" w:rsidR="00CB253F" w:rsidRPr="0035519F" w:rsidRDefault="009D2A0E" w:rsidP="007757AB">
      <w:pPr>
        <w:spacing w:after="0" w:line="480" w:lineRule="auto"/>
        <w:ind w:firstLine="426"/>
        <w:jc w:val="both"/>
        <w:rPr>
          <w:rFonts w:ascii="Arial" w:hAnsi="Arial" w:cs="Arial"/>
          <w:sz w:val="24"/>
          <w:szCs w:val="24"/>
        </w:rPr>
      </w:pPr>
      <w:r w:rsidRPr="0035519F">
        <w:rPr>
          <w:rFonts w:ascii="Arial" w:hAnsi="Arial" w:cs="Arial"/>
          <w:sz w:val="24"/>
          <w:szCs w:val="24"/>
        </w:rPr>
        <w:t xml:space="preserve"> Pengikatan insulin ke reseptor insulin</w:t>
      </w:r>
      <w:r w:rsidR="00235767" w:rsidRPr="0035519F">
        <w:rPr>
          <w:rFonts w:ascii="Arial" w:hAnsi="Arial" w:cs="Arial"/>
          <w:sz w:val="24"/>
          <w:szCs w:val="24"/>
        </w:rPr>
        <w:t xml:space="preserve"> memicu fosforilasi dan aktivasi substrat reseptor insulin (IRS), yang pada gilirannya membentuk </w:t>
      </w:r>
      <w:r w:rsidR="00CF1DE8" w:rsidRPr="0035519F">
        <w:rPr>
          <w:rFonts w:ascii="Arial" w:hAnsi="Arial" w:cs="Arial"/>
          <w:sz w:val="24"/>
          <w:szCs w:val="24"/>
        </w:rPr>
        <w:t>tempat untuk mengikat</w:t>
      </w:r>
      <w:r w:rsidR="00CB253F" w:rsidRPr="0035519F">
        <w:rPr>
          <w:rFonts w:ascii="Arial" w:hAnsi="Arial" w:cs="Arial"/>
          <w:sz w:val="24"/>
          <w:szCs w:val="24"/>
        </w:rPr>
        <w:t xml:space="preserve"> </w:t>
      </w:r>
      <w:r w:rsidR="00CB253F" w:rsidRPr="0035519F">
        <w:rPr>
          <w:rFonts w:ascii="Arial" w:hAnsi="Arial" w:cs="Arial"/>
          <w:i/>
          <w:sz w:val="24"/>
          <w:szCs w:val="24"/>
        </w:rPr>
        <w:t>phosphatidylinositol 3-kinase</w:t>
      </w:r>
      <w:r w:rsidR="00235767" w:rsidRPr="0035519F">
        <w:rPr>
          <w:rFonts w:ascii="Arial" w:hAnsi="Arial" w:cs="Arial"/>
          <w:sz w:val="24"/>
          <w:szCs w:val="24"/>
        </w:rPr>
        <w:t xml:space="preserve"> (PI3K) pada membran sel. Selanjutnya, PI3K mengubah fosfatidilinositol 4,5-bifosfat (PIP2) menjadi phosphatidylinosi</w:t>
      </w:r>
      <w:r w:rsidR="00CB253F" w:rsidRPr="0035519F">
        <w:rPr>
          <w:rFonts w:ascii="Arial" w:hAnsi="Arial" w:cs="Arial"/>
          <w:sz w:val="24"/>
          <w:szCs w:val="24"/>
        </w:rPr>
        <w:t xml:space="preserve">tol 3,4,5-trisphosphate (PIP3) yang merupakan </w:t>
      </w:r>
      <w:r w:rsidR="00CB253F" w:rsidRPr="0035519F">
        <w:rPr>
          <w:rFonts w:ascii="Arial" w:hAnsi="Arial" w:cs="Arial"/>
          <w:i/>
          <w:sz w:val="24"/>
          <w:szCs w:val="24"/>
        </w:rPr>
        <w:t>second messenger</w:t>
      </w:r>
      <w:r w:rsidR="00235767" w:rsidRPr="0035519F">
        <w:rPr>
          <w:rFonts w:ascii="Arial" w:hAnsi="Arial" w:cs="Arial"/>
          <w:sz w:val="24"/>
          <w:szCs w:val="24"/>
        </w:rPr>
        <w:t xml:space="preserve"> </w:t>
      </w:r>
      <w:r w:rsidR="00CB253F" w:rsidRPr="0035519F">
        <w:rPr>
          <w:rFonts w:ascii="Arial" w:hAnsi="Arial" w:cs="Arial"/>
          <w:sz w:val="24"/>
          <w:szCs w:val="24"/>
        </w:rPr>
        <w:t xml:space="preserve">untuk </w:t>
      </w:r>
      <w:r w:rsidR="00235767" w:rsidRPr="0035519F">
        <w:rPr>
          <w:rFonts w:ascii="Arial" w:hAnsi="Arial" w:cs="Arial"/>
          <w:sz w:val="24"/>
          <w:szCs w:val="24"/>
        </w:rPr>
        <w:t>mengaktifkan phosphoinositide-dependent protein kinase 1 (PDK1), dan mer</w:t>
      </w:r>
      <w:r w:rsidR="0003017A" w:rsidRPr="0035519F">
        <w:rPr>
          <w:rFonts w:ascii="Arial" w:hAnsi="Arial" w:cs="Arial"/>
          <w:sz w:val="24"/>
          <w:szCs w:val="24"/>
        </w:rPr>
        <w:t>ekrut protein kinase B (PKB/AKT</w:t>
      </w:r>
      <w:r w:rsidR="00235767" w:rsidRPr="0035519F">
        <w:rPr>
          <w:rFonts w:ascii="Arial" w:hAnsi="Arial" w:cs="Arial"/>
          <w:sz w:val="24"/>
          <w:szCs w:val="24"/>
        </w:rPr>
        <w:t>) ke</w:t>
      </w:r>
      <w:r w:rsidR="0003017A" w:rsidRPr="0035519F">
        <w:rPr>
          <w:rFonts w:ascii="Arial" w:hAnsi="Arial" w:cs="Arial"/>
          <w:sz w:val="24"/>
          <w:szCs w:val="24"/>
        </w:rPr>
        <w:t xml:space="preserve"> membran sel. Akibatnya, PKB/AKT</w:t>
      </w:r>
      <w:r w:rsidR="00235767" w:rsidRPr="0035519F">
        <w:rPr>
          <w:rFonts w:ascii="Arial" w:hAnsi="Arial" w:cs="Arial"/>
          <w:sz w:val="24"/>
          <w:szCs w:val="24"/>
        </w:rPr>
        <w:t xml:space="preserve"> yang diaktifk</w:t>
      </w:r>
      <w:r w:rsidR="00CB253F" w:rsidRPr="0035519F">
        <w:rPr>
          <w:rFonts w:ascii="Arial" w:hAnsi="Arial" w:cs="Arial"/>
          <w:sz w:val="24"/>
          <w:szCs w:val="24"/>
        </w:rPr>
        <w:t>an mengontrol banyak jalur dan mengatur berbagai</w:t>
      </w:r>
      <w:r w:rsidR="00235767" w:rsidRPr="0035519F">
        <w:rPr>
          <w:rFonts w:ascii="Arial" w:hAnsi="Arial" w:cs="Arial"/>
          <w:sz w:val="24"/>
          <w:szCs w:val="24"/>
        </w:rPr>
        <w:t xml:space="preserve"> proses </w:t>
      </w:r>
      <w:r w:rsidR="00CB253F" w:rsidRPr="0035519F">
        <w:rPr>
          <w:rFonts w:ascii="Arial" w:hAnsi="Arial" w:cs="Arial"/>
          <w:sz w:val="24"/>
          <w:szCs w:val="24"/>
        </w:rPr>
        <w:t>seperti</w:t>
      </w:r>
      <w:r w:rsidR="00235767" w:rsidRPr="0035519F">
        <w:rPr>
          <w:rFonts w:ascii="Arial" w:hAnsi="Arial" w:cs="Arial"/>
          <w:sz w:val="24"/>
          <w:szCs w:val="24"/>
        </w:rPr>
        <w:t xml:space="preserve"> pertumbuhan, proliferasi, diferensiasi, sel kelangsunga</w:t>
      </w:r>
      <w:r w:rsidR="00CB253F" w:rsidRPr="0035519F">
        <w:rPr>
          <w:rFonts w:ascii="Arial" w:hAnsi="Arial" w:cs="Arial"/>
          <w:sz w:val="24"/>
          <w:szCs w:val="24"/>
        </w:rPr>
        <w:t>n hidup, dan proses metabolisme</w:t>
      </w:r>
      <w:r w:rsidR="00235767" w:rsidRPr="0035519F">
        <w:rPr>
          <w:rFonts w:ascii="Arial" w:hAnsi="Arial" w:cs="Arial"/>
          <w:sz w:val="24"/>
          <w:szCs w:val="24"/>
        </w:rPr>
        <w:t>.</w:t>
      </w:r>
      <w:r w:rsidR="00CB253F" w:rsidRPr="0035519F">
        <w:rPr>
          <w:rFonts w:ascii="Arial" w:hAnsi="Arial" w:cs="Arial"/>
          <w:sz w:val="24"/>
          <w:szCs w:val="24"/>
        </w:rPr>
        <w:t xml:space="preserve"> Jalur</w:t>
      </w:r>
      <w:r w:rsidR="00235767" w:rsidRPr="0035519F">
        <w:rPr>
          <w:rFonts w:ascii="Arial" w:hAnsi="Arial" w:cs="Arial"/>
          <w:sz w:val="24"/>
          <w:szCs w:val="24"/>
        </w:rPr>
        <w:t xml:space="preserve"> Protein kinase yang </w:t>
      </w:r>
      <w:r w:rsidR="00235767" w:rsidRPr="0035519F">
        <w:rPr>
          <w:rFonts w:ascii="Arial" w:hAnsi="Arial" w:cs="Arial"/>
          <w:sz w:val="24"/>
          <w:szCs w:val="24"/>
        </w:rPr>
        <w:lastRenderedPageBreak/>
        <w:t xml:space="preserve">diaktifkan oleh Ras-mitogen </w:t>
      </w:r>
      <w:r w:rsidR="00CB253F" w:rsidRPr="0035519F">
        <w:rPr>
          <w:rFonts w:ascii="Arial" w:hAnsi="Arial" w:cs="Arial"/>
          <w:sz w:val="24"/>
          <w:szCs w:val="24"/>
        </w:rPr>
        <w:t xml:space="preserve">mengakibatkan </w:t>
      </w:r>
      <w:r w:rsidR="00235767" w:rsidRPr="0035519F">
        <w:rPr>
          <w:rFonts w:ascii="Arial" w:hAnsi="Arial" w:cs="Arial"/>
          <w:sz w:val="24"/>
          <w:szCs w:val="24"/>
        </w:rPr>
        <w:t>aktivasi gen yang terlibat dalam pertumbuhan sel, prolifer</w:t>
      </w:r>
      <w:r w:rsidR="00CF1DE8" w:rsidRPr="0035519F">
        <w:rPr>
          <w:rFonts w:ascii="Arial" w:hAnsi="Arial" w:cs="Arial"/>
          <w:sz w:val="24"/>
          <w:szCs w:val="24"/>
        </w:rPr>
        <w:t>asi, dan kelangsungan hidup</w:t>
      </w:r>
      <w:r w:rsidR="003E6681" w:rsidRPr="0035519F">
        <w:rPr>
          <w:rFonts w:ascii="Arial" w:hAnsi="Arial" w:cs="Arial"/>
          <w:sz w:val="24"/>
          <w:szCs w:val="24"/>
        </w:rPr>
        <w:t xml:space="preserve"> </w:t>
      </w:r>
      <w:r w:rsidR="0003017A"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{"citationItems":[{"id":"ITEM-1","itemData":{"DOI":"10.3390/IJMS22115603","ISSN":"1422-0067","PMID":"34070553","abstract":"Alzheimer’s disease (AD) is the most common form of neurodegenerative dementia. Metabolic disorders including obesity and type 2 diabetes mellitus (T2DM) may stimulate amyloid β (Aβ) aggregate formation. AD, obesity, and T2DM share similar features such as chronic inflammation, increased oxidative stress, insulin resistance, and impaired energy metabolism. Adiposity is associated with the pro-inflammatory phenotype. Adiposity-related inflammatory factors lead to the formation of inflammasome complexes, which are responsible for the activation, maturation, and release of the pro-inflammatory cytokines including interleukin-1β (IL-1β) and interleukin-18 (IL-18). Activation of the inflammasome complex, particularly NLRP3, has a crucial role in obesity-induced inflammation, insulin resistance, and T2DM. The abnormal activation of the NLRP3 signaling pathway influences neuroinflammatory processes. NLRP3/IL-1β signaling could underlie the association between adiposity and cognitive impairment in humans. The review includes a broadened approach to the role of obesity-related diseases (obesity, low-grade chronic inflammation, type 2 diabetes, insulin resistance, and enhanced NLRP3 activity) in AD. Moreover, we also discuss the mechanisms by which the NLRP3 activation potentially links inflammation, peripheral and central insulin resistance, and metabolic changes with AD.","author":[{"dropping-particle":"","family":"Litwiniuk","given":"Anna","non-dropping-particle":"","parse-names":false,"suffix":""},{"dropping-particle":"","family":"Bik","given":"Wojciech","non-dropping-particle":"","parse-names":false,"suffix":""},{"dropping-particle":"","family":"Kalisz","given":"Małgorzata","non-dropping-particle":"","parse-names":false,"suffix":""},{"dropping-particle":"","family":"Baranowska-Bik","given":"Agnieszka","non-dropping-particle":"","parse-names":false,"suffix":""}],"container-title":"International journal of molecular sciences","id":"ITEM-1","issue":"11","issued":{"date-parts":[["2021","6","1"]]},"publisher":"Int J Mol Sci","title":"Inflammasome NLRP3 Potentially Links Obesity-Associated Low-Grade Systemic Inflammation and Insulin Resistance with Alzheimer's Disease","type":"article-journal","volume":"22"},"uris":["http://www.mendeley.com/documents/?uuid=49dd6ca3-6107-3150-9d1a-379852dc3b17"]}],"mendeley":{"formattedCitation":"(Litwiniuk &lt;i&gt;et al.&lt;/i&gt;, 2021)","plainTextFormattedCitation":"(Litwiniuk et al., 2021)","previouslyFormattedCitation":"(Litwiniuk &lt;i&gt;et al.&lt;/i&gt;, 2021)"},"properties":{"noteIndex":0},"schema":"https://github.com/citation-style-language/schema/raw/master/csl-citation.json"}</w:instrText>
      </w:r>
      <w:r w:rsidR="0003017A" w:rsidRPr="0035519F">
        <w:rPr>
          <w:rFonts w:ascii="Arial" w:hAnsi="Arial" w:cs="Arial"/>
          <w:sz w:val="24"/>
          <w:szCs w:val="24"/>
        </w:rPr>
        <w:fldChar w:fldCharType="separate"/>
      </w:r>
      <w:r w:rsidR="00D11F03" w:rsidRPr="0035519F">
        <w:rPr>
          <w:rFonts w:ascii="Arial" w:hAnsi="Arial" w:cs="Arial"/>
          <w:noProof/>
          <w:sz w:val="24"/>
          <w:szCs w:val="24"/>
        </w:rPr>
        <w:t xml:space="preserve">(Litwiniuk </w:t>
      </w:r>
      <w:r w:rsidR="00D11F03" w:rsidRPr="0035519F">
        <w:rPr>
          <w:rFonts w:ascii="Arial" w:hAnsi="Arial" w:cs="Arial"/>
          <w:i/>
          <w:noProof/>
          <w:sz w:val="24"/>
          <w:szCs w:val="24"/>
        </w:rPr>
        <w:t>et al.</w:t>
      </w:r>
      <w:r w:rsidR="00D11F03" w:rsidRPr="0035519F">
        <w:rPr>
          <w:rFonts w:ascii="Arial" w:hAnsi="Arial" w:cs="Arial"/>
          <w:noProof/>
          <w:sz w:val="24"/>
          <w:szCs w:val="24"/>
        </w:rPr>
        <w:t>, 2021)</w:t>
      </w:r>
      <w:r w:rsidR="0003017A" w:rsidRPr="0035519F">
        <w:rPr>
          <w:rFonts w:ascii="Arial" w:hAnsi="Arial" w:cs="Arial"/>
          <w:sz w:val="24"/>
          <w:szCs w:val="24"/>
        </w:rPr>
        <w:fldChar w:fldCharType="end"/>
      </w:r>
      <w:r w:rsidR="00235767" w:rsidRPr="0035519F">
        <w:rPr>
          <w:rFonts w:ascii="Arial" w:hAnsi="Arial" w:cs="Arial"/>
          <w:sz w:val="24"/>
          <w:szCs w:val="24"/>
        </w:rPr>
        <w:t>.</w:t>
      </w:r>
      <w:r w:rsidR="00CB253F" w:rsidRPr="0035519F">
        <w:rPr>
          <w:rFonts w:ascii="Arial" w:hAnsi="Arial" w:cs="Arial"/>
          <w:sz w:val="24"/>
          <w:szCs w:val="24"/>
        </w:rPr>
        <w:t xml:space="preserve"> </w:t>
      </w:r>
    </w:p>
    <w:p w14:paraId="477FD905" w14:textId="77777777" w:rsidR="00CF1DE8" w:rsidRPr="0035519F" w:rsidRDefault="00CF1DE8" w:rsidP="00CF1DE8">
      <w:pPr>
        <w:spacing w:after="0" w:line="480" w:lineRule="auto"/>
        <w:ind w:firstLine="426"/>
        <w:jc w:val="both"/>
        <w:rPr>
          <w:rFonts w:ascii="Arial" w:hAnsi="Arial" w:cs="Arial"/>
          <w:sz w:val="24"/>
          <w:szCs w:val="24"/>
        </w:rPr>
      </w:pPr>
      <w:r w:rsidRPr="0035519F">
        <w:rPr>
          <w:rFonts w:ascii="Arial" w:hAnsi="Arial" w:cs="Arial"/>
          <w:sz w:val="24"/>
          <w:szCs w:val="24"/>
        </w:rPr>
        <w:t xml:space="preserve">Resistensi insulin ditandai dengan gangguan kerja insulin. Secara klasik, keadaan resistensi insulin didefinisikan sebagai gangguan penyerapan glukosa dalam otot dan peningkatan produksi glukosa endogen oleh hati yang mengakibatkan hiperglikemia, baik dalam keadaan puasa maupun postprandial. Namun, secara lebih luas keadaan resisten insulin juga ditandai dengan gangguan kerja insulin pada metabolisme lipid (seperti peningkatan lipolisis pada adiposit) atau pada metabolisme protein (seperti gangguan sintesis protein di otot). </w:t>
      </w:r>
      <w:r w:rsidR="0003017A" w:rsidRPr="0035519F">
        <w:rPr>
          <w:rFonts w:ascii="Arial" w:hAnsi="Arial" w:cs="Arial"/>
          <w:sz w:val="24"/>
          <w:szCs w:val="24"/>
        </w:rPr>
        <w:t xml:space="preserve">Resistensi insulin </w:t>
      </w:r>
      <w:r w:rsidRPr="0035519F">
        <w:rPr>
          <w:rFonts w:ascii="Arial" w:hAnsi="Arial" w:cs="Arial"/>
          <w:sz w:val="24"/>
          <w:szCs w:val="24"/>
        </w:rPr>
        <w:t xml:space="preserve">juga mempengaruhi fungsi organ lain seperti pembuluh darah (vasokonstriksi/hipertensi); otak (peningkatan </w:t>
      </w:r>
      <w:r w:rsidR="0003017A" w:rsidRPr="0035519F">
        <w:rPr>
          <w:rFonts w:ascii="Arial" w:hAnsi="Arial" w:cs="Arial"/>
          <w:i/>
          <w:sz w:val="24"/>
          <w:szCs w:val="24"/>
        </w:rPr>
        <w:t>intake</w:t>
      </w:r>
      <w:r w:rsidRPr="0035519F">
        <w:rPr>
          <w:rFonts w:ascii="Arial" w:hAnsi="Arial" w:cs="Arial"/>
          <w:sz w:val="24"/>
          <w:szCs w:val="24"/>
        </w:rPr>
        <w:t xml:space="preserve"> kalori); pankreas (penurunan massa sel</w:t>
      </w:r>
      <w:r w:rsidR="0003017A" w:rsidRPr="0035519F">
        <w:rPr>
          <w:rFonts w:ascii="Arial" w:hAnsi="Arial" w:cs="Arial"/>
          <w:sz w:val="24"/>
          <w:szCs w:val="24"/>
        </w:rPr>
        <w:t xml:space="preserve"> beta dan penginderaan glukosa) dan</w:t>
      </w:r>
      <w:r w:rsidRPr="0035519F">
        <w:rPr>
          <w:rFonts w:ascii="Arial" w:hAnsi="Arial" w:cs="Arial"/>
          <w:sz w:val="24"/>
          <w:szCs w:val="24"/>
        </w:rPr>
        <w:t xml:space="preserve"> tulang (menurunnya massa dan kekuatan tulang). </w:t>
      </w:r>
    </w:p>
    <w:p w14:paraId="0EB570E8" w14:textId="77777777" w:rsidR="007757AB" w:rsidRPr="0035519F" w:rsidRDefault="007757AB" w:rsidP="007757AB">
      <w:pPr>
        <w:spacing w:after="0" w:line="480" w:lineRule="auto"/>
        <w:ind w:firstLine="426"/>
        <w:jc w:val="both"/>
        <w:rPr>
          <w:rFonts w:ascii="Arial" w:hAnsi="Arial" w:cs="Arial"/>
          <w:sz w:val="24"/>
          <w:szCs w:val="24"/>
        </w:rPr>
      </w:pPr>
      <w:r w:rsidRPr="0035519F">
        <w:rPr>
          <w:rFonts w:ascii="Arial" w:hAnsi="Arial" w:cs="Arial"/>
          <w:sz w:val="24"/>
          <w:szCs w:val="24"/>
        </w:rPr>
        <w:t xml:space="preserve">Resistensi insulin dapat terjadi pada sel hepar, jaringan otot dan jaringan adiposa. Resistensi insulin di hepar bersifat selektif, yaitu insulin tidak mampu menekan glukoneogenesis dan terjadi penurunan sintesis glikogen tetapi tetap menstimulasi sintesis asam lemak, sehingga bermanifestasi sebagai hiperglikemia dan hipertrigliserida. Resistensi insulin pada jaringan otot menyebabkan penurunan </w:t>
      </w:r>
      <w:r w:rsidRPr="0035519F">
        <w:rPr>
          <w:rFonts w:ascii="Arial" w:hAnsi="Arial" w:cs="Arial"/>
          <w:i/>
          <w:sz w:val="24"/>
          <w:szCs w:val="24"/>
        </w:rPr>
        <w:t>uptake</w:t>
      </w:r>
      <w:r w:rsidRPr="0035519F">
        <w:rPr>
          <w:rFonts w:ascii="Arial" w:hAnsi="Arial" w:cs="Arial"/>
          <w:sz w:val="24"/>
          <w:szCs w:val="24"/>
        </w:rPr>
        <w:t xml:space="preserve"> glukosa darah untuk diubah menjadi sumber energi, sehingga kadar glukosa darah tetap tinggi. Resistensi insulin pada jaringan lemak menyebabkan pemecahan </w:t>
      </w:r>
      <w:r w:rsidRPr="0035519F">
        <w:rPr>
          <w:rFonts w:ascii="Arial" w:hAnsi="Arial" w:cs="Arial"/>
          <w:sz w:val="24"/>
          <w:szCs w:val="24"/>
        </w:rPr>
        <w:lastRenderedPageBreak/>
        <w:t xml:space="preserve">trigliserida (lipolisis) yang menimbulkan pelepasan asam lemak bebas ke sirkulasi darah. Pada keadaan resistensi insulin, sel β pankreas meningkatkan sekresi insulin sehingga kadar insulin darah meningkat (hiperinsulinemia) untuk mempertahankan keadaan normoglikemia </w:t>
      </w:r>
      <w:r w:rsidRPr="0035519F">
        <w:rPr>
          <w:rFonts w:ascii="Arial" w:hAnsi="Arial" w:cs="Arial"/>
          <w:sz w:val="24"/>
          <w:szCs w:val="24"/>
        </w:rPr>
        <w:fldChar w:fldCharType="begin" w:fldLock="1"/>
      </w:r>
      <w:r w:rsidR="00A364B3" w:rsidRPr="0035519F">
        <w:rPr>
          <w:rFonts w:ascii="Arial" w:hAnsi="Arial" w:cs="Arial"/>
          <w:sz w:val="24"/>
          <w:szCs w:val="24"/>
        </w:rPr>
        <w:instrText>ADDIN CSL_CITATION {"citationItems":[{"id":"ITEM-1","itemData":{"DOI":"10.1097/MED.0b013e3283514e13","abstract":"Purpose of review—The association between obesity and insulin resistance is an area of much interest and enormous public health impact, with hundreds of articles being published in the last year focused on the possible mechanisms that underlie this association. The purpose to this review is to highlight some of the key recent literature with emphasis on emerging concepts. Recent findings—The specific link between visceral adipose tissue accumulation and insulin resistance continues to be discerned. Visceral adiposity is correlated with accumulation of excess lipid in liver, and results in cell autonomous impairment in insulin signaling. Visceral adipose tissue is also prone to inflammation and inflammatory cytokine production, which also contribute to impairment in insulin signaling. The expansion of visceral adipose tissue and excess lipid accumulation in liver and muscle may result from limited expandability of subcutaneous adipose tissue, due to the properties of its extracellular matrix and capacity for capillary growth. Summary—Recent studies underscore the need to better understand the mechanisms linking visceral adiposity with liver fat accumulation, the mechanisms by which ectopic fat accumulation cause insulin resistance, and the mechanisms by which the size of adipose tissue depots is determined.","author":[{"dropping-particle":"","family":"Hardy","given":"Olga T.","non-dropping-particle":"","parse-names":false,"suffix":""},{"dropping-particle":"","family":"Czech","given":"Michael P.","non-dropping-particle":"","parse-names":false,"suffix":""},{"dropping-particle":"","family":"Corvera","given":"Silvia","non-dropping-particle":"","parse-names":false,"suffix":""}],"container-title":"Curr Opin Endocrinol Diabetes Obes","id":"ITEM-1","issue":"2","issued":{"date-parts":[["2012"]]},"page":"81-87","title":"What causes the insulin resistance underlying obesity?","type":"article-journal","volume":"19"},"uris":["http://www.mendeley.com/documents/?uuid=12c11282-8ad6-45a7-962d-7feb07f13af8","http://www.mendeley.com/documents/?uuid=c7cd9cdb-1a5c-42c9-9199-6972042587d1"]},{"id":"ITEM-2","itemData":{"author":[{"dropping-particle":"","family":"Asman","given":"M","non-dropping-particle":"","parse-names":false,"suffix":""}],"chapter-number":"305","container-title":"Buku Ajar Ilmu Penyakit Dalam","edition":"6","editor":[{"dropping-particle":"","family":"Sudoyo","given":"Aru W","non-dropping-particle":"","parse-names":false,"suffix":""},{"dropping-particle":"","family":"Setiyohadi","given":"Bambang","non-dropping-particle":"","parse-names":false,"suffix":""},{"dropping-particle":"","family":"Alwi","given":"Idrus","non-dropping-particle":"","parse-names":false,"suffix":""},{"dropping-particle":"","family":"Simadibrata","given":"Marcellus","non-dropping-particle":"","parse-names":false,"suffix":""},{"dropping-particle":"","family":"Setiati","given":"Siti","non-dropping-particle":"","parse-names":false,"suffix":""}],"id":"ITEM-2","issued":{"date-parts":[["2006"]]},"number-of-pages":"1890-1891","publisher":"Interna Publishing","publisher-place":"Jakarta","title":"Insulin : mekanisme sekresi dan aspek metabolism. Dalam Ilmu penyakit dalam","type":"book"},"uris":["http://www.mendeley.com/documents/?uuid=e634fa71-e900-486a-a740-b144759d4a12","http://www.mendeley.com/documents/?uuid=e5d4e7a3-46d4-4751-9c7e-9085c4cc0598"]},{"id":"ITEM-3","itemData":{"DOI":"10.1530/JOE-13-0616","ISSN":"0022-0795","PMID":"24667247","abstract":"Pancreatic β-cell function is of critical importance in the regulation of fuel homoeostasis, and metabolic dysregulation is a hallmark of diabetes mellitus (DM). The β-cell is an intricately designed cell type that couples metabolism of dietary sources of carbohydrates, amino acids and lipids to insulin secretory mechanisms, such that insulin release occurs at appropriate times to ensure efficient nutrient uptake and storage by target tissues. However, chronic exposure to high nutrient concentrations results in altered metabolism that impacts negatively on insulin exocytosis, insulin action and may ultimately lead to development of DM. Reduced action of insulin in target tissues is associated with impairment of insulin signalling and contributes to insulin resistance (IR), a condition often associated with obesity and a major risk factor for DM. The altered metabolism of nutrients by insulin-sensitive target tissues (muscle, adipose tissue and liver) can result in high circulating levels of glucose and various lipids, which further impact on pancreatic β-cell function, IR and progression of the metabolic syndrome. Here, we have considered the role played by the major nutrient groups, carbohydrates, amino acids and lipids, in mediating β-cell insulin secretion, while also exploring the interplay between amino acids and insulin action in muscle. We also focus on the effects of altered lipid metabolism in adipose tissue and liver resulting from activation of inflammatory processes commonly observed in DM pathophysiology. The aim of this review is to describe commonalities and differences in metabolism related to insulin secretion and action, pertinent to the development of DM.","author":[{"dropping-particle":"","family":"Newsholme","given":"Philip","non-dropping-particle":"","parse-names":false,"suffix":""},{"dropping-particle":"","family":"Cruzat","given":"Vinicius","non-dropping-particle":"","parse-names":false,"suffix":""},{"dropping-particle":"","family":"Arfuso","given":"Frank","non-dropping-particle":"","parse-names":false,"suffix":""},{"dropping-particle":"","family":"Keane","given":"Kevin","non-dropping-particle":"","parse-names":false,"suffix":""}],"container-title":"Journal of Endocrinology","id":"ITEM-3","issue":"3","issued":{"date-parts":[["2014","6"]]},"page":"R105-R120","title":"Nutrient regulation of insulin secretion and action","type":"article-journal","volume":"221"},"uris":["http://www.mendeley.com/documents/?uuid=d1f342c9-972b-43c5-beca-8b5b5f596afb","http://www.mendeley.com/documents/?uuid=69139966-a193-4473-85ce-21cb0ff9e19c","http://www.mendeley.com/documents/?uuid=2edfeaca-e568-4ef8-9dd6-a4d9fe0bd853"]}],"mendeley":{"formattedCitation":"(Asman, 2006; Hardy, Czech and Corvera, 2012; Newsholme &lt;i&gt;et al.&lt;/i&gt;, 2014)","plainTextFormattedCitation":"(Asman, 2006; Hardy, Czech and Corvera, 2012; Newsholme et al., 2014)","previouslyFormattedCitation":"(Asman, 2006; Hardy, Czech and Corvera, 2012; Newsholme &lt;i&gt;et al.&lt;/i&gt;, 2014)"},"properties":{"noteIndex":0},"schema":"https://github.com/citation-style-language/schema/raw/master/csl-citation.json"}</w:instrText>
      </w:r>
      <w:r w:rsidRPr="0035519F">
        <w:rPr>
          <w:rFonts w:ascii="Arial" w:hAnsi="Arial" w:cs="Arial"/>
          <w:sz w:val="24"/>
          <w:szCs w:val="24"/>
        </w:rPr>
        <w:fldChar w:fldCharType="separate"/>
      </w:r>
      <w:r w:rsidR="00BA51F5" w:rsidRPr="0035519F">
        <w:rPr>
          <w:rFonts w:ascii="Arial" w:hAnsi="Arial" w:cs="Arial"/>
          <w:noProof/>
          <w:sz w:val="24"/>
          <w:szCs w:val="24"/>
        </w:rPr>
        <w:t xml:space="preserve">(Asman, 2006; Hardy, Czech and Corvera, 2012; Newsholme </w:t>
      </w:r>
      <w:r w:rsidR="00BA51F5" w:rsidRPr="0035519F">
        <w:rPr>
          <w:rFonts w:ascii="Arial" w:hAnsi="Arial" w:cs="Arial"/>
          <w:i/>
          <w:noProof/>
          <w:sz w:val="24"/>
          <w:szCs w:val="24"/>
        </w:rPr>
        <w:t>et al.</w:t>
      </w:r>
      <w:r w:rsidR="00BA51F5" w:rsidRPr="0035519F">
        <w:rPr>
          <w:rFonts w:ascii="Arial" w:hAnsi="Arial" w:cs="Arial"/>
          <w:noProof/>
          <w:sz w:val="24"/>
          <w:szCs w:val="24"/>
        </w:rPr>
        <w:t>, 2014)</w:t>
      </w:r>
      <w:r w:rsidRPr="0035519F">
        <w:rPr>
          <w:rFonts w:ascii="Arial" w:hAnsi="Arial" w:cs="Arial"/>
          <w:sz w:val="24"/>
          <w:szCs w:val="24"/>
        </w:rPr>
        <w:fldChar w:fldCharType="end"/>
      </w:r>
      <w:r w:rsidRPr="0035519F">
        <w:rPr>
          <w:rFonts w:ascii="Arial" w:hAnsi="Arial" w:cs="Arial"/>
          <w:sz w:val="24"/>
          <w:szCs w:val="24"/>
        </w:rPr>
        <w:t xml:space="preserve">. </w:t>
      </w:r>
    </w:p>
    <w:p w14:paraId="61B930D2" w14:textId="77777777" w:rsidR="007757AB" w:rsidRPr="0035519F" w:rsidRDefault="007757AB" w:rsidP="007757AB">
      <w:pPr>
        <w:spacing w:after="0" w:line="480" w:lineRule="auto"/>
        <w:ind w:firstLine="426"/>
        <w:jc w:val="both"/>
        <w:rPr>
          <w:rFonts w:ascii="Arial" w:hAnsi="Arial" w:cs="Arial"/>
          <w:sz w:val="24"/>
          <w:szCs w:val="24"/>
        </w:rPr>
      </w:pPr>
    </w:p>
    <w:p w14:paraId="1892DF81" w14:textId="77777777" w:rsidR="007757AB" w:rsidRPr="0035519F" w:rsidRDefault="007757AB" w:rsidP="00B124CB">
      <w:pPr>
        <w:pStyle w:val="ListParagraph"/>
        <w:numPr>
          <w:ilvl w:val="0"/>
          <w:numId w:val="23"/>
        </w:numPr>
        <w:spacing w:after="0" w:line="480" w:lineRule="auto"/>
        <w:ind w:left="426" w:hanging="426"/>
        <w:jc w:val="center"/>
        <w:outlineLvl w:val="1"/>
        <w:rPr>
          <w:rFonts w:ascii="Arial" w:hAnsi="Arial" w:cs="Arial"/>
          <w:b/>
          <w:sz w:val="24"/>
          <w:szCs w:val="24"/>
        </w:rPr>
      </w:pPr>
      <w:bookmarkStart w:id="45" w:name="_Toc111022766"/>
      <w:r w:rsidRPr="0035519F">
        <w:rPr>
          <w:rFonts w:ascii="Arial" w:hAnsi="Arial" w:cs="Arial"/>
          <w:b/>
          <w:sz w:val="24"/>
          <w:szCs w:val="24"/>
        </w:rPr>
        <w:t>Obesitas</w:t>
      </w:r>
      <w:r w:rsidR="008D2032" w:rsidRPr="0035519F">
        <w:rPr>
          <w:rFonts w:ascii="Arial" w:hAnsi="Arial" w:cs="Arial"/>
          <w:b/>
          <w:sz w:val="24"/>
          <w:szCs w:val="24"/>
        </w:rPr>
        <w:t xml:space="preserve"> Sentral</w:t>
      </w:r>
      <w:r w:rsidRPr="0035519F">
        <w:rPr>
          <w:rFonts w:ascii="Arial" w:hAnsi="Arial" w:cs="Arial"/>
          <w:b/>
          <w:sz w:val="24"/>
          <w:szCs w:val="24"/>
        </w:rPr>
        <w:t xml:space="preserve"> dan Resistensi Insulin</w:t>
      </w:r>
      <w:bookmarkEnd w:id="45"/>
      <w:r w:rsidRPr="0035519F">
        <w:rPr>
          <w:rFonts w:ascii="Arial" w:hAnsi="Arial" w:cs="Arial"/>
          <w:b/>
          <w:sz w:val="24"/>
          <w:szCs w:val="24"/>
        </w:rPr>
        <w:t xml:space="preserve"> </w:t>
      </w:r>
    </w:p>
    <w:p w14:paraId="55950AF7" w14:textId="77777777" w:rsidR="007B06B0" w:rsidRPr="0035519F" w:rsidRDefault="00B43964" w:rsidP="007757AB">
      <w:pPr>
        <w:spacing w:after="0" w:line="480" w:lineRule="auto"/>
        <w:ind w:firstLine="426"/>
        <w:jc w:val="both"/>
        <w:rPr>
          <w:rFonts w:ascii="Arial" w:hAnsi="Arial" w:cs="Arial"/>
          <w:sz w:val="24"/>
          <w:szCs w:val="24"/>
        </w:rPr>
      </w:pPr>
      <w:r w:rsidRPr="0035519F">
        <w:rPr>
          <w:rFonts w:ascii="Arial" w:hAnsi="Arial" w:cs="Arial"/>
          <w:sz w:val="24"/>
          <w:szCs w:val="24"/>
        </w:rPr>
        <w:t xml:space="preserve">    </w:t>
      </w:r>
      <w:r w:rsidR="007757AB" w:rsidRPr="0035519F">
        <w:rPr>
          <w:rFonts w:ascii="Arial" w:hAnsi="Arial" w:cs="Arial"/>
          <w:sz w:val="24"/>
          <w:szCs w:val="24"/>
        </w:rPr>
        <w:t xml:space="preserve">Hubungan obesitas sentral dengan kejadian </w:t>
      </w:r>
      <w:r w:rsidR="0003017A" w:rsidRPr="0035519F">
        <w:rPr>
          <w:rFonts w:ascii="Arial" w:hAnsi="Arial" w:cs="Arial"/>
          <w:sz w:val="24"/>
          <w:szCs w:val="24"/>
        </w:rPr>
        <w:t>DM</w:t>
      </w:r>
      <w:r w:rsidR="00805A67" w:rsidRPr="0035519F">
        <w:rPr>
          <w:rFonts w:ascii="Arial" w:hAnsi="Arial" w:cs="Arial"/>
          <w:sz w:val="24"/>
          <w:szCs w:val="24"/>
        </w:rPr>
        <w:t xml:space="preserve"> </w:t>
      </w:r>
      <w:r w:rsidR="0003017A" w:rsidRPr="0035519F">
        <w:rPr>
          <w:rFonts w:ascii="Arial" w:hAnsi="Arial" w:cs="Arial"/>
          <w:sz w:val="24"/>
          <w:szCs w:val="24"/>
        </w:rPr>
        <w:t>tipe-2</w:t>
      </w:r>
      <w:r w:rsidR="007757AB" w:rsidRPr="0035519F">
        <w:rPr>
          <w:rFonts w:ascii="Arial" w:hAnsi="Arial" w:cs="Arial"/>
          <w:sz w:val="24"/>
          <w:szCs w:val="24"/>
        </w:rPr>
        <w:t xml:space="preserve"> telah diketahui sejak beberapa dekade terakhir. Beberapa penelitian epidemiologi memperlihatkan risiko DM </w:t>
      </w:r>
      <w:r w:rsidR="0003017A" w:rsidRPr="0035519F">
        <w:rPr>
          <w:rFonts w:ascii="Arial" w:hAnsi="Arial" w:cs="Arial"/>
          <w:sz w:val="24"/>
          <w:szCs w:val="24"/>
        </w:rPr>
        <w:t>tipe-2</w:t>
      </w:r>
      <w:r w:rsidR="007757AB" w:rsidRPr="0035519F">
        <w:rPr>
          <w:rFonts w:ascii="Arial" w:hAnsi="Arial" w:cs="Arial"/>
          <w:sz w:val="24"/>
          <w:szCs w:val="24"/>
        </w:rPr>
        <w:t xml:space="preserve"> dan resistensi insulin tergantung oleh total </w:t>
      </w:r>
      <w:r w:rsidR="008136F5" w:rsidRPr="0035519F">
        <w:rPr>
          <w:rFonts w:ascii="Arial" w:hAnsi="Arial" w:cs="Arial"/>
          <w:sz w:val="24"/>
          <w:szCs w:val="24"/>
        </w:rPr>
        <w:t>adiposit</w:t>
      </w:r>
      <w:r w:rsidR="006D36FE" w:rsidRPr="0035519F">
        <w:rPr>
          <w:rFonts w:ascii="Arial" w:hAnsi="Arial" w:cs="Arial"/>
          <w:sz w:val="24"/>
          <w:szCs w:val="24"/>
        </w:rPr>
        <w:t xml:space="preserve"> </w:t>
      </w:r>
      <w:r w:rsidR="007757AB"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{"citationItems":[{"id":"ITEM-1","itemData":{"author":[{"dropping-particle":"","family":"Kumar","given":"Vinay","non-dropping-particle":"","parse-names":false,"suffix":""}],"container-title":"Robbins Basic Pathology","edition":"10","editor":[{"dropping-particle":"","family":"Kumar","given":"Vinay","non-dropping-particle":"","parse-names":false,"suffix":""},{"dropping-particle":"","family":"Abbas","given":"A.K.","non-dropping-particle":"","parse-names":false,"suffix":""},{"dropping-particle":"","family":"Aster","given":"J.C","non-dropping-particle":"","parse-names":false,"suffix":""}],"id":"ITEM-1","issued":{"date-parts":[["2018"]]},"publisher":"Elsevier","publisher-place":"Philadelphia","title":"Enviromental and Nutritional Disease","type":"chapter"},"uris":["http://www.mendeley.com/documents/?uuid=8369909e-ee21-4667-acce-dd1121a7bdaa","http://www.mendeley.com/documents/?uuid=9b3d21b0-aa27-43ef-b705-a0d831e13ead"]}],"mendeley":{"formattedCitation":"(Kumar, 2018)","plainTextFormattedCitation":"(Kumar, 2018)","previouslyFormattedCitation":"(Kumar, 2018)"},"properties":{"noteIndex":0},"schema":"https://github.com/citation-style-language/schema/raw/master/csl-citation.json"}</w:instrText>
      </w:r>
      <w:r w:rsidR="007757AB" w:rsidRPr="0035519F">
        <w:rPr>
          <w:rFonts w:ascii="Arial" w:hAnsi="Arial" w:cs="Arial"/>
          <w:sz w:val="24"/>
          <w:szCs w:val="24"/>
        </w:rPr>
        <w:fldChar w:fldCharType="separate"/>
      </w:r>
      <w:r w:rsidR="00D11F03" w:rsidRPr="0035519F">
        <w:rPr>
          <w:rFonts w:ascii="Arial" w:hAnsi="Arial" w:cs="Arial"/>
          <w:noProof/>
          <w:sz w:val="24"/>
          <w:szCs w:val="24"/>
        </w:rPr>
        <w:t>(Kumar, 2018)</w:t>
      </w:r>
      <w:r w:rsidR="007757AB" w:rsidRPr="0035519F">
        <w:rPr>
          <w:rFonts w:ascii="Arial" w:hAnsi="Arial" w:cs="Arial"/>
          <w:sz w:val="24"/>
          <w:szCs w:val="24"/>
        </w:rPr>
        <w:fldChar w:fldCharType="end"/>
      </w:r>
      <w:r w:rsidR="000B55DE" w:rsidRPr="0035519F">
        <w:rPr>
          <w:rFonts w:ascii="Arial" w:hAnsi="Arial" w:cs="Arial"/>
          <w:sz w:val="24"/>
          <w:szCs w:val="24"/>
        </w:rPr>
        <w:t xml:space="preserve">. </w:t>
      </w:r>
      <w:r w:rsidR="007B06B0" w:rsidRPr="0035519F">
        <w:rPr>
          <w:rFonts w:ascii="Arial" w:hAnsi="Arial" w:cs="Arial"/>
          <w:sz w:val="24"/>
          <w:szCs w:val="24"/>
        </w:rPr>
        <w:t>Adiposit yang mengalami hipertrofi akan menyebabkan hipoksia lokal pada Retikulum Endoplasma (RE) sel, kematian adiposit, dan infiltrasi makrofag. Jika hal ini terus terjadi, sekresi sitokin pro inflamasi seperti TNF-α, interleukin (IL)-6, interleukin (IL)-1, IFN</w:t>
      </w:r>
      <w:r w:rsidR="00805A67" w:rsidRPr="0035519F">
        <w:rPr>
          <w:rFonts w:ascii="Arial" w:hAnsi="Arial" w:cs="Arial"/>
          <w:sz w:val="24"/>
          <w:szCs w:val="24"/>
        </w:rPr>
        <w:t>Ɣ</w:t>
      </w:r>
      <w:r w:rsidR="007B06B0" w:rsidRPr="0035519F">
        <w:rPr>
          <w:rFonts w:ascii="Arial" w:hAnsi="Arial" w:cs="Arial"/>
          <w:sz w:val="24"/>
          <w:szCs w:val="24"/>
        </w:rPr>
        <w:t xml:space="preserve">, dan </w:t>
      </w:r>
      <w:r w:rsidR="007B06B0" w:rsidRPr="0035519F">
        <w:rPr>
          <w:rFonts w:ascii="Arial" w:hAnsi="Arial" w:cs="Arial"/>
          <w:i/>
          <w:sz w:val="24"/>
          <w:szCs w:val="24"/>
        </w:rPr>
        <w:t>monocytes chemoattractant protein</w:t>
      </w:r>
      <w:r w:rsidR="007B06B0" w:rsidRPr="0035519F">
        <w:rPr>
          <w:rFonts w:ascii="Arial" w:hAnsi="Arial" w:cs="Arial"/>
          <w:sz w:val="24"/>
          <w:szCs w:val="24"/>
        </w:rPr>
        <w:t xml:space="preserve"> (MCP)-1 akan meningkat dan mengakibatkan terjadinya inflamasi lokal maupun sistemik yang dapat mengganggu pensinyalan insulin</w:t>
      </w:r>
      <w:r w:rsidR="006D36FE" w:rsidRPr="0035519F">
        <w:rPr>
          <w:rFonts w:ascii="Arial" w:hAnsi="Arial" w:cs="Arial"/>
          <w:sz w:val="24"/>
          <w:szCs w:val="24"/>
        </w:rPr>
        <w:t xml:space="preserve"> </w:t>
      </w:r>
      <w:r w:rsidR="007B06B0"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{"citationItems":[{"id":"ITEM-1","itemData":{"DOI":"10.1111/j.1467-789X.2012.01035.x","ISSN":"14677881","PMID":"23107257","abstract":"Abdominal (central) obesity strongly correlates with (hepatic) insulin resistance and type 2 diabetes. Among several hypotheses that have been formulated, the 'portal theory' proposes that the liver is directly exposed to increasing amounts of free fatty acids and pro-inflammatory factors released from visceral fat into the portal vein of obese patients, promoting the development of hepatic insulin resistance and liver steatosis. Thus, visceral obesity may be particularly hazardous in the pathogenesis of insulin resistance and type 2 diabetes. Herein, we will critically review existing evidence for a potential contribution of portally drained free fatty acids and/or cytokines to the development of hepatic insulin resistance. © 2012 International Association for the Study of Obesity.","author":[{"dropping-particle":"","family":"Item","given":"F.","non-dropping-particle":"","parse-names":false,"suffix":""},{"dropping-particle":"","family":"Konrad","given":"D.","non-dropping-particle":"","parse-names":false,"suffix":""}],"container-title":"Obesity Reviews","id":"ITEM-1","issue":"SUPPL.2","issued":{"date-parts":[["2012","12"]]},"page":"30-39","publisher":"Obes Rev","title":"Visceral fat and metabolic inflammation: The portal theory revisited","type":"article-journal","volume":"13"},"uris":["http://www.mendeley.com/documents/?uuid=04925163-f337-3ce9-bf9b-7852485a0813"]}],"mendeley":{"formattedCitation":"(Item and Konrad, 2012)","plainTextFormattedCitation":"(Item and Konrad, 2012)","previouslyFormattedCitation":"(Item and Konrad, 2012)"},"properties":{"noteIndex":0},"schema":"https://github.com/citation-style-language/schema/raw/master/csl-citation.json"}</w:instrText>
      </w:r>
      <w:r w:rsidR="007B06B0" w:rsidRPr="0035519F">
        <w:rPr>
          <w:rFonts w:ascii="Arial" w:hAnsi="Arial" w:cs="Arial"/>
          <w:sz w:val="24"/>
          <w:szCs w:val="24"/>
        </w:rPr>
        <w:fldChar w:fldCharType="separate"/>
      </w:r>
      <w:r w:rsidR="00D11F03" w:rsidRPr="0035519F">
        <w:rPr>
          <w:rFonts w:ascii="Arial" w:hAnsi="Arial" w:cs="Arial"/>
          <w:noProof/>
          <w:sz w:val="24"/>
          <w:szCs w:val="24"/>
        </w:rPr>
        <w:t>(Item and Konrad, 2012)</w:t>
      </w:r>
      <w:r w:rsidR="007B06B0" w:rsidRPr="0035519F">
        <w:rPr>
          <w:rFonts w:ascii="Arial" w:hAnsi="Arial" w:cs="Arial"/>
          <w:sz w:val="24"/>
          <w:szCs w:val="24"/>
        </w:rPr>
        <w:fldChar w:fldCharType="end"/>
      </w:r>
      <w:r w:rsidR="007B06B0" w:rsidRPr="0035519F">
        <w:rPr>
          <w:rFonts w:ascii="Arial" w:hAnsi="Arial" w:cs="Arial"/>
          <w:sz w:val="24"/>
          <w:szCs w:val="24"/>
        </w:rPr>
        <w:t>. Saat sitokin pro-inflamasi dilepaskan, kejadian terseb</w:t>
      </w:r>
      <w:r w:rsidR="00805A67" w:rsidRPr="0035519F">
        <w:rPr>
          <w:rFonts w:ascii="Arial" w:hAnsi="Arial" w:cs="Arial"/>
          <w:sz w:val="24"/>
          <w:szCs w:val="24"/>
        </w:rPr>
        <w:t>ut akan memicu aktivasi dari c-J</w:t>
      </w:r>
      <w:r w:rsidR="002B4757" w:rsidRPr="0035519F">
        <w:rPr>
          <w:rFonts w:ascii="Arial" w:hAnsi="Arial" w:cs="Arial"/>
          <w:sz w:val="24"/>
          <w:szCs w:val="24"/>
        </w:rPr>
        <w:t>un N-</w:t>
      </w:r>
      <w:r w:rsidR="007B06B0" w:rsidRPr="0035519F">
        <w:rPr>
          <w:rFonts w:ascii="Arial" w:hAnsi="Arial" w:cs="Arial"/>
          <w:sz w:val="24"/>
          <w:szCs w:val="24"/>
        </w:rPr>
        <w:t xml:space="preserve">terminal kinase (JNK) dan IkB kinase (IKK). </w:t>
      </w:r>
      <w:r w:rsidR="005B640F" w:rsidRPr="0035519F">
        <w:rPr>
          <w:rFonts w:ascii="Arial" w:hAnsi="Arial" w:cs="Arial"/>
          <w:sz w:val="24"/>
          <w:szCs w:val="24"/>
        </w:rPr>
        <w:t>c-Jun N-terminal kinase</w:t>
      </w:r>
      <w:r w:rsidR="007B06B0" w:rsidRPr="0035519F">
        <w:rPr>
          <w:rFonts w:ascii="Arial" w:hAnsi="Arial" w:cs="Arial"/>
          <w:sz w:val="24"/>
          <w:szCs w:val="24"/>
        </w:rPr>
        <w:t xml:space="preserve"> dan IKK dapat menyebabkan kejadian resistensi insulin dengan meningkatkan fosforilasi s</w:t>
      </w:r>
      <w:r w:rsidR="002B4757" w:rsidRPr="0035519F">
        <w:rPr>
          <w:rFonts w:ascii="Arial" w:hAnsi="Arial" w:cs="Arial"/>
          <w:sz w:val="24"/>
          <w:szCs w:val="24"/>
        </w:rPr>
        <w:t>erin yang bersifat inhibisi terhadap</w:t>
      </w:r>
      <w:r w:rsidR="007B06B0" w:rsidRPr="0035519F">
        <w:rPr>
          <w:rFonts w:ascii="Arial" w:hAnsi="Arial" w:cs="Arial"/>
          <w:sz w:val="24"/>
          <w:szCs w:val="24"/>
        </w:rPr>
        <w:t xml:space="preserve"> </w:t>
      </w:r>
      <w:r w:rsidR="007B06B0" w:rsidRPr="0035519F">
        <w:rPr>
          <w:rFonts w:ascii="Arial" w:hAnsi="Arial" w:cs="Arial"/>
          <w:i/>
          <w:sz w:val="24"/>
          <w:szCs w:val="24"/>
        </w:rPr>
        <w:t>Insulin Receptor Substrate</w:t>
      </w:r>
      <w:r w:rsidR="007B06B0" w:rsidRPr="0035519F">
        <w:rPr>
          <w:rFonts w:ascii="Arial" w:hAnsi="Arial" w:cs="Arial"/>
          <w:sz w:val="24"/>
          <w:szCs w:val="24"/>
        </w:rPr>
        <w:t xml:space="preserve"> (IRS)-1, yang merupakan kunci dari kaskade pensinyalan insulin. JNK dan IKK juga bekerja dengan meningkatkan aktivasi transkrip gen inflamasi </w:t>
      </w:r>
      <w:r w:rsidR="007B06B0" w:rsidRPr="0035519F">
        <w:rPr>
          <w:rFonts w:ascii="Arial" w:hAnsi="Arial" w:cs="Arial"/>
          <w:sz w:val="24"/>
          <w:szCs w:val="24"/>
        </w:rPr>
        <w:lastRenderedPageBreak/>
        <w:t xml:space="preserve">seperti iNOS. Aktivasi iNOS menyebabkan peningkatan produksi Nitrit Oksida (NO) dan pembentukan derivat peroksinitrit (ONOO) yang reaktif. NO dan ONOO dianggap sebagai penghambat pensinyalan insulin dengan melakukan nitrasi IRS-1, fosfatidilinositol 3-kinase (PI3K) dan Akt, yang merupakan kunci terjadinya translokasi transporter glukosa 4 (GLUT4) ke permukaan sel dan aktivasi transport glukosa dalam miosit </w:t>
      </w:r>
      <w:r w:rsidR="007B06B0"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author":[{"dropping-particle":"","family":"Tchernof","given":"André","non-dropping-particle":"","parse-names":false,"suffix":""},{"dropping-particle":"","family":"Després","given":"Jean-Pierre","non-dropping-particle":"","parse-names":false,"suffix":""}],"container-title":"Physiological Reviews","id":"ITEM-1","issue":"1","issued":{"date-parts":[["2013","1"]]},"page":"359-404","title":"Pathophysiology of Human Visceral Obesity: An Update","type":"article-journal","volume":"93"},"uris":["http://www.mendeley.com/documents/?uuid=e1d1b7fd-73ad-4c5b-8286-6b56add85f2c"]}],"mendeley":{"formattedCitation":"(Tchernof and J.-P. Després, 2013)","plainTextFormattedCitation":"(Tchernof and J.-P. Després, 2013)","previouslyFormattedCitation":"(Tchernof and J.-P. Després, 2013)"},"properties":{"noteIndex":0},"schema":"https://github.com/citation-style-language/schema/raw/master/csl-citation.json"}</w:instrText>
      </w:r>
      <w:r w:rsidR="007B06B0" w:rsidRPr="0035519F">
        <w:rPr>
          <w:rFonts w:ascii="Arial" w:hAnsi="Arial" w:cs="Arial"/>
          <w:sz w:val="24"/>
          <w:szCs w:val="24"/>
        </w:rPr>
        <w:fldChar w:fldCharType="separate"/>
      </w:r>
      <w:r w:rsidR="00D11F03" w:rsidRPr="0035519F">
        <w:rPr>
          <w:rFonts w:ascii="Arial" w:hAnsi="Arial" w:cs="Arial"/>
          <w:noProof/>
          <w:sz w:val="24"/>
          <w:szCs w:val="24"/>
        </w:rPr>
        <w:t>(Tchernof and J.-P. Després, 2013)</w:t>
      </w:r>
      <w:r w:rsidR="007B06B0" w:rsidRPr="0035519F">
        <w:rPr>
          <w:rFonts w:ascii="Arial" w:hAnsi="Arial" w:cs="Arial"/>
          <w:sz w:val="24"/>
          <w:szCs w:val="24"/>
        </w:rPr>
        <w:fldChar w:fldCharType="end"/>
      </w:r>
      <w:r w:rsidR="00805A67" w:rsidRPr="0035519F">
        <w:rPr>
          <w:rFonts w:ascii="Arial" w:hAnsi="Arial" w:cs="Arial"/>
          <w:sz w:val="24"/>
          <w:szCs w:val="24"/>
        </w:rPr>
        <w:t>.</w:t>
      </w:r>
    </w:p>
    <w:p w14:paraId="51D27AEC" w14:textId="77777777" w:rsidR="007B06B0" w:rsidRPr="0035519F" w:rsidRDefault="00C870E5" w:rsidP="007757AB">
      <w:pPr>
        <w:spacing w:after="0" w:line="480" w:lineRule="auto"/>
        <w:ind w:firstLine="426"/>
        <w:jc w:val="both"/>
        <w:rPr>
          <w:rFonts w:ascii="Arial" w:hAnsi="Arial" w:cs="Arial"/>
          <w:sz w:val="24"/>
          <w:szCs w:val="24"/>
        </w:rPr>
      </w:pPr>
      <w:r w:rsidRPr="0035519F">
        <w:rPr>
          <w:rFonts w:ascii="Arial" w:hAnsi="Arial" w:cs="Arial"/>
          <w:sz w:val="24"/>
          <w:szCs w:val="24"/>
        </w:rPr>
        <w:t>Penghambatan ikatan insulin dengan reseptornya, menyebabkan kadar insulin dalam darah terus meningkat atau hiperinsulinemia. Hiperinsulinemia yang berkepanjangan ini akan mengaktivasi jalur protein kinase mTOR/S6K1 dan menyebabkan resistensi insulin dengan meningkatkan fosforilasi IRS-1. Aktivasi jalur protein kinase mTOR ini juga menghambat IRS-1 dari aktivasi fosfatidilinositol 3-kinase (PI3K) dan Akt. PI3K dan Akt merupakan dua efektor metabolisme insulin. Sehingga hal tersebut mengakibatkan resistensi insulin dan penurunan klirens insulin</w:t>
      </w:r>
      <w:r w:rsidR="00805A67"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author":[{"dropping-particle":"","family":"Tchernof","given":"André","non-dropping-particle":"","parse-names":false,"suffix":""},{"dropping-particle":"","family":"Després","given":"Jean-Pierre","non-dropping-particle":"","parse-names":false,"suffix":""}],"container-title":"Physiological Reviews","id":"ITEM-1","issue":"1","issued":{"date-parts":[["2013","1"]]},"page":"359-404","title":"Pathophysiology of Human Visceral Obesity: An Update","type":"article-journal","volume":"93"},"uris":["http://www.mendeley.com/documents/?uuid=e1d1b7fd-73ad-4c5b-8286-6b56add85f2c"]}],"mendeley":{"formattedCitation":"(Tchernof and J.-P. Després, 2013)","plainTextFormattedCitation":"(Tchernof and J.-P. Després, 2013)","previouslyFormattedCitation":"(Tchernof and J.-P. Després, 2013)"},"properties":{"noteIndex":0},"schema":"https://github.com/citation-style-language/schema/raw/master/csl-citation.json"}</w:instrText>
      </w:r>
      <w:r w:rsidR="00805A67" w:rsidRPr="0035519F">
        <w:rPr>
          <w:rFonts w:ascii="Arial" w:hAnsi="Arial" w:cs="Arial"/>
          <w:sz w:val="24"/>
          <w:szCs w:val="24"/>
        </w:rPr>
        <w:fldChar w:fldCharType="separate"/>
      </w:r>
      <w:r w:rsidR="00D11F03" w:rsidRPr="0035519F">
        <w:rPr>
          <w:rFonts w:ascii="Arial" w:hAnsi="Arial" w:cs="Arial"/>
          <w:noProof/>
          <w:sz w:val="24"/>
          <w:szCs w:val="24"/>
        </w:rPr>
        <w:t>(Tchernof and J.-P. Després, 2013)</w:t>
      </w:r>
      <w:r w:rsidR="00805A67" w:rsidRPr="0035519F">
        <w:rPr>
          <w:rFonts w:ascii="Arial" w:hAnsi="Arial" w:cs="Arial"/>
          <w:sz w:val="24"/>
          <w:szCs w:val="24"/>
        </w:rPr>
        <w:fldChar w:fldCharType="end"/>
      </w:r>
      <w:r w:rsidRPr="0035519F">
        <w:rPr>
          <w:rFonts w:ascii="Arial" w:hAnsi="Arial" w:cs="Arial"/>
          <w:sz w:val="24"/>
          <w:szCs w:val="24"/>
        </w:rPr>
        <w:t>.</w:t>
      </w:r>
      <w:r w:rsidR="00805A67" w:rsidRPr="0035519F">
        <w:rPr>
          <w:rFonts w:ascii="Arial" w:hAnsi="Arial" w:cs="Arial"/>
          <w:sz w:val="24"/>
          <w:szCs w:val="24"/>
        </w:rPr>
        <w:t xml:space="preserve"> </w:t>
      </w:r>
    </w:p>
    <w:p w14:paraId="13CE5CE2" w14:textId="77777777" w:rsidR="007757AB" w:rsidRPr="0035519F" w:rsidRDefault="007757AB" w:rsidP="00C870E5">
      <w:pPr>
        <w:spacing w:after="0" w:line="480" w:lineRule="auto"/>
        <w:ind w:firstLine="426"/>
        <w:jc w:val="both"/>
        <w:rPr>
          <w:rFonts w:ascii="Arial" w:hAnsi="Arial" w:cs="Arial"/>
          <w:b/>
          <w:sz w:val="24"/>
          <w:szCs w:val="24"/>
        </w:rPr>
      </w:pPr>
      <w:r w:rsidRPr="0035519F">
        <w:rPr>
          <w:rFonts w:ascii="Arial" w:hAnsi="Arial" w:cs="Arial"/>
          <w:sz w:val="24"/>
          <w:szCs w:val="24"/>
        </w:rPr>
        <w:t xml:space="preserve"> </w:t>
      </w:r>
    </w:p>
    <w:p w14:paraId="6ECE0A03" w14:textId="77777777" w:rsidR="007757AB" w:rsidRPr="0035519F" w:rsidRDefault="007757AB" w:rsidP="00B124CB">
      <w:pPr>
        <w:pStyle w:val="ListParagraph"/>
        <w:numPr>
          <w:ilvl w:val="0"/>
          <w:numId w:val="23"/>
        </w:numPr>
        <w:spacing w:after="0" w:line="480" w:lineRule="auto"/>
        <w:ind w:left="426" w:hanging="426"/>
        <w:jc w:val="center"/>
        <w:outlineLvl w:val="1"/>
        <w:rPr>
          <w:rFonts w:ascii="Arial" w:hAnsi="Arial" w:cs="Arial"/>
          <w:b/>
          <w:sz w:val="24"/>
          <w:szCs w:val="24"/>
        </w:rPr>
      </w:pPr>
      <w:bookmarkStart w:id="46" w:name="_Toc111022767"/>
      <w:r w:rsidRPr="0035519F">
        <w:rPr>
          <w:rFonts w:ascii="Arial" w:hAnsi="Arial" w:cs="Arial"/>
          <w:b/>
          <w:i/>
          <w:sz w:val="24"/>
          <w:szCs w:val="24"/>
        </w:rPr>
        <w:t xml:space="preserve">Homeostasis Model Assessment – Insulin Resistance </w:t>
      </w:r>
      <w:r w:rsidR="00805A67" w:rsidRPr="0035519F">
        <w:rPr>
          <w:rFonts w:ascii="Arial" w:hAnsi="Arial" w:cs="Arial"/>
          <w:b/>
          <w:i/>
          <w:sz w:val="24"/>
          <w:szCs w:val="24"/>
        </w:rPr>
        <w:t>(IR)</w:t>
      </w:r>
      <w:bookmarkEnd w:id="46"/>
    </w:p>
    <w:p w14:paraId="716312F7" w14:textId="77777777" w:rsidR="00C870E5" w:rsidRPr="0035519F" w:rsidRDefault="00C870E5" w:rsidP="007757AB">
      <w:pPr>
        <w:spacing w:after="0" w:line="480" w:lineRule="auto"/>
        <w:ind w:firstLine="426"/>
        <w:jc w:val="both"/>
        <w:rPr>
          <w:rFonts w:ascii="Arial" w:hAnsi="Arial" w:cs="Arial"/>
          <w:sz w:val="24"/>
          <w:szCs w:val="24"/>
        </w:rPr>
      </w:pPr>
      <w:r w:rsidRPr="0035519F">
        <w:rPr>
          <w:rFonts w:ascii="Arial" w:hAnsi="Arial" w:cs="Arial"/>
          <w:sz w:val="24"/>
          <w:szCs w:val="24"/>
        </w:rPr>
        <w:t xml:space="preserve">Resistensi insulin merupakan gangguan metabolik yang ditandai dengan peningkatan kadar insulin. Kondisi ini menyebabkan gangguan metabolisme glukosa dan lemak. Kondisi </w:t>
      </w:r>
      <w:r w:rsidR="00A00D79" w:rsidRPr="0035519F">
        <w:rPr>
          <w:rFonts w:ascii="Arial" w:hAnsi="Arial" w:cs="Arial"/>
          <w:sz w:val="24"/>
          <w:szCs w:val="24"/>
        </w:rPr>
        <w:t>resistensi insulin</w:t>
      </w:r>
      <w:r w:rsidRPr="0035519F">
        <w:rPr>
          <w:rFonts w:ascii="Arial" w:hAnsi="Arial" w:cs="Arial"/>
          <w:sz w:val="24"/>
          <w:szCs w:val="24"/>
        </w:rPr>
        <w:t xml:space="preserve"> meningkatkan angka mortalitas dan morbiditas akibat sindroma metabolik, </w:t>
      </w:r>
      <w:r w:rsidR="0003017A" w:rsidRPr="0035519F">
        <w:rPr>
          <w:rFonts w:ascii="Arial" w:hAnsi="Arial" w:cs="Arial"/>
          <w:sz w:val="24"/>
          <w:szCs w:val="24"/>
        </w:rPr>
        <w:t>DM</w:t>
      </w:r>
      <w:r w:rsidRPr="0035519F">
        <w:rPr>
          <w:rFonts w:ascii="Arial" w:hAnsi="Arial" w:cs="Arial"/>
          <w:sz w:val="24"/>
          <w:szCs w:val="24"/>
        </w:rPr>
        <w:t xml:space="preserve"> tipe</w:t>
      </w:r>
      <w:r w:rsidR="00805A67" w:rsidRPr="0035519F">
        <w:rPr>
          <w:rFonts w:ascii="Arial" w:hAnsi="Arial" w:cs="Arial"/>
          <w:sz w:val="24"/>
          <w:szCs w:val="24"/>
        </w:rPr>
        <w:t>-2</w:t>
      </w:r>
      <w:r w:rsidRPr="0035519F">
        <w:rPr>
          <w:rFonts w:ascii="Arial" w:hAnsi="Arial" w:cs="Arial"/>
          <w:sz w:val="24"/>
          <w:szCs w:val="24"/>
        </w:rPr>
        <w:t xml:space="preserve"> serta </w:t>
      </w:r>
      <w:r w:rsidRPr="0035519F">
        <w:rPr>
          <w:rFonts w:ascii="Arial" w:hAnsi="Arial" w:cs="Arial"/>
          <w:sz w:val="24"/>
          <w:szCs w:val="24"/>
        </w:rPr>
        <w:lastRenderedPageBreak/>
        <w:t xml:space="preserve">penyakit kardiovaskuler. Deteksi dini </w:t>
      </w:r>
      <w:r w:rsidR="00A00D79" w:rsidRPr="0035519F">
        <w:rPr>
          <w:rFonts w:ascii="Arial" w:hAnsi="Arial" w:cs="Arial"/>
          <w:sz w:val="24"/>
          <w:szCs w:val="24"/>
        </w:rPr>
        <w:t>resistensi insulin</w:t>
      </w:r>
      <w:r w:rsidRPr="0035519F">
        <w:rPr>
          <w:rFonts w:ascii="Arial" w:hAnsi="Arial" w:cs="Arial"/>
          <w:sz w:val="24"/>
          <w:szCs w:val="24"/>
        </w:rPr>
        <w:t xml:space="preserve"> sangat penting untuk pencegahan dan tatalaksana peny</w:t>
      </w:r>
      <w:r w:rsidR="00805A67" w:rsidRPr="0035519F">
        <w:rPr>
          <w:rFonts w:ascii="Arial" w:hAnsi="Arial" w:cs="Arial"/>
          <w:sz w:val="24"/>
          <w:szCs w:val="24"/>
        </w:rPr>
        <w:t xml:space="preserve">akit </w:t>
      </w:r>
      <w:r w:rsidR="003E6681" w:rsidRPr="0035519F">
        <w:rPr>
          <w:rFonts w:ascii="Arial" w:hAnsi="Arial" w:cs="Arial"/>
          <w:sz w:val="24"/>
          <w:szCs w:val="24"/>
        </w:rPr>
        <w:t>de</w:t>
      </w:r>
      <w:r w:rsidR="00966F28" w:rsidRPr="0035519F">
        <w:rPr>
          <w:rFonts w:ascii="Arial" w:hAnsi="Arial" w:cs="Arial"/>
          <w:sz w:val="24"/>
          <w:szCs w:val="24"/>
        </w:rPr>
        <w:t>generatif</w:t>
      </w:r>
      <w:r w:rsidR="003E6681" w:rsidRPr="0035519F">
        <w:rPr>
          <w:rFonts w:ascii="Arial" w:hAnsi="Arial" w:cs="Arial"/>
          <w:sz w:val="24"/>
          <w:szCs w:val="24"/>
        </w:rPr>
        <w:t xml:space="preserve"> </w:t>
      </w:r>
      <w:r w:rsidR="000A54C4"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{"citationItems":[{"id":"ITEM-1","itemData":{"DOI":"10.1186/s12933-018-0762-4","ISSN":"14752840","PMID":"30170598","abstract":"For many years, cardiovascular disease (CVD) has been the leading cause of death around the world. Often associated with CVD are comorbidities such as obesity, abnormal lipid profiles and insulin resistance. Insulin is a key hormone that functions as a regulator of cellular metabolism in many tissues in the human body. Insulin resistance is defined as a decrease in tissue response to insulin stimulation thus insulin resistance is characterized by defects in uptake and oxidation of glucose, a decrease in glycogen synthesis, and, to a lesser extent, the ability to suppress lipid oxidation. Literature widely suggests that free fatty acids are the predominant substrate used in the adult myocardium for ATP production, however, the cardiac metabolic network is highly flexible and can use other substrates, such as glucose, lactate or amino acids. During insulin resistance, several metabolic alterations induce the development of cardiovascular disease. For instance, insulin resistance can induce an imbalance in glucose metabolism that generates chronic hyperglycemia, which in turn triggers oxidative stress and causes an inflammatory response that leads to cell damage. Insulin resistance can also alter systemic lipid metabolism which then leads to the development of dyslipidemia and the well-known lipid triad: (1) high levels of plasma triglycerides, (2) low levels of high-density lipoprotein, and (3) the appearance of small dense low-density lipoproteins. This triad, along with endothelial dysfunction, which can also be induced by aberrant insulin signaling, contribute to atherosclerotic plaque formation. Regarding the systemic consequences associated with insulin resistance and the metabolic cardiac alterations, it can be concluded that insulin resistance in the myocardium generates damage by at least three different mechanisms: (1) signal transduction alteration, (2) impaired regulation of substrate metabolism, and (3) altered delivery of substrates to the myocardium. The aim of this review is to discuss the mechanisms associated with insulin resistance and the development of CVD. New therapies focused on decreasing insulin resistance may contribute to a decrease in both CVD and atherosclerotic plaque generation.","author":[{"dropping-particle":"","family":"Ormazabal","given":"Valeska","non-dropping-particle":"","parse-names":false,"suffix":""},{"dropping-particle":"","family":"Nair","given":"Soumyalekshmi","non-dropping-particle":"","parse-names":false,"suffix":""},{"dropping-particle":"","family":"Elfeky","given":"Omar","non-dropping-particle":"","parse-names":false,"suffix":""},{"dropping-particle":"","family":"Aguayo","given":"Claudio","non-dropping-particle":"","parse-names":false,"suffix":""},{"dropping-particle":"","family":"Salomon","given":"Carlos","non-dropping-particle":"","parse-names":false,"suffix":""},{"dropping-particle":"","family":"Zuñiga","given":"Felipe A.","non-dropping-particle":"","parse-names":false,"suffix":""}],"container-title":"Cardiovascular Diabetology","id":"ITEM-1","issue":"1","issued":{"date-parts":[["2018","8","31"]]},"publisher":"Cardiovasc Diabetol","title":"Association between insulin resistance and the development of cardiovascular disease","type":"article","volume":"17"},"uris":["http://www.mendeley.com/documents/?uuid=5ff91e5d-3674-360c-8614-5b831c988ba9"]}],"mendeley":{"formattedCitation":"(Ormazabal &lt;i&gt;et al.&lt;/i&gt;, 2018)","plainTextFormattedCitation":"(Ormazabal et al., 2018)","previouslyFormattedCitation":"(Ormazabal &lt;i&gt;et al.&lt;/i&gt;, 2018)"},"properties":{"noteIndex":0},"schema":"https://github.com/citation-style-language/schema/raw/master/csl-citation.json"}</w:instrText>
      </w:r>
      <w:r w:rsidR="000A54C4" w:rsidRPr="0035519F">
        <w:rPr>
          <w:rFonts w:ascii="Arial" w:hAnsi="Arial" w:cs="Arial"/>
          <w:sz w:val="24"/>
          <w:szCs w:val="24"/>
        </w:rPr>
        <w:fldChar w:fldCharType="separate"/>
      </w:r>
      <w:r w:rsidR="00D11F03" w:rsidRPr="0035519F">
        <w:rPr>
          <w:rFonts w:ascii="Arial" w:hAnsi="Arial" w:cs="Arial"/>
          <w:noProof/>
          <w:sz w:val="24"/>
          <w:szCs w:val="24"/>
        </w:rPr>
        <w:t xml:space="preserve">(Ormazabal </w:t>
      </w:r>
      <w:r w:rsidR="00D11F03" w:rsidRPr="0035519F">
        <w:rPr>
          <w:rFonts w:ascii="Arial" w:hAnsi="Arial" w:cs="Arial"/>
          <w:i/>
          <w:noProof/>
          <w:sz w:val="24"/>
          <w:szCs w:val="24"/>
        </w:rPr>
        <w:t>et al.</w:t>
      </w:r>
      <w:r w:rsidR="00D11F03" w:rsidRPr="0035519F">
        <w:rPr>
          <w:rFonts w:ascii="Arial" w:hAnsi="Arial" w:cs="Arial"/>
          <w:noProof/>
          <w:sz w:val="24"/>
          <w:szCs w:val="24"/>
        </w:rPr>
        <w:t>, 2018)</w:t>
      </w:r>
      <w:r w:rsidR="000A54C4" w:rsidRPr="0035519F">
        <w:rPr>
          <w:rFonts w:ascii="Arial" w:hAnsi="Arial" w:cs="Arial"/>
          <w:sz w:val="24"/>
          <w:szCs w:val="24"/>
        </w:rPr>
        <w:fldChar w:fldCharType="end"/>
      </w:r>
      <w:r w:rsidR="00805A67" w:rsidRPr="0035519F">
        <w:rPr>
          <w:rFonts w:ascii="Arial" w:hAnsi="Arial" w:cs="Arial"/>
          <w:sz w:val="24"/>
          <w:szCs w:val="24"/>
        </w:rPr>
        <w:t>.</w:t>
      </w:r>
    </w:p>
    <w:p w14:paraId="00DB93EE" w14:textId="77777777" w:rsidR="006E6BC2" w:rsidRPr="0035519F" w:rsidRDefault="00C870E5" w:rsidP="007757AB">
      <w:pPr>
        <w:spacing w:after="0" w:line="480" w:lineRule="auto"/>
        <w:ind w:firstLine="426"/>
        <w:jc w:val="both"/>
        <w:rPr>
          <w:rFonts w:ascii="Arial" w:hAnsi="Arial" w:cs="Arial"/>
          <w:sz w:val="24"/>
          <w:szCs w:val="24"/>
        </w:rPr>
      </w:pPr>
      <w:r w:rsidRPr="0035519F">
        <w:rPr>
          <w:rFonts w:ascii="Arial" w:hAnsi="Arial" w:cs="Arial"/>
          <w:i/>
          <w:sz w:val="24"/>
          <w:szCs w:val="24"/>
        </w:rPr>
        <w:t>Euglycemia clamp</w:t>
      </w:r>
      <w:r w:rsidRPr="0035519F">
        <w:rPr>
          <w:rFonts w:ascii="Arial" w:hAnsi="Arial" w:cs="Arial"/>
          <w:sz w:val="24"/>
          <w:szCs w:val="24"/>
        </w:rPr>
        <w:t xml:space="preserve"> merupa</w:t>
      </w:r>
      <w:r w:rsidR="00805A67" w:rsidRPr="0035519F">
        <w:rPr>
          <w:rFonts w:ascii="Arial" w:hAnsi="Arial" w:cs="Arial"/>
          <w:sz w:val="24"/>
          <w:szCs w:val="24"/>
        </w:rPr>
        <w:t>kan baku emas un</w:t>
      </w:r>
      <w:r w:rsidR="00A00D79" w:rsidRPr="0035519F">
        <w:rPr>
          <w:rFonts w:ascii="Arial" w:hAnsi="Arial" w:cs="Arial"/>
          <w:sz w:val="24"/>
          <w:szCs w:val="24"/>
        </w:rPr>
        <w:t>tuk diagnosis resistensi insulin</w:t>
      </w:r>
      <w:r w:rsidRPr="0035519F">
        <w:rPr>
          <w:rFonts w:ascii="Arial" w:hAnsi="Arial" w:cs="Arial"/>
          <w:sz w:val="24"/>
          <w:szCs w:val="24"/>
        </w:rPr>
        <w:t xml:space="preserve">, akan tetapi pemeriksaan ini sangat mahal, bersifat invasif dan membutuhkan keahlian khusus. Nilai HOMA-IR kemudian menggantikan </w:t>
      </w:r>
      <w:r w:rsidRPr="0035519F">
        <w:rPr>
          <w:rFonts w:ascii="Arial" w:hAnsi="Arial" w:cs="Arial"/>
          <w:i/>
          <w:sz w:val="24"/>
          <w:szCs w:val="24"/>
        </w:rPr>
        <w:t>euglycemia clamp</w:t>
      </w:r>
      <w:r w:rsidRPr="0035519F">
        <w:rPr>
          <w:rFonts w:ascii="Arial" w:hAnsi="Arial" w:cs="Arial"/>
          <w:sz w:val="24"/>
          <w:szCs w:val="24"/>
        </w:rPr>
        <w:t xml:space="preserve"> </w:t>
      </w:r>
      <w:r w:rsidR="00966F28" w:rsidRPr="0035519F">
        <w:rPr>
          <w:rFonts w:ascii="Arial" w:hAnsi="Arial" w:cs="Arial"/>
          <w:sz w:val="24"/>
          <w:szCs w:val="24"/>
        </w:rPr>
        <w:t>dalam</w:t>
      </w:r>
      <w:r w:rsidRPr="0035519F">
        <w:rPr>
          <w:rFonts w:ascii="Arial" w:hAnsi="Arial" w:cs="Arial"/>
          <w:sz w:val="24"/>
          <w:szCs w:val="24"/>
        </w:rPr>
        <w:t xml:space="preserve"> mendeteksi </w:t>
      </w:r>
      <w:r w:rsidR="00A00D79" w:rsidRPr="0035519F">
        <w:rPr>
          <w:rFonts w:ascii="Arial" w:hAnsi="Arial" w:cs="Arial"/>
          <w:sz w:val="24"/>
          <w:szCs w:val="24"/>
        </w:rPr>
        <w:t>resistensi insulin</w:t>
      </w:r>
      <w:r w:rsidRPr="0035519F">
        <w:rPr>
          <w:rFonts w:ascii="Arial" w:hAnsi="Arial" w:cs="Arial"/>
          <w:sz w:val="24"/>
          <w:szCs w:val="24"/>
        </w:rPr>
        <w:t xml:space="preserve">. Akan tetapi tidak semua fasilitas kesehatan memiliki sumberdaya untuk memeriksa kadar insulin plasma sebagai komponen perhitungan HOMA-IR. Pemeriksaan kadar insulin merupakan pemeriksaan yang relatif mahal di Indonesia. Biomarker pengganti yang lebih murah dan tersedia luas akan tetapi tetap akurat untuk memprediksi </w:t>
      </w:r>
      <w:r w:rsidR="00A00D79" w:rsidRPr="0035519F">
        <w:rPr>
          <w:rFonts w:ascii="Arial" w:hAnsi="Arial" w:cs="Arial"/>
          <w:sz w:val="24"/>
          <w:szCs w:val="24"/>
        </w:rPr>
        <w:t>resistensi insulin</w:t>
      </w:r>
      <w:r w:rsidR="003E6681" w:rsidRPr="0035519F">
        <w:rPr>
          <w:rFonts w:ascii="Arial" w:hAnsi="Arial" w:cs="Arial"/>
          <w:sz w:val="24"/>
          <w:szCs w:val="24"/>
        </w:rPr>
        <w:t xml:space="preserve"> sangat dibutuhkan </w:t>
      </w:r>
      <w:r w:rsidR="000A54C4"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{"citationItems":[{"id":"ITEM-1","itemData":{"DOI":"10.1016/S0895-7061(00)01229-2","ISSN":"0895-7061","PMID":"11206679","abstract":"The homeostasis model assessment (HOMA) has been extensively used as a reliable surrogate marker for measuring insulin resistance in patients with diabetes mellitus and in normal subjects. Comparative data in another insulin resistance state, hypertension, is lacking. The goal of the present study was to obtain that information by testing the correlation of HOMA with the euglycemic hyperinsulinemic clamp in 36 hypertensive and 27 normotensive subjects. Clamp-derived insulin sensitivity was calculated as the glucose disposal rate over steady-state plasma insulin concentration. Homeostasis model assessment was computed using the formula (fasting glucose × fasting insulin)/22.5. There was significant correlation between the clamp and HOMA for both the hypertensive (r = -0.64, P &lt; .0001) and normotensive subjects (r = -0.58, P = .002). The HOMA can be used reliably as a less expensive and less cumbersome alternative for measuring insulin resistance in hypertension. © 2001 American Journal of Hypertension, Ltd.","author":[{"dropping-particle":"","family":"Lansang","given":"Maria Cecilia","non-dropping-particle":"","parse-names":false,"suffix":""},{"dropping-particle":"","family":"Williams","given":"Gordon H.","non-dropping-particle":"","parse-names":false,"suffix":""},{"dropping-particle":"","family":"Carroll","given":"Judith S.","non-dropping-particle":"","parse-names":false,"suffix":""}],"container-title":"American journal of hypertension","id":"ITEM-1","issue":"1","issued":{"date-parts":[["2001"]]},"page":"51-53","publisher":"Am J Hypertens","title":"Correlation between the glucose clamp technique and the homeostasis model assessment in hypertension","type":"article-journal","volume":"14"},"uris":["http://www.mendeley.com/documents/?uuid=6bd8054f-d92b-302b-b3a6-b93669d05bde"]},{"id":"ITEM-2","itemData":{"DOI":"10.1186/1471-2288-11-158","ISSN":"1471-2288","PMID":"22112229","abstract":"Insulin resistance is one of the major aggravating factors for metabolic syndrome. There are many methods available for estimation of insulin resistance which range from complex techniques down to simple indices. For all methods of assessing insulin resistance it is essential that their validity and reliability is established before using them as investigations. The reference techniques of hyperinsulinaemic euglycaemic clamp and its alternative the frequently sampled intravenous glucose tolerance test are the most reliable methods available for estimating insulin resistance. However, many simple methods, from which indices can be derived, have been assessed and validated e.g. homeostasis model assessment (HOMA), quantitative insulin sensitivity check index (QUICKI). Given the increasing number of simple indices of IR it may be difficult for clinicians and researchers to select the most appropriate index for their studies. This review therefore provides guidelines and advices which must be considered before proceeding with a study. © 2011Borai et al; licensee BioMed Central Ltd.","author":[{"dropping-particle":"","family":"Borai","given":"Anwar","non-dropping-particle":"","parse-names":false,"suffix":""},{"dropping-particle":"","family":"Livingstone","given":"Callum","non-dropping-particle":"","parse-names":false,"suffix":""},{"dropping-particle":"","family":"Kaddam","given":"Ibrahim","non-dropping-particle":"","parse-names":false,"suffix":""},{"dropping-particle":"","family":"Ferns","given":"Gordon","non-dropping-particle":"","parse-names":false,"suffix":""}],"container-title":"BMC medical research methodology","id":"ITEM-2","issued":{"date-parts":[["2011"]]},"publisher":"BMC Med Res Methodol","title":"Selection of the appropriate method for the assessment of insulin resistance","type":"article-journal","volume":"11"},"uris":["http://www.mendeley.com/documents/?uuid=089204f6-6776-3abe-a008-2d06c7dce034"]}],"mendeley":{"formattedCitation":"(Lansang, Williams and Carroll, 2001; Borai &lt;i&gt;et al.&lt;/i&gt;, 2011)","plainTextFormattedCitation":"(Lansang, Williams and Carroll, 2001; Borai et al., 2011)","previouslyFormattedCitation":"(Lansang, Williams and Carroll, 2001; Borai &lt;i&gt;et al.&lt;/i&gt;, 2011)"},"properties":{"noteIndex":0},"schema":"https://github.com/citation-style-language/schema/raw/master/csl-citation.json"}</w:instrText>
      </w:r>
      <w:r w:rsidR="000A54C4" w:rsidRPr="0035519F">
        <w:rPr>
          <w:rFonts w:ascii="Arial" w:hAnsi="Arial" w:cs="Arial"/>
          <w:sz w:val="24"/>
          <w:szCs w:val="24"/>
        </w:rPr>
        <w:fldChar w:fldCharType="separate"/>
      </w:r>
      <w:r w:rsidR="00D11F03" w:rsidRPr="0035519F">
        <w:rPr>
          <w:rFonts w:ascii="Arial" w:hAnsi="Arial" w:cs="Arial"/>
          <w:noProof/>
          <w:sz w:val="24"/>
          <w:szCs w:val="24"/>
        </w:rPr>
        <w:t xml:space="preserve">(Lansang, Williams and Carroll, 2001; Borai </w:t>
      </w:r>
      <w:r w:rsidR="00D11F03" w:rsidRPr="0035519F">
        <w:rPr>
          <w:rFonts w:ascii="Arial" w:hAnsi="Arial" w:cs="Arial"/>
          <w:i/>
          <w:noProof/>
          <w:sz w:val="24"/>
          <w:szCs w:val="24"/>
        </w:rPr>
        <w:t>et al.</w:t>
      </w:r>
      <w:r w:rsidR="00D11F03" w:rsidRPr="0035519F">
        <w:rPr>
          <w:rFonts w:ascii="Arial" w:hAnsi="Arial" w:cs="Arial"/>
          <w:noProof/>
          <w:sz w:val="24"/>
          <w:szCs w:val="24"/>
        </w:rPr>
        <w:t>, 2011)</w:t>
      </w:r>
      <w:r w:rsidR="000A54C4" w:rsidRPr="0035519F">
        <w:rPr>
          <w:rFonts w:ascii="Arial" w:hAnsi="Arial" w:cs="Arial"/>
          <w:sz w:val="24"/>
          <w:szCs w:val="24"/>
        </w:rPr>
        <w:fldChar w:fldCharType="end"/>
      </w:r>
      <w:r w:rsidR="003E6681" w:rsidRPr="0035519F">
        <w:rPr>
          <w:rFonts w:ascii="Arial" w:hAnsi="Arial" w:cs="Arial"/>
          <w:sz w:val="24"/>
          <w:szCs w:val="24"/>
        </w:rPr>
        <w:t>.</w:t>
      </w:r>
      <w:r w:rsidR="006E6BC2" w:rsidRPr="0035519F">
        <w:rPr>
          <w:rFonts w:ascii="Arial" w:hAnsi="Arial" w:cs="Arial"/>
          <w:sz w:val="24"/>
          <w:szCs w:val="24"/>
        </w:rPr>
        <w:t xml:space="preserve"> </w:t>
      </w:r>
      <w:r w:rsidR="00B55BA2" w:rsidRPr="0035519F">
        <w:rPr>
          <w:rFonts w:ascii="Arial" w:hAnsi="Arial" w:cs="Arial"/>
          <w:sz w:val="24"/>
          <w:szCs w:val="24"/>
        </w:rPr>
        <w:t xml:space="preserve">Rumus perhitungan nilai HOMA-IR </w:t>
      </w:r>
      <w:r w:rsidR="00966F28" w:rsidRPr="0035519F">
        <w:rPr>
          <w:rFonts w:ascii="Arial" w:hAnsi="Arial" w:cs="Arial"/>
          <w:sz w:val="24"/>
          <w:szCs w:val="24"/>
        </w:rPr>
        <w:t>adalah sebagai berikut</w:t>
      </w:r>
      <w:r w:rsidR="00B55BA2" w:rsidRPr="0035519F">
        <w:rPr>
          <w:rFonts w:ascii="Arial" w:hAnsi="Arial" w:cs="Arial"/>
          <w:sz w:val="24"/>
          <w:szCs w:val="24"/>
        </w:rPr>
        <w:t>:</w:t>
      </w:r>
    </w:p>
    <w:p w14:paraId="02C6D13B" w14:textId="77777777" w:rsidR="00B55BA2" w:rsidRPr="0035519F" w:rsidRDefault="00B55BA2" w:rsidP="00B55BA2">
      <w:pPr>
        <w:spacing w:after="0" w:line="480" w:lineRule="auto"/>
        <w:ind w:firstLine="426"/>
        <w:jc w:val="center"/>
        <w:rPr>
          <w:rFonts w:ascii="Arial" w:hAnsi="Arial" w:cs="Arial"/>
          <w:sz w:val="24"/>
          <w:szCs w:val="24"/>
        </w:rPr>
      </w:pPr>
      <w:r w:rsidRPr="0035519F">
        <w:rPr>
          <w:noProof/>
        </w:rPr>
        <w:drawing>
          <wp:inline distT="0" distB="0" distL="0" distR="0" wp14:anchorId="0B9A2D70" wp14:editId="34CDE606">
            <wp:extent cx="3533775" cy="1719770"/>
            <wp:effectExtent l="19050" t="19050" r="9525" b="139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6620" t="54207" r="29261" b="16262"/>
                    <a:stretch/>
                  </pic:blipFill>
                  <pic:spPr bwMode="auto">
                    <a:xfrm>
                      <a:off x="0" y="0"/>
                      <a:ext cx="3592873" cy="17485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5567A7" w14:textId="77777777" w:rsidR="00A00AE1" w:rsidRPr="0035519F" w:rsidRDefault="00A00AE1" w:rsidP="00A00AE1">
      <w:pPr>
        <w:spacing w:after="0" w:line="480" w:lineRule="auto"/>
        <w:ind w:firstLine="426"/>
        <w:jc w:val="both"/>
        <w:rPr>
          <w:rFonts w:ascii="Arial" w:hAnsi="Arial" w:cs="Arial"/>
          <w:sz w:val="24"/>
          <w:szCs w:val="24"/>
        </w:rPr>
      </w:pPr>
      <w:r w:rsidRPr="0035519F">
        <w:rPr>
          <w:rFonts w:ascii="Arial" w:hAnsi="Arial" w:cs="Arial"/>
          <w:i/>
          <w:sz w:val="24"/>
          <w:szCs w:val="24"/>
        </w:rPr>
        <w:t>Cut-off</w:t>
      </w:r>
      <w:r w:rsidRPr="0035519F">
        <w:rPr>
          <w:rFonts w:ascii="Arial" w:hAnsi="Arial" w:cs="Arial"/>
          <w:i/>
          <w:spacing w:val="1"/>
          <w:sz w:val="24"/>
          <w:szCs w:val="24"/>
        </w:rPr>
        <w:t xml:space="preserve"> </w:t>
      </w:r>
      <w:r w:rsidRPr="0035519F">
        <w:rPr>
          <w:rFonts w:ascii="Arial" w:hAnsi="Arial" w:cs="Arial"/>
          <w:sz w:val="24"/>
          <w:szCs w:val="24"/>
        </w:rPr>
        <w:t>HOMA-IR</w:t>
      </w:r>
      <w:r w:rsidRPr="0035519F">
        <w:rPr>
          <w:rFonts w:ascii="Arial" w:hAnsi="Arial" w:cs="Arial"/>
          <w:spacing w:val="1"/>
          <w:sz w:val="24"/>
          <w:szCs w:val="24"/>
        </w:rPr>
        <w:t xml:space="preserve"> </w:t>
      </w:r>
      <w:r w:rsidRPr="0035519F">
        <w:rPr>
          <w:rFonts w:ascii="Arial" w:hAnsi="Arial" w:cs="Arial"/>
          <w:sz w:val="24"/>
          <w:szCs w:val="24"/>
        </w:rPr>
        <w:t>bervariasi</w:t>
      </w:r>
      <w:r w:rsidRPr="0035519F">
        <w:rPr>
          <w:rFonts w:ascii="Arial" w:hAnsi="Arial" w:cs="Arial"/>
          <w:spacing w:val="1"/>
          <w:sz w:val="24"/>
          <w:szCs w:val="24"/>
        </w:rPr>
        <w:t xml:space="preserve"> </w:t>
      </w:r>
      <w:r w:rsidRPr="0035519F">
        <w:rPr>
          <w:rFonts w:ascii="Arial" w:hAnsi="Arial" w:cs="Arial"/>
          <w:sz w:val="24"/>
          <w:szCs w:val="24"/>
        </w:rPr>
        <w:t>berdasarkan</w:t>
      </w:r>
      <w:r w:rsidRPr="0035519F">
        <w:rPr>
          <w:rFonts w:ascii="Arial" w:hAnsi="Arial" w:cs="Arial"/>
          <w:spacing w:val="1"/>
          <w:sz w:val="24"/>
          <w:szCs w:val="24"/>
        </w:rPr>
        <w:t xml:space="preserve"> </w:t>
      </w:r>
      <w:r w:rsidRPr="0035519F">
        <w:rPr>
          <w:rFonts w:ascii="Arial" w:hAnsi="Arial" w:cs="Arial"/>
          <w:sz w:val="24"/>
          <w:szCs w:val="24"/>
        </w:rPr>
        <w:t>ras,</w:t>
      </w:r>
      <w:r w:rsidRPr="0035519F">
        <w:rPr>
          <w:rFonts w:ascii="Arial" w:hAnsi="Arial" w:cs="Arial"/>
          <w:spacing w:val="1"/>
          <w:sz w:val="24"/>
          <w:szCs w:val="24"/>
        </w:rPr>
        <w:t xml:space="preserve"> </w:t>
      </w:r>
      <w:r w:rsidRPr="0035519F">
        <w:rPr>
          <w:rFonts w:ascii="Arial" w:hAnsi="Arial" w:cs="Arial"/>
          <w:sz w:val="24"/>
          <w:szCs w:val="24"/>
        </w:rPr>
        <w:t>usia,</w:t>
      </w:r>
      <w:r w:rsidRPr="0035519F">
        <w:rPr>
          <w:rFonts w:ascii="Arial" w:hAnsi="Arial" w:cs="Arial"/>
          <w:spacing w:val="66"/>
          <w:sz w:val="24"/>
          <w:szCs w:val="24"/>
        </w:rPr>
        <w:t xml:space="preserve"> </w:t>
      </w:r>
      <w:r w:rsidRPr="0035519F">
        <w:rPr>
          <w:rFonts w:ascii="Arial" w:hAnsi="Arial" w:cs="Arial"/>
          <w:sz w:val="24"/>
          <w:szCs w:val="24"/>
        </w:rPr>
        <w:t>jenis</w:t>
      </w:r>
      <w:r w:rsidRPr="0035519F">
        <w:rPr>
          <w:rFonts w:ascii="Arial" w:hAnsi="Arial" w:cs="Arial"/>
          <w:spacing w:val="1"/>
          <w:sz w:val="24"/>
          <w:szCs w:val="24"/>
        </w:rPr>
        <w:t xml:space="preserve"> </w:t>
      </w:r>
      <w:r w:rsidRPr="0035519F">
        <w:rPr>
          <w:rFonts w:ascii="Arial" w:hAnsi="Arial" w:cs="Arial"/>
          <w:sz w:val="24"/>
          <w:szCs w:val="24"/>
        </w:rPr>
        <w:t>kelamin, penyakit dan komplikasi karena kompleksitas resistensi insulin.</w:t>
      </w:r>
      <w:r w:rsidRPr="0035519F">
        <w:rPr>
          <w:rFonts w:ascii="Arial" w:hAnsi="Arial" w:cs="Arial"/>
          <w:spacing w:val="1"/>
          <w:sz w:val="24"/>
          <w:szCs w:val="24"/>
        </w:rPr>
        <w:t xml:space="preserve"> </w:t>
      </w:r>
      <w:r w:rsidRPr="0035519F">
        <w:rPr>
          <w:rFonts w:ascii="Arial" w:hAnsi="Arial" w:cs="Arial"/>
          <w:sz w:val="24"/>
          <w:szCs w:val="24"/>
        </w:rPr>
        <w:t xml:space="preserve">Kesepakatan internasional mengenai </w:t>
      </w:r>
      <w:r w:rsidRPr="0035519F">
        <w:rPr>
          <w:rFonts w:ascii="Arial" w:hAnsi="Arial" w:cs="Arial"/>
          <w:i/>
          <w:sz w:val="24"/>
          <w:szCs w:val="24"/>
        </w:rPr>
        <w:t>Cut-off</w:t>
      </w:r>
      <w:r w:rsidRPr="0035519F">
        <w:rPr>
          <w:rFonts w:ascii="Arial" w:hAnsi="Arial" w:cs="Arial"/>
          <w:i/>
          <w:spacing w:val="1"/>
          <w:sz w:val="24"/>
          <w:szCs w:val="24"/>
        </w:rPr>
        <w:t xml:space="preserve"> </w:t>
      </w:r>
      <w:r w:rsidRPr="0035519F">
        <w:rPr>
          <w:rFonts w:ascii="Arial" w:hAnsi="Arial" w:cs="Arial"/>
          <w:sz w:val="24"/>
          <w:szCs w:val="24"/>
        </w:rPr>
        <w:t xml:space="preserve">untuk menentukan resistensi insulin baik pada dewasa maupun remaja berdasarkan indeks HOMA-IR belum dicapai hingga saat ini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{"citationItems":[{"id":"ITEM-1","itemData":{"DOI":"10.5582/ddt.2015.01207","ISSN":"1881-7831","PMID":"26781921","abstract":"Diabetes mellitus (DM) appears to be increasing rapidly, threatening to reduce life expectancy for humans around the globe. The International Diabetes Federation (IDF) has estimated that there will be 642 million people living with the disease by 2040 and half as many again who will be not diagnosed. This means that pre-DM screening is a critical issue. Insulin resistance (IR) has emerged as a major pathophysiological factor in the development and progression of DM since it is evident in susceptible individuals at the early stages of DM, and particularly type 2 DM (T2DM). Therefore, assessment of IR via the homeostasis model assessment of IR (HOMA-IR) is a key index for the primary prevention of DM and is thus found in guidelines for screening of high-risk groups. However, the cut-off values of HOMA-IR differ for different races, ages, genders, diseases, complications, etc. due to the complexity of IR. This hampers the determination of specific cut-off values of HOMA-IR in different places and in different situations. China has not published an official index to gauge IR for primary prevention of T2DM in the diabetic and non-diabetic population except for children and adolescents ages 6-12 years. Hence, this article summarizes developments in research on IR, HOMA-IR, and pre-DM screening in order to provide a reference for optimal cut-off values of HOMA-IR for the diagnosis of DM in the Chinese population.","author":[{"dropping-particle":"","family":"Tang","given":"Qi","non-dropping-particle":"","parse-names":false,"suffix":""},{"dropping-particle":"","family":"Li","given":"Xueqin","non-dropping-particle":"","parse-names":false,"suffix":""},{"dropping-particle":"","family":"Song","given":"Peipei","non-dropping-particle":"","parse-names":false,"suffix":""},{"dropping-particle":"","family":"Xu","given":"Lingzhong","non-dropping-particle":"","parse-names":false,"suffix":""}],"container-title":"Drug Discoveries &amp; Therapeutics","id":"ITEM-1","issue":"6","issued":{"date-parts":[["2015"]]},"page":"380-385","title":"Optimal cut-off values for the homeostasis model assessment of insulin resistance (HOMA-IR) and pre-diabetes screening: Developments in research and prospects for the future","type":"article-journal","volume":"9"},"uris":["http://www.mendeley.com/documents/?uuid=c5e8e1dd-96b4-40c6-a780-84f5e8d6a8ea","http://www.mendeley.com/documents/?uuid=945e484e-60ce-4853-bd1f-744098c2fc11"]},{"id":"ITEM-2","itemData":{"DOI":"10.1038/srep36725","ISSN":"20452322","PMID":"27830830","abstract":"We compared markers of glucose homeostasis and their association with diabetes and impaired fasting glucose (IFG) in Fukuoka, Japanese subjects (n = 1108) and age-, gender- and menopausal statusmatched participants in the Framingham Offspring Study (n = 1096). The markers examined included fasting glucose, insulin, adiponectin, and glycated albumin, as well as body mass index (BMI), use of medications, and history of diabetes. The results showed that IFG prevalence in Japanese men (15.9%) and women (7.4%) were 50% less than those observed in Framingham men (34.5%) and women (21.4%) (P &lt; 0.001). However, the diabetes prevalence in Japanese men at 13.3% was twice as high (P &lt; 0.01) as the rate in Framingham men at 6.5%, while these rates were similar in women. Median insulin levels in Japanese men (4.6 μIU/mL) and women (4.3 μIU/mL) were about 50% lower (P &lt; 0.001) than those in Framingham men (10.8 μIU/mL) and women (9.9 μIU/mL), as were insulin resistance values (P &lt; 0.001). These population differences were also observed after subjects were stratified by glucose levels. In conclusion, our data indicate that there is significantly less IFG, lower insulin levels, and insulin resistance, but higher diabetes prevalence in Fukuoka men than in Framingham men, indicating that insulin deficiency may be an important cause of diabetes in Japan.","author":[{"dropping-particle":"","family":"Ikezaki","given":"Hiroaki","non-dropping-particle":"","parse-names":false,"suffix":""},{"dropping-particle":"","family":"Ai","given":"Masumi","non-dropping-particle":"","parse-names":false,"suffix":""},{"dropping-particle":"","family":"Schaefer","given":"Ernst J","non-dropping-particle":"","parse-names":false,"suffix":""},{"dropping-particle":"","family":"Otokozawa","given":"Seiko","non-dropping-particle":"","parse-names":false,"suffix":""},{"dropping-particle":"","family":"Asztalos","given":"Bela F","non-dropping-particle":"","parse-names":false,"suffix":""},{"dropping-particle":"","family":"Nakajima","given":"Katsuyuki","non-dropping-particle":"","parse-names":false,"suffix":""},{"dropping-particle":"","family":"Zhou","given":"Yanhua","non-dropping-particle":"","parse-names":false,"suffix":""},{"dropping-particle":"","family":"Liu","given":"Ching Ti","non-dropping-particle":"","parse-names":false,"suffix":""},{"dropping-particle":"","family":"Jacques","given":"Paul F","non-dropping-particle":"","parse-names":false,"suffix":""},{"dropping-particle":"","family":"Cupples","given":"L Adrienne","non-dropping-particle":"","parse-names":false,"suffix":""},{"dropping-particle":"","family":"Furusyo","given":"Norihiro","non-dropping-particle":"","parse-names":false,"suffix":""}],"container-title":"Scientific Reports","id":"ITEM-2","issued":{"date-parts":[["2016"]]},"title":"Ethnic differences in glucose homeostasis markers between the Kyushu-Okinawa population study and the Framingham offspring study","type":"article-journal","volume":"6"},"uris":["http://www.mendeley.com/documents/?uuid=6bf6f384-03e7-3214-8c53-3f04105b106f"]}],"mendeley":{"formattedCitation":"(Tang &lt;i&gt;et al.&lt;/i&gt;, 2015; Ikezaki &lt;i&gt;et al.&lt;/i&gt;, 2016)","plainTextFormattedCitation":"(Tang et al., 2015; Ikezaki et al., 2016)","previouslyFormattedCitation":"(Tang &lt;i&gt;et al.&lt;/i&gt;, 2015; Ikezaki &lt;i&gt;et al.&lt;/i&gt;, 2016)"},"properties":{"noteIndex":0},"schema":"https://github.com/citation-style-language/schema/raw/master/csl-citation.json"}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(Tang </w:t>
      </w:r>
      <w:r w:rsidRPr="0035519F">
        <w:rPr>
          <w:rFonts w:ascii="Arial" w:hAnsi="Arial" w:cs="Arial"/>
          <w:i/>
          <w:noProof/>
          <w:sz w:val="24"/>
          <w:szCs w:val="24"/>
        </w:rPr>
        <w:t>et al.</w:t>
      </w:r>
      <w:r w:rsidRPr="0035519F">
        <w:rPr>
          <w:rFonts w:ascii="Arial" w:hAnsi="Arial" w:cs="Arial"/>
          <w:noProof/>
          <w:sz w:val="24"/>
          <w:szCs w:val="24"/>
        </w:rPr>
        <w:t xml:space="preserve">, 2015; Ikezaki </w:t>
      </w:r>
      <w:r w:rsidRPr="0035519F">
        <w:rPr>
          <w:rFonts w:ascii="Arial" w:hAnsi="Arial" w:cs="Arial"/>
          <w:i/>
          <w:noProof/>
          <w:sz w:val="24"/>
          <w:szCs w:val="24"/>
        </w:rPr>
        <w:t>et al.</w:t>
      </w:r>
      <w:r w:rsidRPr="0035519F">
        <w:rPr>
          <w:rFonts w:ascii="Arial" w:hAnsi="Arial" w:cs="Arial"/>
          <w:noProof/>
          <w:sz w:val="24"/>
          <w:szCs w:val="24"/>
        </w:rPr>
        <w:t>, 2016)</w:t>
      </w:r>
      <w:r w:rsidRPr="0035519F">
        <w:rPr>
          <w:rFonts w:ascii="Arial" w:hAnsi="Arial" w:cs="Arial"/>
          <w:sz w:val="24"/>
          <w:szCs w:val="24"/>
        </w:rPr>
        <w:fldChar w:fldCharType="end"/>
      </w:r>
    </w:p>
    <w:p w14:paraId="07763EE2" w14:textId="193F70BB" w:rsidR="007757AB" w:rsidRPr="0035519F" w:rsidRDefault="00611B87" w:rsidP="00611B87">
      <w:pPr>
        <w:pStyle w:val="Caption"/>
        <w:rPr>
          <w:rFonts w:ascii="Arial" w:hAnsi="Arial" w:cs="Arial"/>
          <w:i w:val="0"/>
          <w:color w:val="auto"/>
          <w:sz w:val="24"/>
          <w:szCs w:val="24"/>
        </w:rPr>
      </w:pPr>
      <w:bookmarkStart w:id="47" w:name="_Toc73825305"/>
      <w:bookmarkStart w:id="48" w:name="_Toc111873675"/>
      <w:bookmarkStart w:id="49" w:name="_Toc72145879"/>
      <w:r w:rsidRPr="0035519F">
        <w:rPr>
          <w:rFonts w:ascii="Arial" w:hAnsi="Arial" w:cs="Arial"/>
          <w:i w:val="0"/>
          <w:color w:val="auto"/>
          <w:sz w:val="24"/>
          <w:szCs w:val="24"/>
        </w:rPr>
        <w:lastRenderedPageBreak/>
        <w:t xml:space="preserve">Tabel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Tabel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3</w:t>
      </w:r>
      <w:r w:rsidRPr="0035519F">
        <w:rPr>
          <w:rFonts w:ascii="Arial" w:hAnsi="Arial" w:cs="Arial"/>
          <w:i w:val="0"/>
          <w:color w:val="auto"/>
          <w:sz w:val="24"/>
          <w:szCs w:val="24"/>
        </w:rPr>
        <w:fldChar w:fldCharType="end"/>
      </w:r>
      <w:r w:rsidRPr="0035519F">
        <w:rPr>
          <w:rFonts w:ascii="Arial" w:hAnsi="Arial" w:cs="Arial"/>
          <w:i w:val="0"/>
          <w:color w:val="auto"/>
          <w:sz w:val="24"/>
          <w:szCs w:val="24"/>
        </w:rPr>
        <w:t xml:space="preserve">. </w:t>
      </w:r>
      <w:r w:rsidR="007757AB" w:rsidRPr="0035519F">
        <w:rPr>
          <w:rFonts w:ascii="Arial" w:hAnsi="Arial" w:cs="Arial"/>
          <w:i w:val="0"/>
          <w:color w:val="auto"/>
          <w:sz w:val="24"/>
          <w:szCs w:val="24"/>
        </w:rPr>
        <w:t>Nilai cut-off HOMA-IR dalam literatur</w:t>
      </w:r>
      <w:bookmarkEnd w:id="47"/>
      <w:bookmarkEnd w:id="48"/>
      <w:r w:rsidR="007757AB" w:rsidRPr="0035519F">
        <w:rPr>
          <w:rFonts w:ascii="Arial" w:hAnsi="Arial" w:cs="Arial"/>
          <w:i w:val="0"/>
          <w:color w:val="auto"/>
          <w:sz w:val="24"/>
          <w:szCs w:val="24"/>
        </w:rPr>
        <w:t xml:space="preserve"> </w:t>
      </w:r>
      <w:bookmarkEnd w:id="49"/>
    </w:p>
    <w:tbl>
      <w:tblPr>
        <w:tblW w:w="7950" w:type="dxa"/>
        <w:tblLayout w:type="fixed"/>
        <w:tblCellMar>
          <w:left w:w="0" w:type="dxa"/>
          <w:right w:w="0" w:type="dxa"/>
        </w:tblCellMar>
        <w:tblLook w:val="01E0" w:firstRow="1" w:lastRow="1" w:firstColumn="1" w:lastColumn="1" w:noHBand="0" w:noVBand="0"/>
      </w:tblPr>
      <w:tblGrid>
        <w:gridCol w:w="1709"/>
        <w:gridCol w:w="1050"/>
        <w:gridCol w:w="2522"/>
        <w:gridCol w:w="930"/>
        <w:gridCol w:w="1739"/>
      </w:tblGrid>
      <w:tr w:rsidR="00117F69" w:rsidRPr="0035519F" w14:paraId="3ED32989" w14:textId="77777777" w:rsidTr="007757AB">
        <w:trPr>
          <w:trHeight w:val="551"/>
        </w:trPr>
        <w:tc>
          <w:tcPr>
            <w:tcW w:w="1709" w:type="dxa"/>
            <w:tcBorders>
              <w:top w:val="double" w:sz="2" w:space="0" w:color="000000"/>
              <w:left w:val="nil"/>
              <w:bottom w:val="double" w:sz="2" w:space="0" w:color="000000"/>
              <w:right w:val="nil"/>
            </w:tcBorders>
            <w:hideMark/>
          </w:tcPr>
          <w:p w14:paraId="5E571AAF" w14:textId="77777777" w:rsidR="007757AB" w:rsidRPr="0035519F" w:rsidRDefault="007757AB" w:rsidP="007757AB">
            <w:pPr>
              <w:pStyle w:val="TableParagraph"/>
              <w:spacing w:line="270" w:lineRule="exact"/>
              <w:ind w:left="516" w:right="251" w:hanging="240"/>
              <w:rPr>
                <w:sz w:val="24"/>
                <w:lang w:val="id-ID"/>
              </w:rPr>
            </w:pPr>
            <w:r w:rsidRPr="0035519F">
              <w:rPr>
                <w:sz w:val="24"/>
                <w:lang w:val="id-ID"/>
              </w:rPr>
              <w:t>Lokasi dan</w:t>
            </w:r>
            <w:r w:rsidRPr="0035519F">
              <w:rPr>
                <w:spacing w:val="-64"/>
                <w:sz w:val="24"/>
                <w:lang w:val="id-ID"/>
              </w:rPr>
              <w:t xml:space="preserve"> </w:t>
            </w:r>
            <w:r w:rsidRPr="0035519F">
              <w:rPr>
                <w:sz w:val="24"/>
                <w:lang w:val="id-ID"/>
              </w:rPr>
              <w:t>Tahun</w:t>
            </w:r>
          </w:p>
        </w:tc>
        <w:tc>
          <w:tcPr>
            <w:tcW w:w="1050" w:type="dxa"/>
            <w:tcBorders>
              <w:top w:val="double" w:sz="2" w:space="0" w:color="000000"/>
              <w:left w:val="nil"/>
              <w:bottom w:val="double" w:sz="2" w:space="0" w:color="000000"/>
              <w:right w:val="nil"/>
            </w:tcBorders>
            <w:hideMark/>
          </w:tcPr>
          <w:p w14:paraId="4EA7A512" w14:textId="77777777" w:rsidR="007757AB" w:rsidRPr="0035519F" w:rsidRDefault="007757AB" w:rsidP="007757AB">
            <w:pPr>
              <w:pStyle w:val="TableParagraph"/>
              <w:spacing w:line="270" w:lineRule="exact"/>
              <w:ind w:left="121" w:right="95" w:firstLine="19"/>
              <w:rPr>
                <w:sz w:val="24"/>
                <w:lang w:val="id-ID"/>
              </w:rPr>
            </w:pPr>
            <w:r w:rsidRPr="0035519F">
              <w:rPr>
                <w:sz w:val="24"/>
                <w:lang w:val="id-ID"/>
              </w:rPr>
              <w:t>Jumlah</w:t>
            </w:r>
            <w:r w:rsidRPr="0035519F">
              <w:rPr>
                <w:spacing w:val="-64"/>
                <w:sz w:val="24"/>
                <w:lang w:val="id-ID"/>
              </w:rPr>
              <w:t xml:space="preserve"> </w:t>
            </w:r>
            <w:r w:rsidRPr="0035519F">
              <w:rPr>
                <w:sz w:val="24"/>
                <w:lang w:val="id-ID"/>
              </w:rPr>
              <w:t>Sampel</w:t>
            </w:r>
          </w:p>
        </w:tc>
        <w:tc>
          <w:tcPr>
            <w:tcW w:w="2522" w:type="dxa"/>
            <w:tcBorders>
              <w:top w:val="double" w:sz="2" w:space="0" w:color="000000"/>
              <w:left w:val="nil"/>
              <w:bottom w:val="double" w:sz="2" w:space="0" w:color="000000"/>
              <w:right w:val="nil"/>
            </w:tcBorders>
            <w:hideMark/>
          </w:tcPr>
          <w:p w14:paraId="10747E81" w14:textId="77777777" w:rsidR="007757AB" w:rsidRPr="0035519F" w:rsidRDefault="007757AB" w:rsidP="007757AB">
            <w:pPr>
              <w:pStyle w:val="TableParagraph"/>
              <w:spacing w:line="270" w:lineRule="exact"/>
              <w:ind w:left="787" w:right="594" w:hanging="200"/>
              <w:rPr>
                <w:sz w:val="24"/>
                <w:lang w:val="id-ID"/>
              </w:rPr>
            </w:pPr>
            <w:r w:rsidRPr="0035519F">
              <w:rPr>
                <w:sz w:val="24"/>
                <w:lang w:val="id-ID"/>
              </w:rPr>
              <w:t>Karakteristik</w:t>
            </w:r>
            <w:r w:rsidRPr="0035519F">
              <w:rPr>
                <w:spacing w:val="-64"/>
                <w:sz w:val="24"/>
                <w:lang w:val="id-ID"/>
              </w:rPr>
              <w:t xml:space="preserve"> </w:t>
            </w:r>
            <w:r w:rsidRPr="0035519F">
              <w:rPr>
                <w:sz w:val="24"/>
                <w:lang w:val="id-ID"/>
              </w:rPr>
              <w:t>Populasi</w:t>
            </w:r>
          </w:p>
        </w:tc>
        <w:tc>
          <w:tcPr>
            <w:tcW w:w="930" w:type="dxa"/>
            <w:tcBorders>
              <w:top w:val="double" w:sz="2" w:space="0" w:color="000000"/>
              <w:left w:val="nil"/>
              <w:bottom w:val="double" w:sz="2" w:space="0" w:color="000000"/>
              <w:right w:val="nil"/>
            </w:tcBorders>
            <w:hideMark/>
          </w:tcPr>
          <w:p w14:paraId="6025E1F8" w14:textId="77777777" w:rsidR="007757AB" w:rsidRPr="0035519F" w:rsidRDefault="007757AB" w:rsidP="007757AB">
            <w:pPr>
              <w:pStyle w:val="TableParagraph"/>
              <w:spacing w:line="270" w:lineRule="exact"/>
              <w:ind w:left="159" w:right="137" w:firstLine="74"/>
              <w:rPr>
                <w:sz w:val="24"/>
                <w:lang w:val="id-ID"/>
              </w:rPr>
            </w:pPr>
            <w:r w:rsidRPr="0035519F">
              <w:rPr>
                <w:sz w:val="24"/>
                <w:lang w:val="id-ID"/>
              </w:rPr>
              <w:t>Nilai</w:t>
            </w:r>
            <w:r w:rsidRPr="0035519F">
              <w:rPr>
                <w:spacing w:val="1"/>
                <w:sz w:val="24"/>
                <w:lang w:val="id-ID"/>
              </w:rPr>
              <w:t xml:space="preserve"> </w:t>
            </w:r>
            <w:r w:rsidRPr="0035519F">
              <w:rPr>
                <w:sz w:val="24"/>
                <w:lang w:val="id-ID"/>
              </w:rPr>
              <w:t>Batas</w:t>
            </w:r>
          </w:p>
        </w:tc>
        <w:tc>
          <w:tcPr>
            <w:tcW w:w="1739" w:type="dxa"/>
            <w:tcBorders>
              <w:top w:val="double" w:sz="2" w:space="0" w:color="000000"/>
              <w:left w:val="nil"/>
              <w:bottom w:val="double" w:sz="2" w:space="0" w:color="000000"/>
              <w:right w:val="nil"/>
            </w:tcBorders>
            <w:hideMark/>
          </w:tcPr>
          <w:p w14:paraId="285ACF65" w14:textId="77777777" w:rsidR="007757AB" w:rsidRPr="0035519F" w:rsidRDefault="007757AB" w:rsidP="007757AB">
            <w:pPr>
              <w:pStyle w:val="TableParagraph"/>
              <w:spacing w:before="139"/>
              <w:ind w:left="130" w:right="98"/>
              <w:jc w:val="center"/>
              <w:rPr>
                <w:sz w:val="24"/>
                <w:lang w:val="id-ID"/>
              </w:rPr>
            </w:pPr>
            <w:r w:rsidRPr="0035519F">
              <w:rPr>
                <w:sz w:val="24"/>
                <w:lang w:val="id-ID"/>
              </w:rPr>
              <w:t>Kriteria</w:t>
            </w:r>
          </w:p>
        </w:tc>
      </w:tr>
      <w:tr w:rsidR="00117F69" w:rsidRPr="0035519F" w14:paraId="003D202D" w14:textId="77777777" w:rsidTr="007757AB">
        <w:trPr>
          <w:trHeight w:val="252"/>
        </w:trPr>
        <w:tc>
          <w:tcPr>
            <w:tcW w:w="1709" w:type="dxa"/>
            <w:tcBorders>
              <w:top w:val="double" w:sz="2" w:space="0" w:color="000000"/>
              <w:left w:val="nil"/>
              <w:bottom w:val="single" w:sz="4" w:space="0" w:color="000000"/>
              <w:right w:val="nil"/>
            </w:tcBorders>
            <w:hideMark/>
          </w:tcPr>
          <w:p w14:paraId="45ED506D" w14:textId="77777777" w:rsidR="007757AB" w:rsidRPr="0035519F" w:rsidRDefault="007757AB" w:rsidP="007757AB">
            <w:pPr>
              <w:pStyle w:val="TableParagraph"/>
              <w:spacing w:line="276" w:lineRule="auto"/>
              <w:ind w:left="115"/>
              <w:rPr>
                <w:lang w:val="id-ID"/>
              </w:rPr>
            </w:pPr>
            <w:r w:rsidRPr="0035519F">
              <w:rPr>
                <w:lang w:val="id-ID"/>
              </w:rPr>
              <w:t>Swedia,</w:t>
            </w:r>
            <w:r w:rsidRPr="0035519F">
              <w:rPr>
                <w:spacing w:val="-1"/>
                <w:lang w:val="id-ID"/>
              </w:rPr>
              <w:t xml:space="preserve"> </w:t>
            </w:r>
            <w:r w:rsidRPr="0035519F">
              <w:rPr>
                <w:lang w:val="id-ID"/>
              </w:rPr>
              <w:t>2000</w:t>
            </w:r>
          </w:p>
        </w:tc>
        <w:tc>
          <w:tcPr>
            <w:tcW w:w="1050" w:type="dxa"/>
            <w:tcBorders>
              <w:top w:val="double" w:sz="2" w:space="0" w:color="000000"/>
              <w:left w:val="nil"/>
              <w:bottom w:val="single" w:sz="4" w:space="0" w:color="000000"/>
              <w:right w:val="nil"/>
            </w:tcBorders>
            <w:hideMark/>
          </w:tcPr>
          <w:p w14:paraId="3C332F67" w14:textId="77777777" w:rsidR="007757AB" w:rsidRPr="0035519F" w:rsidRDefault="007757AB" w:rsidP="007757AB">
            <w:pPr>
              <w:pStyle w:val="TableParagraph"/>
              <w:spacing w:line="276" w:lineRule="auto"/>
              <w:ind w:left="126"/>
              <w:rPr>
                <w:lang w:val="id-ID"/>
              </w:rPr>
            </w:pPr>
            <w:r w:rsidRPr="0035519F">
              <w:rPr>
                <w:lang w:val="id-ID"/>
              </w:rPr>
              <w:t>n=4.816</w:t>
            </w:r>
          </w:p>
        </w:tc>
        <w:tc>
          <w:tcPr>
            <w:tcW w:w="2522" w:type="dxa"/>
            <w:tcBorders>
              <w:top w:val="double" w:sz="2" w:space="0" w:color="000000"/>
              <w:left w:val="nil"/>
              <w:bottom w:val="single" w:sz="4" w:space="0" w:color="000000"/>
              <w:right w:val="nil"/>
            </w:tcBorders>
            <w:hideMark/>
          </w:tcPr>
          <w:p w14:paraId="12AE590A" w14:textId="77777777" w:rsidR="007757AB" w:rsidRPr="0035519F" w:rsidRDefault="007757AB" w:rsidP="007757AB">
            <w:pPr>
              <w:pStyle w:val="TableParagraph"/>
              <w:spacing w:line="276" w:lineRule="auto"/>
              <w:ind w:left="113"/>
              <w:rPr>
                <w:lang w:val="id-ID"/>
              </w:rPr>
            </w:pPr>
            <w:r w:rsidRPr="0035519F">
              <w:rPr>
                <w:lang w:val="id-ID"/>
              </w:rPr>
              <w:t>Populasi</w:t>
            </w:r>
            <w:r w:rsidRPr="0035519F">
              <w:rPr>
                <w:spacing w:val="-2"/>
                <w:lang w:val="id-ID"/>
              </w:rPr>
              <w:t xml:space="preserve"> </w:t>
            </w:r>
            <w:r w:rsidRPr="0035519F">
              <w:rPr>
                <w:lang w:val="id-ID"/>
              </w:rPr>
              <w:t>sehat</w:t>
            </w:r>
          </w:p>
        </w:tc>
        <w:tc>
          <w:tcPr>
            <w:tcW w:w="930" w:type="dxa"/>
            <w:tcBorders>
              <w:top w:val="double" w:sz="2" w:space="0" w:color="000000"/>
              <w:left w:val="nil"/>
              <w:bottom w:val="single" w:sz="4" w:space="0" w:color="000000"/>
              <w:right w:val="nil"/>
            </w:tcBorders>
            <w:hideMark/>
          </w:tcPr>
          <w:p w14:paraId="459A8736" w14:textId="77777777" w:rsidR="007757AB" w:rsidRPr="0035519F" w:rsidRDefault="007757AB" w:rsidP="007757AB">
            <w:pPr>
              <w:pStyle w:val="TableParagraph"/>
              <w:spacing w:line="276" w:lineRule="auto"/>
              <w:ind w:left="315"/>
              <w:rPr>
                <w:b/>
                <w:lang w:val="id-ID"/>
              </w:rPr>
            </w:pPr>
            <w:r w:rsidRPr="0035519F">
              <w:rPr>
                <w:b/>
                <w:lang w:val="id-ID"/>
              </w:rPr>
              <w:t>2,0</w:t>
            </w:r>
          </w:p>
        </w:tc>
        <w:tc>
          <w:tcPr>
            <w:tcW w:w="1739" w:type="dxa"/>
            <w:tcBorders>
              <w:top w:val="double" w:sz="2" w:space="0" w:color="000000"/>
              <w:left w:val="nil"/>
              <w:bottom w:val="single" w:sz="4" w:space="0" w:color="000000"/>
              <w:right w:val="nil"/>
            </w:tcBorders>
            <w:hideMark/>
          </w:tcPr>
          <w:p w14:paraId="5441ED65"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ke-75</w:t>
            </w:r>
          </w:p>
        </w:tc>
      </w:tr>
      <w:tr w:rsidR="00117F69" w:rsidRPr="0035519F" w14:paraId="25217BAE" w14:textId="77777777" w:rsidTr="007757AB">
        <w:trPr>
          <w:trHeight w:val="505"/>
        </w:trPr>
        <w:tc>
          <w:tcPr>
            <w:tcW w:w="1709" w:type="dxa"/>
            <w:tcBorders>
              <w:top w:val="single" w:sz="4" w:space="0" w:color="000000"/>
              <w:left w:val="nil"/>
              <w:bottom w:val="single" w:sz="4" w:space="0" w:color="000000"/>
              <w:right w:val="nil"/>
            </w:tcBorders>
            <w:hideMark/>
          </w:tcPr>
          <w:p w14:paraId="440801B7" w14:textId="77777777" w:rsidR="007757AB" w:rsidRPr="0035519F" w:rsidRDefault="007757AB" w:rsidP="007757AB">
            <w:pPr>
              <w:pStyle w:val="TableParagraph"/>
              <w:spacing w:line="276" w:lineRule="auto"/>
              <w:ind w:left="115"/>
              <w:rPr>
                <w:lang w:val="id-ID"/>
              </w:rPr>
            </w:pPr>
            <w:r w:rsidRPr="0035519F">
              <w:rPr>
                <w:lang w:val="id-ID"/>
              </w:rPr>
              <w:t>Perancis,</w:t>
            </w:r>
            <w:r w:rsidRPr="0035519F">
              <w:rPr>
                <w:spacing w:val="2"/>
                <w:lang w:val="id-ID"/>
              </w:rPr>
              <w:t xml:space="preserve"> </w:t>
            </w:r>
            <w:r w:rsidRPr="0035519F">
              <w:rPr>
                <w:lang w:val="id-ID"/>
              </w:rPr>
              <w:t>2002</w:t>
            </w:r>
          </w:p>
        </w:tc>
        <w:tc>
          <w:tcPr>
            <w:tcW w:w="1050" w:type="dxa"/>
            <w:tcBorders>
              <w:top w:val="single" w:sz="4" w:space="0" w:color="000000"/>
              <w:left w:val="nil"/>
              <w:bottom w:val="single" w:sz="4" w:space="0" w:color="000000"/>
              <w:right w:val="nil"/>
            </w:tcBorders>
            <w:hideMark/>
          </w:tcPr>
          <w:p w14:paraId="02369923" w14:textId="77777777" w:rsidR="007757AB" w:rsidRPr="0035519F" w:rsidRDefault="007757AB" w:rsidP="007757AB">
            <w:pPr>
              <w:pStyle w:val="TableParagraph"/>
              <w:spacing w:line="276" w:lineRule="auto"/>
              <w:ind w:left="126"/>
              <w:rPr>
                <w:lang w:val="id-ID"/>
              </w:rPr>
            </w:pPr>
            <w:r w:rsidRPr="0035519F">
              <w:rPr>
                <w:lang w:val="id-ID"/>
              </w:rPr>
              <w:t>n=1.153</w:t>
            </w:r>
          </w:p>
        </w:tc>
        <w:tc>
          <w:tcPr>
            <w:tcW w:w="2522" w:type="dxa"/>
            <w:tcBorders>
              <w:top w:val="single" w:sz="4" w:space="0" w:color="000000"/>
              <w:left w:val="nil"/>
              <w:bottom w:val="single" w:sz="4" w:space="0" w:color="000000"/>
              <w:right w:val="nil"/>
            </w:tcBorders>
            <w:hideMark/>
          </w:tcPr>
          <w:p w14:paraId="039D7271" w14:textId="77777777" w:rsidR="007757AB" w:rsidRPr="0035519F" w:rsidRDefault="007757AB" w:rsidP="007757AB">
            <w:pPr>
              <w:pStyle w:val="TableParagraph"/>
              <w:spacing w:line="276" w:lineRule="auto"/>
              <w:ind w:left="113" w:right="542"/>
              <w:rPr>
                <w:lang w:val="id-ID"/>
              </w:rPr>
            </w:pPr>
            <w:r w:rsidRPr="0035519F">
              <w:rPr>
                <w:lang w:val="id-ID"/>
              </w:rPr>
              <w:t>Usia: 35–64 tahun,</w:t>
            </w:r>
            <w:r w:rsidRPr="0035519F">
              <w:rPr>
                <w:spacing w:val="-59"/>
                <w:lang w:val="id-ID"/>
              </w:rPr>
              <w:t xml:space="preserve"> </w:t>
            </w:r>
            <w:r w:rsidRPr="0035519F">
              <w:rPr>
                <w:lang w:val="id-ID"/>
              </w:rPr>
              <w:t>populasi</w:t>
            </w:r>
            <w:r w:rsidRPr="0035519F">
              <w:rPr>
                <w:spacing w:val="-2"/>
                <w:lang w:val="id-ID"/>
              </w:rPr>
              <w:t xml:space="preserve"> </w:t>
            </w:r>
            <w:r w:rsidRPr="0035519F">
              <w:rPr>
                <w:lang w:val="id-ID"/>
              </w:rPr>
              <w:t>sehat</w:t>
            </w:r>
          </w:p>
        </w:tc>
        <w:tc>
          <w:tcPr>
            <w:tcW w:w="930" w:type="dxa"/>
            <w:tcBorders>
              <w:top w:val="single" w:sz="4" w:space="0" w:color="000000"/>
              <w:left w:val="nil"/>
              <w:bottom w:val="single" w:sz="4" w:space="0" w:color="000000"/>
              <w:right w:val="nil"/>
            </w:tcBorders>
            <w:hideMark/>
          </w:tcPr>
          <w:p w14:paraId="4A3BF84C" w14:textId="77777777" w:rsidR="007757AB" w:rsidRPr="0035519F" w:rsidRDefault="007757AB" w:rsidP="007757AB">
            <w:pPr>
              <w:pStyle w:val="TableParagraph"/>
              <w:spacing w:line="276" w:lineRule="auto"/>
              <w:ind w:left="315"/>
              <w:rPr>
                <w:b/>
                <w:lang w:val="id-ID"/>
              </w:rPr>
            </w:pPr>
            <w:r w:rsidRPr="0035519F">
              <w:rPr>
                <w:b/>
                <w:lang w:val="id-ID"/>
              </w:rPr>
              <w:t>3,8</w:t>
            </w:r>
          </w:p>
        </w:tc>
        <w:tc>
          <w:tcPr>
            <w:tcW w:w="1739" w:type="dxa"/>
            <w:tcBorders>
              <w:top w:val="single" w:sz="4" w:space="0" w:color="000000"/>
              <w:left w:val="nil"/>
              <w:bottom w:val="single" w:sz="4" w:space="0" w:color="000000"/>
              <w:right w:val="nil"/>
            </w:tcBorders>
            <w:hideMark/>
          </w:tcPr>
          <w:p w14:paraId="79B162A0"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ke-75</w:t>
            </w:r>
          </w:p>
        </w:tc>
      </w:tr>
      <w:tr w:rsidR="00117F69" w:rsidRPr="0035519F" w14:paraId="77645771" w14:textId="77777777" w:rsidTr="007757AB">
        <w:trPr>
          <w:trHeight w:val="504"/>
        </w:trPr>
        <w:tc>
          <w:tcPr>
            <w:tcW w:w="1709" w:type="dxa"/>
            <w:tcBorders>
              <w:top w:val="single" w:sz="4" w:space="0" w:color="000000"/>
              <w:left w:val="nil"/>
              <w:bottom w:val="single" w:sz="4" w:space="0" w:color="000000"/>
              <w:right w:val="nil"/>
            </w:tcBorders>
            <w:hideMark/>
          </w:tcPr>
          <w:p w14:paraId="109276E4" w14:textId="77777777" w:rsidR="007757AB" w:rsidRPr="0035519F" w:rsidRDefault="007757AB" w:rsidP="007757AB">
            <w:pPr>
              <w:pStyle w:val="TableParagraph"/>
              <w:spacing w:line="276" w:lineRule="auto"/>
              <w:ind w:left="115" w:right="545"/>
              <w:rPr>
                <w:lang w:val="id-ID"/>
              </w:rPr>
            </w:pPr>
            <w:r w:rsidRPr="0035519F">
              <w:rPr>
                <w:lang w:val="id-ID"/>
              </w:rPr>
              <w:t>Kaukasus,</w:t>
            </w:r>
            <w:r w:rsidRPr="0035519F">
              <w:rPr>
                <w:spacing w:val="-59"/>
                <w:lang w:val="id-ID"/>
              </w:rPr>
              <w:t xml:space="preserve"> </w:t>
            </w:r>
            <w:r w:rsidRPr="0035519F">
              <w:rPr>
                <w:lang w:val="id-ID"/>
              </w:rPr>
              <w:t>2006</w:t>
            </w:r>
          </w:p>
        </w:tc>
        <w:tc>
          <w:tcPr>
            <w:tcW w:w="1050" w:type="dxa"/>
            <w:tcBorders>
              <w:top w:val="single" w:sz="4" w:space="0" w:color="000000"/>
              <w:left w:val="nil"/>
              <w:bottom w:val="single" w:sz="4" w:space="0" w:color="000000"/>
              <w:right w:val="nil"/>
            </w:tcBorders>
            <w:hideMark/>
          </w:tcPr>
          <w:p w14:paraId="5DE7B08A" w14:textId="77777777" w:rsidR="007757AB" w:rsidRPr="0035519F" w:rsidRDefault="007757AB" w:rsidP="007757AB">
            <w:pPr>
              <w:pStyle w:val="TableParagraph"/>
              <w:spacing w:line="276" w:lineRule="auto"/>
              <w:ind w:left="126"/>
              <w:rPr>
                <w:lang w:val="id-ID"/>
              </w:rPr>
            </w:pPr>
            <w:r w:rsidRPr="0035519F">
              <w:rPr>
                <w:lang w:val="id-ID"/>
              </w:rPr>
              <w:t>n=1.156</w:t>
            </w:r>
          </w:p>
        </w:tc>
        <w:tc>
          <w:tcPr>
            <w:tcW w:w="2522" w:type="dxa"/>
            <w:tcBorders>
              <w:top w:val="single" w:sz="4" w:space="0" w:color="000000"/>
              <w:left w:val="nil"/>
              <w:bottom w:val="single" w:sz="4" w:space="0" w:color="000000"/>
              <w:right w:val="nil"/>
            </w:tcBorders>
            <w:hideMark/>
          </w:tcPr>
          <w:p w14:paraId="1C6C8250" w14:textId="77777777" w:rsidR="007757AB" w:rsidRPr="0035519F" w:rsidRDefault="007757AB" w:rsidP="007757AB">
            <w:pPr>
              <w:pStyle w:val="TableParagraph"/>
              <w:spacing w:line="276" w:lineRule="auto"/>
              <w:ind w:left="113" w:right="554"/>
              <w:rPr>
                <w:lang w:val="id-ID"/>
              </w:rPr>
            </w:pPr>
            <w:r w:rsidRPr="0035519F">
              <w:rPr>
                <w:lang w:val="id-ID"/>
              </w:rPr>
              <w:t xml:space="preserve">Populasi </w:t>
            </w:r>
            <w:r w:rsidRPr="0035519F">
              <w:rPr>
                <w:i/>
                <w:lang w:val="id-ID"/>
              </w:rPr>
              <w:t>rural</w:t>
            </w:r>
            <w:r w:rsidRPr="0035519F">
              <w:rPr>
                <w:lang w:val="id-ID"/>
              </w:rPr>
              <w:t>, non</w:t>
            </w:r>
            <w:r w:rsidRPr="0035519F">
              <w:rPr>
                <w:spacing w:val="-59"/>
                <w:lang w:val="id-ID"/>
              </w:rPr>
              <w:t xml:space="preserve"> </w:t>
            </w:r>
            <w:r w:rsidRPr="0035519F">
              <w:rPr>
                <w:lang w:val="id-ID"/>
              </w:rPr>
              <w:t>diabetes</w:t>
            </w:r>
          </w:p>
        </w:tc>
        <w:tc>
          <w:tcPr>
            <w:tcW w:w="930" w:type="dxa"/>
            <w:tcBorders>
              <w:top w:val="single" w:sz="4" w:space="0" w:color="000000"/>
              <w:left w:val="nil"/>
              <w:bottom w:val="single" w:sz="4" w:space="0" w:color="000000"/>
              <w:right w:val="nil"/>
            </w:tcBorders>
            <w:hideMark/>
          </w:tcPr>
          <w:p w14:paraId="09D00B49" w14:textId="77777777" w:rsidR="007757AB" w:rsidRPr="0035519F" w:rsidRDefault="007757AB" w:rsidP="007757AB">
            <w:pPr>
              <w:pStyle w:val="TableParagraph"/>
              <w:spacing w:line="276" w:lineRule="auto"/>
              <w:ind w:left="252"/>
              <w:rPr>
                <w:b/>
                <w:lang w:val="id-ID"/>
              </w:rPr>
            </w:pPr>
            <w:r w:rsidRPr="0035519F">
              <w:rPr>
                <w:b/>
                <w:lang w:val="id-ID"/>
              </w:rPr>
              <w:t>2,29</w:t>
            </w:r>
          </w:p>
        </w:tc>
        <w:tc>
          <w:tcPr>
            <w:tcW w:w="1739" w:type="dxa"/>
            <w:tcBorders>
              <w:top w:val="single" w:sz="4" w:space="0" w:color="000000"/>
              <w:left w:val="nil"/>
              <w:bottom w:val="single" w:sz="4" w:space="0" w:color="000000"/>
              <w:right w:val="nil"/>
            </w:tcBorders>
            <w:hideMark/>
          </w:tcPr>
          <w:p w14:paraId="0D4DA94B"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ke-75</w:t>
            </w:r>
          </w:p>
        </w:tc>
      </w:tr>
      <w:tr w:rsidR="00117F69" w:rsidRPr="0035519F" w14:paraId="1FEE18B9" w14:textId="77777777" w:rsidTr="007757AB">
        <w:trPr>
          <w:trHeight w:val="501"/>
        </w:trPr>
        <w:tc>
          <w:tcPr>
            <w:tcW w:w="1709" w:type="dxa"/>
            <w:tcBorders>
              <w:top w:val="single" w:sz="4" w:space="0" w:color="000000"/>
              <w:left w:val="nil"/>
              <w:bottom w:val="single" w:sz="4" w:space="0" w:color="000000"/>
              <w:right w:val="nil"/>
            </w:tcBorders>
            <w:hideMark/>
          </w:tcPr>
          <w:p w14:paraId="5F7B88E7" w14:textId="77777777" w:rsidR="007757AB" w:rsidRPr="0035519F" w:rsidRDefault="007757AB" w:rsidP="007757AB">
            <w:pPr>
              <w:pStyle w:val="TableParagraph"/>
              <w:spacing w:line="276" w:lineRule="auto"/>
              <w:ind w:left="115"/>
              <w:rPr>
                <w:lang w:val="id-ID"/>
              </w:rPr>
            </w:pPr>
            <w:r w:rsidRPr="0035519F">
              <w:rPr>
                <w:lang w:val="id-ID"/>
              </w:rPr>
              <w:t>Brazil,</w:t>
            </w:r>
            <w:r w:rsidRPr="0035519F">
              <w:rPr>
                <w:spacing w:val="-1"/>
                <w:lang w:val="id-ID"/>
              </w:rPr>
              <w:t xml:space="preserve"> </w:t>
            </w:r>
            <w:r w:rsidRPr="0035519F">
              <w:rPr>
                <w:lang w:val="id-ID"/>
              </w:rPr>
              <w:t>2006</w:t>
            </w:r>
          </w:p>
        </w:tc>
        <w:tc>
          <w:tcPr>
            <w:tcW w:w="1050" w:type="dxa"/>
            <w:tcBorders>
              <w:top w:val="single" w:sz="4" w:space="0" w:color="000000"/>
              <w:left w:val="nil"/>
              <w:bottom w:val="single" w:sz="4" w:space="0" w:color="000000"/>
              <w:right w:val="nil"/>
            </w:tcBorders>
            <w:hideMark/>
          </w:tcPr>
          <w:p w14:paraId="213FF3B1" w14:textId="77777777" w:rsidR="007757AB" w:rsidRPr="0035519F" w:rsidRDefault="007757AB" w:rsidP="007757AB">
            <w:pPr>
              <w:pStyle w:val="TableParagraph"/>
              <w:spacing w:line="276" w:lineRule="auto"/>
              <w:ind w:left="126"/>
              <w:rPr>
                <w:lang w:val="id-ID"/>
              </w:rPr>
            </w:pPr>
            <w:r w:rsidRPr="0035519F">
              <w:rPr>
                <w:lang w:val="id-ID"/>
              </w:rPr>
              <w:t>n=1.317</w:t>
            </w:r>
          </w:p>
        </w:tc>
        <w:tc>
          <w:tcPr>
            <w:tcW w:w="2522" w:type="dxa"/>
            <w:tcBorders>
              <w:top w:val="single" w:sz="4" w:space="0" w:color="000000"/>
              <w:left w:val="nil"/>
              <w:bottom w:val="single" w:sz="4" w:space="0" w:color="000000"/>
              <w:right w:val="nil"/>
            </w:tcBorders>
            <w:hideMark/>
          </w:tcPr>
          <w:p w14:paraId="2D7484C0" w14:textId="77777777" w:rsidR="007757AB" w:rsidRPr="0035519F" w:rsidRDefault="007757AB" w:rsidP="007757AB">
            <w:pPr>
              <w:pStyle w:val="TableParagraph"/>
              <w:spacing w:line="276" w:lineRule="auto"/>
              <w:ind w:left="113"/>
              <w:rPr>
                <w:lang w:val="id-ID"/>
              </w:rPr>
            </w:pPr>
            <w:r w:rsidRPr="0035519F">
              <w:rPr>
                <w:lang w:val="id-ID"/>
              </w:rPr>
              <w:t>Usia: 40±12</w:t>
            </w:r>
            <w:r w:rsidRPr="0035519F">
              <w:rPr>
                <w:spacing w:val="-3"/>
                <w:lang w:val="id-ID"/>
              </w:rPr>
              <w:t xml:space="preserve"> </w:t>
            </w:r>
            <w:r w:rsidRPr="0035519F">
              <w:rPr>
                <w:lang w:val="id-ID"/>
              </w:rPr>
              <w:t>tahun,</w:t>
            </w:r>
          </w:p>
          <w:p w14:paraId="6A157D1C" w14:textId="77777777" w:rsidR="007757AB" w:rsidRPr="0035519F" w:rsidRDefault="007757AB" w:rsidP="007757AB">
            <w:pPr>
              <w:pStyle w:val="TableParagraph"/>
              <w:spacing w:line="276" w:lineRule="auto"/>
              <w:ind w:left="113"/>
              <w:rPr>
                <w:lang w:val="id-ID"/>
              </w:rPr>
            </w:pPr>
            <w:r w:rsidRPr="0035519F">
              <w:rPr>
                <w:lang w:val="id-ID"/>
              </w:rPr>
              <w:t>IMT:</w:t>
            </w:r>
            <w:r w:rsidRPr="0035519F">
              <w:rPr>
                <w:spacing w:val="1"/>
                <w:lang w:val="id-ID"/>
              </w:rPr>
              <w:t xml:space="preserve"> </w:t>
            </w:r>
            <w:r w:rsidRPr="0035519F">
              <w:rPr>
                <w:lang w:val="id-ID"/>
              </w:rPr>
              <w:t>34±10</w:t>
            </w:r>
            <w:r w:rsidRPr="0035519F">
              <w:rPr>
                <w:spacing w:val="-5"/>
                <w:lang w:val="id-ID"/>
              </w:rPr>
              <w:t xml:space="preserve"> </w:t>
            </w:r>
            <w:r w:rsidRPr="0035519F">
              <w:rPr>
                <w:lang w:val="id-ID"/>
              </w:rPr>
              <w:t>kg/m</w:t>
            </w:r>
            <w:r w:rsidRPr="0035519F">
              <w:rPr>
                <w:vertAlign w:val="superscript"/>
                <w:lang w:val="id-ID"/>
              </w:rPr>
              <w:t>2</w:t>
            </w:r>
          </w:p>
        </w:tc>
        <w:tc>
          <w:tcPr>
            <w:tcW w:w="930" w:type="dxa"/>
            <w:tcBorders>
              <w:top w:val="single" w:sz="4" w:space="0" w:color="000000"/>
              <w:left w:val="nil"/>
              <w:bottom w:val="single" w:sz="4" w:space="0" w:color="000000"/>
              <w:right w:val="nil"/>
            </w:tcBorders>
            <w:hideMark/>
          </w:tcPr>
          <w:p w14:paraId="556D8053" w14:textId="77777777" w:rsidR="007757AB" w:rsidRPr="0035519F" w:rsidRDefault="007757AB" w:rsidP="007757AB">
            <w:pPr>
              <w:pStyle w:val="TableParagraph"/>
              <w:spacing w:line="276" w:lineRule="auto"/>
              <w:ind w:left="252"/>
              <w:rPr>
                <w:b/>
                <w:lang w:val="id-ID"/>
              </w:rPr>
            </w:pPr>
            <w:r w:rsidRPr="0035519F">
              <w:rPr>
                <w:b/>
                <w:lang w:val="id-ID"/>
              </w:rPr>
              <w:t>2,77</w:t>
            </w:r>
          </w:p>
        </w:tc>
        <w:tc>
          <w:tcPr>
            <w:tcW w:w="1739" w:type="dxa"/>
            <w:tcBorders>
              <w:top w:val="single" w:sz="4" w:space="0" w:color="000000"/>
              <w:left w:val="nil"/>
              <w:bottom w:val="single" w:sz="4" w:space="0" w:color="000000"/>
              <w:right w:val="nil"/>
            </w:tcBorders>
            <w:hideMark/>
          </w:tcPr>
          <w:p w14:paraId="64E0D23B"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ke-90</w:t>
            </w:r>
          </w:p>
        </w:tc>
      </w:tr>
      <w:tr w:rsidR="00117F69" w:rsidRPr="0035519F" w14:paraId="6C726EC8" w14:textId="77777777" w:rsidTr="007757AB">
        <w:trPr>
          <w:trHeight w:val="506"/>
        </w:trPr>
        <w:tc>
          <w:tcPr>
            <w:tcW w:w="1709" w:type="dxa"/>
            <w:tcBorders>
              <w:top w:val="single" w:sz="4" w:space="0" w:color="000000"/>
              <w:left w:val="nil"/>
              <w:bottom w:val="single" w:sz="4" w:space="0" w:color="000000"/>
              <w:right w:val="nil"/>
            </w:tcBorders>
            <w:hideMark/>
          </w:tcPr>
          <w:p w14:paraId="0C372B48" w14:textId="77777777" w:rsidR="007757AB" w:rsidRPr="0035519F" w:rsidRDefault="007757AB" w:rsidP="007757AB">
            <w:pPr>
              <w:pStyle w:val="TableParagraph"/>
              <w:spacing w:line="276" w:lineRule="auto"/>
              <w:ind w:left="115" w:right="288"/>
              <w:rPr>
                <w:lang w:val="id-ID"/>
              </w:rPr>
            </w:pPr>
            <w:r w:rsidRPr="0035519F">
              <w:rPr>
                <w:lang w:val="id-ID"/>
              </w:rPr>
              <w:t>Amerika</w:t>
            </w:r>
            <w:r w:rsidRPr="0035519F">
              <w:rPr>
                <w:spacing w:val="1"/>
                <w:lang w:val="id-ID"/>
              </w:rPr>
              <w:t xml:space="preserve"> </w:t>
            </w:r>
            <w:r w:rsidRPr="0035519F">
              <w:rPr>
                <w:lang w:val="id-ID"/>
              </w:rPr>
              <w:t>Serikat,</w:t>
            </w:r>
            <w:r w:rsidRPr="0035519F">
              <w:rPr>
                <w:spacing w:val="-12"/>
                <w:lang w:val="id-ID"/>
              </w:rPr>
              <w:t xml:space="preserve"> </w:t>
            </w:r>
            <w:r w:rsidRPr="0035519F">
              <w:rPr>
                <w:lang w:val="id-ID"/>
              </w:rPr>
              <w:t>2008</w:t>
            </w:r>
          </w:p>
        </w:tc>
        <w:tc>
          <w:tcPr>
            <w:tcW w:w="1050" w:type="dxa"/>
            <w:tcBorders>
              <w:top w:val="single" w:sz="4" w:space="0" w:color="000000"/>
              <w:left w:val="nil"/>
              <w:bottom w:val="single" w:sz="4" w:space="0" w:color="000000"/>
              <w:right w:val="nil"/>
            </w:tcBorders>
            <w:hideMark/>
          </w:tcPr>
          <w:p w14:paraId="3B8413DE" w14:textId="77777777" w:rsidR="007757AB" w:rsidRPr="0035519F" w:rsidRDefault="007757AB" w:rsidP="007757AB">
            <w:pPr>
              <w:pStyle w:val="TableParagraph"/>
              <w:spacing w:line="276" w:lineRule="auto"/>
              <w:ind w:left="126"/>
              <w:rPr>
                <w:lang w:val="id-ID"/>
              </w:rPr>
            </w:pPr>
            <w:r w:rsidRPr="0035519F">
              <w:rPr>
                <w:lang w:val="id-ID"/>
              </w:rPr>
              <w:t>n=2.804</w:t>
            </w:r>
          </w:p>
        </w:tc>
        <w:tc>
          <w:tcPr>
            <w:tcW w:w="2522" w:type="dxa"/>
            <w:tcBorders>
              <w:top w:val="single" w:sz="4" w:space="0" w:color="000000"/>
              <w:left w:val="nil"/>
              <w:bottom w:val="single" w:sz="4" w:space="0" w:color="000000"/>
              <w:right w:val="nil"/>
            </w:tcBorders>
            <w:hideMark/>
          </w:tcPr>
          <w:p w14:paraId="54FAF3A7" w14:textId="77777777" w:rsidR="007757AB" w:rsidRPr="0035519F" w:rsidRDefault="007757AB" w:rsidP="007757AB">
            <w:pPr>
              <w:pStyle w:val="TableParagraph"/>
              <w:spacing w:line="276" w:lineRule="auto"/>
              <w:ind w:left="113" w:right="348"/>
              <w:rPr>
                <w:lang w:val="id-ID"/>
              </w:rPr>
            </w:pPr>
            <w:r w:rsidRPr="0035519F">
              <w:rPr>
                <w:lang w:val="id-ID"/>
              </w:rPr>
              <w:t>Usia ≥ 20 tahun, IMT</w:t>
            </w:r>
            <w:r w:rsidRPr="0035519F">
              <w:rPr>
                <w:spacing w:val="-60"/>
                <w:lang w:val="id-ID"/>
              </w:rPr>
              <w:t xml:space="preserve"> </w:t>
            </w:r>
            <w:r w:rsidRPr="0035519F">
              <w:rPr>
                <w:lang w:val="id-ID"/>
              </w:rPr>
              <w:t>dan</w:t>
            </w:r>
            <w:r w:rsidRPr="0035519F">
              <w:rPr>
                <w:spacing w:val="-1"/>
                <w:lang w:val="id-ID"/>
              </w:rPr>
              <w:t xml:space="preserve"> </w:t>
            </w:r>
            <w:r w:rsidRPr="0035519F">
              <w:rPr>
                <w:lang w:val="id-ID"/>
              </w:rPr>
              <w:t>GDP normal</w:t>
            </w:r>
          </w:p>
        </w:tc>
        <w:tc>
          <w:tcPr>
            <w:tcW w:w="930" w:type="dxa"/>
            <w:tcBorders>
              <w:top w:val="single" w:sz="4" w:space="0" w:color="000000"/>
              <w:left w:val="nil"/>
              <w:bottom w:val="single" w:sz="4" w:space="0" w:color="000000"/>
              <w:right w:val="nil"/>
            </w:tcBorders>
            <w:hideMark/>
          </w:tcPr>
          <w:p w14:paraId="3A623CDD" w14:textId="77777777" w:rsidR="007757AB" w:rsidRPr="0035519F" w:rsidRDefault="007757AB" w:rsidP="007757AB">
            <w:pPr>
              <w:pStyle w:val="TableParagraph"/>
              <w:spacing w:line="276" w:lineRule="auto"/>
              <w:ind w:left="252"/>
              <w:rPr>
                <w:b/>
                <w:lang w:val="id-ID"/>
              </w:rPr>
            </w:pPr>
            <w:r w:rsidRPr="0035519F">
              <w:rPr>
                <w:b/>
                <w:lang w:val="id-ID"/>
              </w:rPr>
              <w:t>2,73</w:t>
            </w:r>
          </w:p>
        </w:tc>
        <w:tc>
          <w:tcPr>
            <w:tcW w:w="1739" w:type="dxa"/>
            <w:tcBorders>
              <w:top w:val="single" w:sz="4" w:space="0" w:color="000000"/>
              <w:left w:val="nil"/>
              <w:bottom w:val="single" w:sz="4" w:space="0" w:color="000000"/>
              <w:right w:val="nil"/>
            </w:tcBorders>
            <w:hideMark/>
          </w:tcPr>
          <w:p w14:paraId="65C5B30A"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ke-66</w:t>
            </w:r>
          </w:p>
        </w:tc>
      </w:tr>
      <w:tr w:rsidR="00117F69" w:rsidRPr="0035519F" w14:paraId="1AA64923" w14:textId="77777777" w:rsidTr="007757AB">
        <w:trPr>
          <w:trHeight w:val="504"/>
        </w:trPr>
        <w:tc>
          <w:tcPr>
            <w:tcW w:w="1709" w:type="dxa"/>
            <w:tcBorders>
              <w:top w:val="single" w:sz="4" w:space="0" w:color="000000"/>
              <w:left w:val="nil"/>
              <w:bottom w:val="single" w:sz="4" w:space="0" w:color="000000"/>
              <w:right w:val="nil"/>
            </w:tcBorders>
            <w:hideMark/>
          </w:tcPr>
          <w:p w14:paraId="7D10DAED" w14:textId="77777777" w:rsidR="007757AB" w:rsidRPr="0035519F" w:rsidRDefault="007757AB" w:rsidP="007757AB">
            <w:pPr>
              <w:pStyle w:val="TableParagraph"/>
              <w:spacing w:line="276" w:lineRule="auto"/>
              <w:ind w:left="115"/>
              <w:rPr>
                <w:lang w:val="id-ID"/>
              </w:rPr>
            </w:pPr>
            <w:r w:rsidRPr="0035519F">
              <w:rPr>
                <w:lang w:val="id-ID"/>
              </w:rPr>
              <w:t>Iran,</w:t>
            </w:r>
            <w:r w:rsidRPr="0035519F">
              <w:rPr>
                <w:spacing w:val="1"/>
                <w:lang w:val="id-ID"/>
              </w:rPr>
              <w:t xml:space="preserve"> </w:t>
            </w:r>
            <w:r w:rsidRPr="0035519F">
              <w:rPr>
                <w:lang w:val="id-ID"/>
              </w:rPr>
              <w:t>2010</w:t>
            </w:r>
          </w:p>
        </w:tc>
        <w:tc>
          <w:tcPr>
            <w:tcW w:w="1050" w:type="dxa"/>
            <w:tcBorders>
              <w:top w:val="single" w:sz="4" w:space="0" w:color="000000"/>
              <w:left w:val="nil"/>
              <w:bottom w:val="single" w:sz="4" w:space="0" w:color="000000"/>
              <w:right w:val="nil"/>
            </w:tcBorders>
            <w:hideMark/>
          </w:tcPr>
          <w:p w14:paraId="0AABA213" w14:textId="77777777" w:rsidR="007757AB" w:rsidRPr="0035519F" w:rsidRDefault="007757AB" w:rsidP="007757AB">
            <w:pPr>
              <w:pStyle w:val="TableParagraph"/>
              <w:spacing w:line="276" w:lineRule="auto"/>
              <w:ind w:left="126"/>
              <w:rPr>
                <w:lang w:val="id-ID"/>
              </w:rPr>
            </w:pPr>
            <w:r w:rsidRPr="0035519F">
              <w:rPr>
                <w:lang w:val="id-ID"/>
              </w:rPr>
              <w:t>n=3.071</w:t>
            </w:r>
          </w:p>
        </w:tc>
        <w:tc>
          <w:tcPr>
            <w:tcW w:w="2522" w:type="dxa"/>
            <w:tcBorders>
              <w:top w:val="single" w:sz="4" w:space="0" w:color="000000"/>
              <w:left w:val="nil"/>
              <w:bottom w:val="single" w:sz="4" w:space="0" w:color="000000"/>
              <w:right w:val="nil"/>
            </w:tcBorders>
            <w:hideMark/>
          </w:tcPr>
          <w:p w14:paraId="75755CA2" w14:textId="77777777" w:rsidR="007757AB" w:rsidRPr="0035519F" w:rsidRDefault="007757AB" w:rsidP="007757AB">
            <w:pPr>
              <w:pStyle w:val="TableParagraph"/>
              <w:spacing w:line="276" w:lineRule="auto"/>
              <w:ind w:left="113" w:right="395"/>
              <w:rPr>
                <w:lang w:val="id-ID"/>
              </w:rPr>
            </w:pPr>
            <w:r w:rsidRPr="0035519F">
              <w:rPr>
                <w:lang w:val="id-ID"/>
              </w:rPr>
              <w:t>Dewasa, usia 25–64</w:t>
            </w:r>
            <w:r w:rsidRPr="0035519F">
              <w:rPr>
                <w:spacing w:val="-59"/>
                <w:lang w:val="id-ID"/>
              </w:rPr>
              <w:t xml:space="preserve"> </w:t>
            </w:r>
            <w:r w:rsidRPr="0035519F">
              <w:rPr>
                <w:lang w:val="id-ID"/>
              </w:rPr>
              <w:t>tahun</w:t>
            </w:r>
          </w:p>
        </w:tc>
        <w:tc>
          <w:tcPr>
            <w:tcW w:w="930" w:type="dxa"/>
            <w:tcBorders>
              <w:top w:val="single" w:sz="4" w:space="0" w:color="000000"/>
              <w:left w:val="nil"/>
              <w:bottom w:val="single" w:sz="4" w:space="0" w:color="000000"/>
              <w:right w:val="nil"/>
            </w:tcBorders>
            <w:hideMark/>
          </w:tcPr>
          <w:p w14:paraId="326FB9B9" w14:textId="77777777" w:rsidR="007757AB" w:rsidRPr="0035519F" w:rsidRDefault="007757AB" w:rsidP="007757AB">
            <w:pPr>
              <w:pStyle w:val="TableParagraph"/>
              <w:spacing w:line="276" w:lineRule="auto"/>
              <w:ind w:left="192"/>
              <w:rPr>
                <w:b/>
                <w:lang w:val="id-ID"/>
              </w:rPr>
            </w:pPr>
            <w:r w:rsidRPr="0035519F">
              <w:rPr>
                <w:b/>
                <w:lang w:val="id-ID"/>
              </w:rPr>
              <w:t>3,875</w:t>
            </w:r>
          </w:p>
        </w:tc>
        <w:tc>
          <w:tcPr>
            <w:tcW w:w="1739" w:type="dxa"/>
            <w:tcBorders>
              <w:top w:val="single" w:sz="4" w:space="0" w:color="000000"/>
              <w:left w:val="nil"/>
              <w:bottom w:val="single" w:sz="4" w:space="0" w:color="000000"/>
              <w:right w:val="nil"/>
            </w:tcBorders>
            <w:hideMark/>
          </w:tcPr>
          <w:p w14:paraId="0334C640" w14:textId="77777777" w:rsidR="007757AB" w:rsidRPr="0035519F" w:rsidRDefault="007757AB" w:rsidP="007757AB">
            <w:pPr>
              <w:pStyle w:val="TableParagraph"/>
              <w:spacing w:line="276" w:lineRule="auto"/>
              <w:ind w:left="132" w:right="98"/>
              <w:jc w:val="center"/>
              <w:rPr>
                <w:lang w:val="id-ID"/>
              </w:rPr>
            </w:pPr>
            <w:r w:rsidRPr="0035519F">
              <w:rPr>
                <w:lang w:val="id-ID"/>
              </w:rPr>
              <w:t>Kurva ROC</w:t>
            </w:r>
          </w:p>
        </w:tc>
      </w:tr>
      <w:tr w:rsidR="00117F69" w:rsidRPr="0035519F" w14:paraId="45B6AAB8" w14:textId="77777777" w:rsidTr="007757AB">
        <w:trPr>
          <w:trHeight w:val="249"/>
        </w:trPr>
        <w:tc>
          <w:tcPr>
            <w:tcW w:w="1709" w:type="dxa"/>
            <w:tcBorders>
              <w:top w:val="single" w:sz="4" w:space="0" w:color="000000"/>
              <w:left w:val="nil"/>
              <w:bottom w:val="single" w:sz="4" w:space="0" w:color="000000"/>
              <w:right w:val="nil"/>
            </w:tcBorders>
            <w:hideMark/>
          </w:tcPr>
          <w:p w14:paraId="78508CEB" w14:textId="77777777" w:rsidR="007757AB" w:rsidRPr="0035519F" w:rsidRDefault="007757AB" w:rsidP="007757AB">
            <w:pPr>
              <w:pStyle w:val="TableParagraph"/>
              <w:spacing w:line="276" w:lineRule="auto"/>
              <w:ind w:left="115"/>
              <w:rPr>
                <w:lang w:val="id-ID"/>
              </w:rPr>
            </w:pPr>
            <w:r w:rsidRPr="0035519F">
              <w:rPr>
                <w:lang w:val="id-ID"/>
              </w:rPr>
              <w:t>Iran,</w:t>
            </w:r>
            <w:r w:rsidRPr="0035519F">
              <w:rPr>
                <w:spacing w:val="1"/>
                <w:lang w:val="id-ID"/>
              </w:rPr>
              <w:t xml:space="preserve"> </w:t>
            </w:r>
            <w:r w:rsidRPr="0035519F">
              <w:rPr>
                <w:lang w:val="id-ID"/>
              </w:rPr>
              <w:t>2011</w:t>
            </w:r>
          </w:p>
        </w:tc>
        <w:tc>
          <w:tcPr>
            <w:tcW w:w="1050" w:type="dxa"/>
            <w:tcBorders>
              <w:top w:val="single" w:sz="4" w:space="0" w:color="000000"/>
              <w:left w:val="nil"/>
              <w:bottom w:val="single" w:sz="4" w:space="0" w:color="000000"/>
              <w:right w:val="nil"/>
            </w:tcBorders>
            <w:hideMark/>
          </w:tcPr>
          <w:p w14:paraId="453B15F9" w14:textId="77777777" w:rsidR="007757AB" w:rsidRPr="0035519F" w:rsidRDefault="007757AB" w:rsidP="007757AB">
            <w:pPr>
              <w:pStyle w:val="TableParagraph"/>
              <w:spacing w:line="276" w:lineRule="auto"/>
              <w:ind w:left="126"/>
              <w:rPr>
                <w:lang w:val="id-ID"/>
              </w:rPr>
            </w:pPr>
            <w:r w:rsidRPr="0035519F">
              <w:rPr>
                <w:lang w:val="id-ID"/>
              </w:rPr>
              <w:t>n=1.036</w:t>
            </w:r>
          </w:p>
        </w:tc>
        <w:tc>
          <w:tcPr>
            <w:tcW w:w="2522" w:type="dxa"/>
            <w:tcBorders>
              <w:top w:val="single" w:sz="4" w:space="0" w:color="000000"/>
              <w:left w:val="nil"/>
              <w:bottom w:val="single" w:sz="4" w:space="0" w:color="000000"/>
              <w:right w:val="nil"/>
            </w:tcBorders>
            <w:hideMark/>
          </w:tcPr>
          <w:p w14:paraId="06C6BC04" w14:textId="77777777" w:rsidR="007757AB" w:rsidRPr="0035519F" w:rsidRDefault="007757AB" w:rsidP="007757AB">
            <w:pPr>
              <w:pStyle w:val="TableParagraph"/>
              <w:spacing w:line="276" w:lineRule="auto"/>
              <w:ind w:left="113"/>
              <w:rPr>
                <w:lang w:val="id-ID"/>
              </w:rPr>
            </w:pPr>
            <w:r w:rsidRPr="0035519F">
              <w:rPr>
                <w:lang w:val="id-ID"/>
              </w:rPr>
              <w:t>Wanita</w:t>
            </w:r>
            <w:r w:rsidRPr="0035519F">
              <w:rPr>
                <w:spacing w:val="-3"/>
                <w:lang w:val="id-ID"/>
              </w:rPr>
              <w:t xml:space="preserve"> </w:t>
            </w:r>
            <w:r w:rsidRPr="0035519F">
              <w:rPr>
                <w:lang w:val="id-ID"/>
              </w:rPr>
              <w:t>usia</w:t>
            </w:r>
            <w:r w:rsidRPr="0035519F">
              <w:rPr>
                <w:spacing w:val="-4"/>
                <w:lang w:val="id-ID"/>
              </w:rPr>
              <w:t xml:space="preserve"> </w:t>
            </w:r>
            <w:r w:rsidRPr="0035519F">
              <w:rPr>
                <w:lang w:val="id-ID"/>
              </w:rPr>
              <w:t>reproduktif</w:t>
            </w:r>
          </w:p>
        </w:tc>
        <w:tc>
          <w:tcPr>
            <w:tcW w:w="930" w:type="dxa"/>
            <w:tcBorders>
              <w:top w:val="single" w:sz="4" w:space="0" w:color="000000"/>
              <w:left w:val="nil"/>
              <w:bottom w:val="single" w:sz="4" w:space="0" w:color="000000"/>
              <w:right w:val="nil"/>
            </w:tcBorders>
            <w:hideMark/>
          </w:tcPr>
          <w:p w14:paraId="11278EAB" w14:textId="77777777" w:rsidR="007757AB" w:rsidRPr="0035519F" w:rsidRDefault="007757AB" w:rsidP="007757AB">
            <w:pPr>
              <w:pStyle w:val="TableParagraph"/>
              <w:spacing w:line="276" w:lineRule="auto"/>
              <w:ind w:left="252"/>
              <w:rPr>
                <w:b/>
                <w:lang w:val="id-ID"/>
              </w:rPr>
            </w:pPr>
            <w:r w:rsidRPr="0035519F">
              <w:rPr>
                <w:b/>
                <w:lang w:val="id-ID"/>
              </w:rPr>
              <w:t>2,63</w:t>
            </w:r>
          </w:p>
        </w:tc>
        <w:tc>
          <w:tcPr>
            <w:tcW w:w="1739" w:type="dxa"/>
            <w:tcBorders>
              <w:top w:val="single" w:sz="4" w:space="0" w:color="000000"/>
              <w:left w:val="nil"/>
              <w:bottom w:val="single" w:sz="4" w:space="0" w:color="000000"/>
              <w:right w:val="nil"/>
            </w:tcBorders>
            <w:hideMark/>
          </w:tcPr>
          <w:p w14:paraId="3598E5DA"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ke-95</w:t>
            </w:r>
          </w:p>
        </w:tc>
      </w:tr>
      <w:tr w:rsidR="00117F69" w:rsidRPr="0035519F" w14:paraId="1401C7CE" w14:textId="77777777" w:rsidTr="007757AB">
        <w:trPr>
          <w:trHeight w:val="252"/>
        </w:trPr>
        <w:tc>
          <w:tcPr>
            <w:tcW w:w="1709" w:type="dxa"/>
            <w:tcBorders>
              <w:top w:val="single" w:sz="4" w:space="0" w:color="000000"/>
              <w:left w:val="nil"/>
              <w:bottom w:val="single" w:sz="4" w:space="0" w:color="000000"/>
              <w:right w:val="nil"/>
            </w:tcBorders>
            <w:hideMark/>
          </w:tcPr>
          <w:p w14:paraId="0BC03C79" w14:textId="77777777" w:rsidR="007757AB" w:rsidRPr="0035519F" w:rsidRDefault="007757AB" w:rsidP="007757AB">
            <w:pPr>
              <w:pStyle w:val="TableParagraph"/>
              <w:spacing w:line="276" w:lineRule="auto"/>
              <w:ind w:left="115"/>
              <w:rPr>
                <w:lang w:val="id-ID"/>
              </w:rPr>
            </w:pPr>
            <w:r w:rsidRPr="0035519F">
              <w:rPr>
                <w:lang w:val="id-ID"/>
              </w:rPr>
              <w:t>Jepang,</w:t>
            </w:r>
            <w:r w:rsidRPr="0035519F">
              <w:rPr>
                <w:spacing w:val="1"/>
                <w:lang w:val="id-ID"/>
              </w:rPr>
              <w:t xml:space="preserve"> </w:t>
            </w:r>
            <w:r w:rsidRPr="0035519F">
              <w:rPr>
                <w:lang w:val="id-ID"/>
              </w:rPr>
              <w:t>2012</w:t>
            </w:r>
          </w:p>
        </w:tc>
        <w:tc>
          <w:tcPr>
            <w:tcW w:w="1050" w:type="dxa"/>
            <w:tcBorders>
              <w:top w:val="single" w:sz="4" w:space="0" w:color="000000"/>
              <w:left w:val="nil"/>
              <w:bottom w:val="single" w:sz="4" w:space="0" w:color="000000"/>
              <w:right w:val="nil"/>
            </w:tcBorders>
            <w:hideMark/>
          </w:tcPr>
          <w:p w14:paraId="68DCA973" w14:textId="77777777" w:rsidR="007757AB" w:rsidRPr="0035519F" w:rsidRDefault="007757AB" w:rsidP="007757AB">
            <w:pPr>
              <w:pStyle w:val="TableParagraph"/>
              <w:spacing w:line="276" w:lineRule="auto"/>
              <w:ind w:left="126"/>
              <w:rPr>
                <w:lang w:val="id-ID"/>
              </w:rPr>
            </w:pPr>
            <w:r w:rsidRPr="0035519F">
              <w:rPr>
                <w:lang w:val="id-ID"/>
              </w:rPr>
              <w:t>n=6.868</w:t>
            </w:r>
          </w:p>
        </w:tc>
        <w:tc>
          <w:tcPr>
            <w:tcW w:w="2522" w:type="dxa"/>
            <w:tcBorders>
              <w:top w:val="single" w:sz="4" w:space="0" w:color="000000"/>
              <w:left w:val="nil"/>
              <w:bottom w:val="single" w:sz="4" w:space="0" w:color="000000"/>
              <w:right w:val="nil"/>
            </w:tcBorders>
            <w:hideMark/>
          </w:tcPr>
          <w:p w14:paraId="745D8328" w14:textId="77777777" w:rsidR="007757AB" w:rsidRPr="0035519F" w:rsidRDefault="007757AB" w:rsidP="007757AB">
            <w:pPr>
              <w:pStyle w:val="TableParagraph"/>
              <w:spacing w:line="276" w:lineRule="auto"/>
              <w:ind w:left="113"/>
              <w:rPr>
                <w:lang w:val="id-ID"/>
              </w:rPr>
            </w:pPr>
            <w:r w:rsidRPr="0035519F">
              <w:rPr>
                <w:lang w:val="id-ID"/>
              </w:rPr>
              <w:t>Subyek non</w:t>
            </w:r>
            <w:r w:rsidRPr="0035519F">
              <w:rPr>
                <w:spacing w:val="-1"/>
                <w:lang w:val="id-ID"/>
              </w:rPr>
              <w:t xml:space="preserve"> </w:t>
            </w:r>
            <w:r w:rsidRPr="0035519F">
              <w:rPr>
                <w:lang w:val="id-ID"/>
              </w:rPr>
              <w:t>diabetes</w:t>
            </w:r>
          </w:p>
        </w:tc>
        <w:tc>
          <w:tcPr>
            <w:tcW w:w="930" w:type="dxa"/>
            <w:tcBorders>
              <w:top w:val="single" w:sz="4" w:space="0" w:color="000000"/>
              <w:left w:val="nil"/>
              <w:bottom w:val="single" w:sz="4" w:space="0" w:color="000000"/>
              <w:right w:val="nil"/>
            </w:tcBorders>
            <w:hideMark/>
          </w:tcPr>
          <w:p w14:paraId="427D8254" w14:textId="77777777" w:rsidR="007757AB" w:rsidRPr="0035519F" w:rsidRDefault="007757AB" w:rsidP="007757AB">
            <w:pPr>
              <w:pStyle w:val="TableParagraph"/>
              <w:spacing w:line="276" w:lineRule="auto"/>
              <w:ind w:left="315"/>
              <w:rPr>
                <w:b/>
                <w:lang w:val="id-ID"/>
              </w:rPr>
            </w:pPr>
            <w:r w:rsidRPr="0035519F">
              <w:rPr>
                <w:b/>
                <w:lang w:val="id-ID"/>
              </w:rPr>
              <w:t>1,7</w:t>
            </w:r>
          </w:p>
        </w:tc>
        <w:tc>
          <w:tcPr>
            <w:tcW w:w="1739" w:type="dxa"/>
            <w:tcBorders>
              <w:top w:val="single" w:sz="4" w:space="0" w:color="000000"/>
              <w:left w:val="nil"/>
              <w:bottom w:val="single" w:sz="4" w:space="0" w:color="000000"/>
              <w:right w:val="nil"/>
            </w:tcBorders>
            <w:hideMark/>
          </w:tcPr>
          <w:p w14:paraId="63FDA076" w14:textId="77777777" w:rsidR="007757AB" w:rsidRPr="0035519F" w:rsidRDefault="007757AB" w:rsidP="007757AB">
            <w:pPr>
              <w:pStyle w:val="TableParagraph"/>
              <w:spacing w:line="276" w:lineRule="auto"/>
              <w:ind w:left="132" w:right="98"/>
              <w:jc w:val="center"/>
              <w:rPr>
                <w:lang w:val="id-ID"/>
              </w:rPr>
            </w:pPr>
            <w:r w:rsidRPr="0035519F">
              <w:rPr>
                <w:lang w:val="id-ID"/>
              </w:rPr>
              <w:t>Kurva ROC</w:t>
            </w:r>
          </w:p>
        </w:tc>
      </w:tr>
      <w:tr w:rsidR="00117F69" w:rsidRPr="0035519F" w14:paraId="50027BE9" w14:textId="77777777" w:rsidTr="007757AB">
        <w:trPr>
          <w:trHeight w:val="506"/>
        </w:trPr>
        <w:tc>
          <w:tcPr>
            <w:tcW w:w="1709" w:type="dxa"/>
            <w:tcBorders>
              <w:top w:val="single" w:sz="4" w:space="0" w:color="000000"/>
              <w:left w:val="nil"/>
              <w:bottom w:val="single" w:sz="4" w:space="0" w:color="000000"/>
              <w:right w:val="nil"/>
            </w:tcBorders>
            <w:hideMark/>
          </w:tcPr>
          <w:p w14:paraId="235AE3C2" w14:textId="77777777" w:rsidR="007757AB" w:rsidRPr="0035519F" w:rsidRDefault="007757AB" w:rsidP="007757AB">
            <w:pPr>
              <w:pStyle w:val="TableParagraph"/>
              <w:spacing w:line="276" w:lineRule="auto"/>
              <w:ind w:left="115"/>
              <w:rPr>
                <w:lang w:val="id-ID"/>
              </w:rPr>
            </w:pPr>
            <w:r w:rsidRPr="0035519F">
              <w:rPr>
                <w:lang w:val="id-ID"/>
              </w:rPr>
              <w:t>Cina, 2013</w:t>
            </w:r>
          </w:p>
        </w:tc>
        <w:tc>
          <w:tcPr>
            <w:tcW w:w="1050" w:type="dxa"/>
            <w:tcBorders>
              <w:top w:val="single" w:sz="4" w:space="0" w:color="000000"/>
              <w:left w:val="nil"/>
              <w:bottom w:val="single" w:sz="4" w:space="0" w:color="000000"/>
              <w:right w:val="nil"/>
            </w:tcBorders>
            <w:hideMark/>
          </w:tcPr>
          <w:p w14:paraId="70E04C9C" w14:textId="77777777" w:rsidR="007757AB" w:rsidRPr="0035519F" w:rsidRDefault="007757AB" w:rsidP="007757AB">
            <w:pPr>
              <w:pStyle w:val="TableParagraph"/>
              <w:spacing w:line="276" w:lineRule="auto"/>
              <w:ind w:left="126"/>
              <w:rPr>
                <w:lang w:val="id-ID"/>
              </w:rPr>
            </w:pPr>
            <w:r w:rsidRPr="0035519F">
              <w:rPr>
                <w:lang w:val="id-ID"/>
              </w:rPr>
              <w:t>n=3.203</w:t>
            </w:r>
          </w:p>
        </w:tc>
        <w:tc>
          <w:tcPr>
            <w:tcW w:w="2522" w:type="dxa"/>
            <w:tcBorders>
              <w:top w:val="single" w:sz="4" w:space="0" w:color="000000"/>
              <w:left w:val="nil"/>
              <w:bottom w:val="single" w:sz="4" w:space="0" w:color="000000"/>
              <w:right w:val="nil"/>
            </w:tcBorders>
            <w:hideMark/>
          </w:tcPr>
          <w:p w14:paraId="67E7F348" w14:textId="77777777" w:rsidR="007757AB" w:rsidRPr="0035519F" w:rsidRDefault="007757AB" w:rsidP="007757AB">
            <w:pPr>
              <w:pStyle w:val="TableParagraph"/>
              <w:spacing w:line="276" w:lineRule="auto"/>
              <w:ind w:left="113" w:right="618"/>
              <w:rPr>
                <w:lang w:val="id-ID"/>
              </w:rPr>
            </w:pPr>
            <w:r w:rsidRPr="0035519F">
              <w:rPr>
                <w:lang w:val="id-ID"/>
              </w:rPr>
              <w:t>Usia: 6–18 tahun</w:t>
            </w:r>
            <w:r w:rsidRPr="0035519F">
              <w:rPr>
                <w:spacing w:val="1"/>
                <w:lang w:val="id-ID"/>
              </w:rPr>
              <w:t xml:space="preserve"> </w:t>
            </w:r>
            <w:r w:rsidRPr="0035519F">
              <w:rPr>
                <w:lang w:val="id-ID"/>
              </w:rPr>
              <w:t>(anak</w:t>
            </w:r>
            <w:r w:rsidRPr="0035519F">
              <w:rPr>
                <w:spacing w:val="-6"/>
                <w:lang w:val="id-ID"/>
              </w:rPr>
              <w:t xml:space="preserve"> </w:t>
            </w:r>
            <w:r w:rsidRPr="0035519F">
              <w:rPr>
                <w:lang w:val="id-ID"/>
              </w:rPr>
              <w:t>dan</w:t>
            </w:r>
            <w:r w:rsidRPr="0035519F">
              <w:rPr>
                <w:spacing w:val="-9"/>
                <w:lang w:val="id-ID"/>
              </w:rPr>
              <w:t xml:space="preserve"> </w:t>
            </w:r>
            <w:r w:rsidRPr="0035519F">
              <w:rPr>
                <w:lang w:val="id-ID"/>
              </w:rPr>
              <w:t>remaja)</w:t>
            </w:r>
          </w:p>
        </w:tc>
        <w:tc>
          <w:tcPr>
            <w:tcW w:w="930" w:type="dxa"/>
            <w:tcBorders>
              <w:top w:val="single" w:sz="4" w:space="0" w:color="000000"/>
              <w:left w:val="nil"/>
              <w:bottom w:val="single" w:sz="4" w:space="0" w:color="000000"/>
              <w:right w:val="nil"/>
            </w:tcBorders>
            <w:hideMark/>
          </w:tcPr>
          <w:p w14:paraId="486CFFAD" w14:textId="77777777" w:rsidR="007757AB" w:rsidRPr="0035519F" w:rsidRDefault="007757AB" w:rsidP="007757AB">
            <w:pPr>
              <w:pStyle w:val="TableParagraph"/>
              <w:spacing w:line="276" w:lineRule="auto"/>
              <w:ind w:left="315"/>
              <w:rPr>
                <w:b/>
                <w:lang w:val="id-ID"/>
              </w:rPr>
            </w:pPr>
            <w:r w:rsidRPr="0035519F">
              <w:rPr>
                <w:b/>
                <w:lang w:val="id-ID"/>
              </w:rPr>
              <w:t>3,0</w:t>
            </w:r>
          </w:p>
        </w:tc>
        <w:tc>
          <w:tcPr>
            <w:tcW w:w="1739" w:type="dxa"/>
            <w:tcBorders>
              <w:top w:val="single" w:sz="4" w:space="0" w:color="000000"/>
              <w:left w:val="nil"/>
              <w:bottom w:val="single" w:sz="4" w:space="0" w:color="000000"/>
              <w:right w:val="nil"/>
            </w:tcBorders>
            <w:hideMark/>
          </w:tcPr>
          <w:p w14:paraId="1899669E"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ke-95</w:t>
            </w:r>
          </w:p>
        </w:tc>
      </w:tr>
      <w:tr w:rsidR="00117F69" w:rsidRPr="0035519F" w14:paraId="130A96E0" w14:textId="77777777" w:rsidTr="007757AB">
        <w:trPr>
          <w:trHeight w:val="1012"/>
        </w:trPr>
        <w:tc>
          <w:tcPr>
            <w:tcW w:w="1709" w:type="dxa"/>
            <w:tcBorders>
              <w:top w:val="single" w:sz="4" w:space="0" w:color="000000"/>
              <w:left w:val="nil"/>
              <w:bottom w:val="double" w:sz="2" w:space="0" w:color="000000"/>
              <w:right w:val="nil"/>
            </w:tcBorders>
          </w:tcPr>
          <w:p w14:paraId="0A58828C" w14:textId="77777777" w:rsidR="007757AB" w:rsidRPr="0035519F" w:rsidRDefault="007757AB" w:rsidP="007757AB">
            <w:pPr>
              <w:pStyle w:val="TableParagraph"/>
              <w:spacing w:line="276" w:lineRule="auto"/>
              <w:rPr>
                <w:sz w:val="32"/>
                <w:lang w:val="id-ID"/>
              </w:rPr>
            </w:pPr>
          </w:p>
          <w:p w14:paraId="0094F3BA" w14:textId="77777777" w:rsidR="007757AB" w:rsidRPr="0035519F" w:rsidRDefault="007757AB" w:rsidP="007757AB">
            <w:pPr>
              <w:pStyle w:val="TableParagraph"/>
              <w:spacing w:line="276" w:lineRule="auto"/>
              <w:ind w:left="115"/>
              <w:rPr>
                <w:lang w:val="id-ID"/>
              </w:rPr>
            </w:pPr>
            <w:r w:rsidRPr="0035519F">
              <w:rPr>
                <w:lang w:val="id-ID"/>
              </w:rPr>
              <w:t>Portugis,</w:t>
            </w:r>
            <w:r w:rsidRPr="0035519F">
              <w:rPr>
                <w:spacing w:val="-2"/>
                <w:lang w:val="id-ID"/>
              </w:rPr>
              <w:t xml:space="preserve"> </w:t>
            </w:r>
            <w:r w:rsidRPr="0035519F">
              <w:rPr>
                <w:lang w:val="id-ID"/>
              </w:rPr>
              <w:t>2014</w:t>
            </w:r>
          </w:p>
        </w:tc>
        <w:tc>
          <w:tcPr>
            <w:tcW w:w="1050" w:type="dxa"/>
            <w:tcBorders>
              <w:top w:val="single" w:sz="4" w:space="0" w:color="000000"/>
              <w:left w:val="nil"/>
              <w:bottom w:val="double" w:sz="2" w:space="0" w:color="000000"/>
              <w:right w:val="nil"/>
            </w:tcBorders>
          </w:tcPr>
          <w:p w14:paraId="6D56E941" w14:textId="77777777" w:rsidR="007757AB" w:rsidRPr="0035519F" w:rsidRDefault="007757AB" w:rsidP="007757AB">
            <w:pPr>
              <w:pStyle w:val="TableParagraph"/>
              <w:spacing w:line="276" w:lineRule="auto"/>
              <w:rPr>
                <w:sz w:val="32"/>
                <w:lang w:val="id-ID"/>
              </w:rPr>
            </w:pPr>
          </w:p>
          <w:p w14:paraId="3A3F55C8" w14:textId="77777777" w:rsidR="007757AB" w:rsidRPr="0035519F" w:rsidRDefault="007757AB" w:rsidP="007757AB">
            <w:pPr>
              <w:pStyle w:val="TableParagraph"/>
              <w:spacing w:line="276" w:lineRule="auto"/>
              <w:ind w:left="126"/>
              <w:rPr>
                <w:lang w:val="id-ID"/>
              </w:rPr>
            </w:pPr>
            <w:r w:rsidRPr="0035519F">
              <w:rPr>
                <w:lang w:val="id-ID"/>
              </w:rPr>
              <w:t>n=1.784</w:t>
            </w:r>
          </w:p>
        </w:tc>
        <w:tc>
          <w:tcPr>
            <w:tcW w:w="2522" w:type="dxa"/>
            <w:tcBorders>
              <w:top w:val="single" w:sz="4" w:space="0" w:color="000000"/>
              <w:left w:val="nil"/>
              <w:bottom w:val="double" w:sz="2" w:space="0" w:color="000000"/>
              <w:right w:val="nil"/>
            </w:tcBorders>
            <w:hideMark/>
          </w:tcPr>
          <w:p w14:paraId="2ACA9FB7" w14:textId="77777777" w:rsidR="007757AB" w:rsidRPr="0035519F" w:rsidRDefault="007757AB" w:rsidP="007757AB">
            <w:pPr>
              <w:pStyle w:val="TableParagraph"/>
              <w:spacing w:line="276" w:lineRule="auto"/>
              <w:ind w:left="113" w:right="301"/>
              <w:jc w:val="both"/>
              <w:rPr>
                <w:lang w:val="id-ID"/>
              </w:rPr>
            </w:pPr>
            <w:r w:rsidRPr="0035519F">
              <w:rPr>
                <w:lang w:val="id-ID"/>
              </w:rPr>
              <w:t>Subyek non diabetes</w:t>
            </w:r>
            <w:r w:rsidRPr="0035519F">
              <w:rPr>
                <w:spacing w:val="-59"/>
                <w:lang w:val="id-ID"/>
              </w:rPr>
              <w:t xml:space="preserve"> </w:t>
            </w:r>
            <w:r w:rsidRPr="0035519F">
              <w:rPr>
                <w:lang w:val="id-ID"/>
              </w:rPr>
              <w:t>di bangsal Kardiologi,</w:t>
            </w:r>
            <w:r w:rsidRPr="0035519F">
              <w:rPr>
                <w:spacing w:val="-59"/>
                <w:lang w:val="id-ID"/>
              </w:rPr>
              <w:t xml:space="preserve"> </w:t>
            </w:r>
            <w:r w:rsidRPr="0035519F">
              <w:rPr>
                <w:lang w:val="id-ID"/>
              </w:rPr>
              <w:t>IMT</w:t>
            </w:r>
            <w:r w:rsidRPr="0035519F">
              <w:rPr>
                <w:spacing w:val="1"/>
                <w:lang w:val="id-ID"/>
              </w:rPr>
              <w:t xml:space="preserve"> </w:t>
            </w:r>
            <w:r w:rsidRPr="0035519F">
              <w:rPr>
                <w:lang w:val="id-ID"/>
              </w:rPr>
              <w:t>&lt;</w:t>
            </w:r>
            <w:r w:rsidRPr="0035519F">
              <w:rPr>
                <w:spacing w:val="-1"/>
                <w:lang w:val="id-ID"/>
              </w:rPr>
              <w:t xml:space="preserve"> </w:t>
            </w:r>
            <w:r w:rsidRPr="0035519F">
              <w:rPr>
                <w:lang w:val="id-ID"/>
              </w:rPr>
              <w:t>25</w:t>
            </w:r>
            <w:r w:rsidRPr="0035519F">
              <w:rPr>
                <w:spacing w:val="-2"/>
                <w:lang w:val="id-ID"/>
              </w:rPr>
              <w:t xml:space="preserve"> </w:t>
            </w:r>
            <w:r w:rsidRPr="0035519F">
              <w:rPr>
                <w:lang w:val="id-ID"/>
              </w:rPr>
              <w:t>kg/m</w:t>
            </w:r>
            <w:r w:rsidRPr="0035519F">
              <w:rPr>
                <w:vertAlign w:val="superscript"/>
                <w:lang w:val="id-ID"/>
              </w:rPr>
              <w:t>2</w:t>
            </w:r>
            <w:r w:rsidRPr="0035519F">
              <w:rPr>
                <w:lang w:val="id-ID"/>
              </w:rPr>
              <w:t>,</w:t>
            </w:r>
          </w:p>
          <w:p w14:paraId="3A5E02F4" w14:textId="77777777" w:rsidR="007757AB" w:rsidRPr="0035519F" w:rsidRDefault="007757AB" w:rsidP="007757AB">
            <w:pPr>
              <w:pStyle w:val="TableParagraph"/>
              <w:spacing w:line="276" w:lineRule="auto"/>
              <w:ind w:left="113"/>
              <w:jc w:val="both"/>
              <w:rPr>
                <w:lang w:val="id-ID"/>
              </w:rPr>
            </w:pPr>
            <w:r w:rsidRPr="0035519F">
              <w:rPr>
                <w:lang w:val="id-ID"/>
              </w:rPr>
              <w:t>GDP &lt;</w:t>
            </w:r>
            <w:r w:rsidRPr="0035519F">
              <w:rPr>
                <w:spacing w:val="-1"/>
                <w:lang w:val="id-ID"/>
              </w:rPr>
              <w:t xml:space="preserve"> </w:t>
            </w:r>
            <w:r w:rsidRPr="0035519F">
              <w:rPr>
                <w:lang w:val="id-ID"/>
              </w:rPr>
              <w:t>100</w:t>
            </w:r>
            <w:r w:rsidRPr="0035519F">
              <w:rPr>
                <w:spacing w:val="-2"/>
                <w:lang w:val="id-ID"/>
              </w:rPr>
              <w:t xml:space="preserve"> </w:t>
            </w:r>
            <w:r w:rsidRPr="0035519F">
              <w:rPr>
                <w:lang w:val="id-ID"/>
              </w:rPr>
              <w:t>mg/dL</w:t>
            </w:r>
          </w:p>
        </w:tc>
        <w:tc>
          <w:tcPr>
            <w:tcW w:w="930" w:type="dxa"/>
            <w:tcBorders>
              <w:top w:val="single" w:sz="4" w:space="0" w:color="000000"/>
              <w:left w:val="nil"/>
              <w:bottom w:val="double" w:sz="2" w:space="0" w:color="000000"/>
              <w:right w:val="nil"/>
            </w:tcBorders>
          </w:tcPr>
          <w:p w14:paraId="43A40B74" w14:textId="77777777" w:rsidR="007757AB" w:rsidRPr="0035519F" w:rsidRDefault="007757AB" w:rsidP="007757AB">
            <w:pPr>
              <w:pStyle w:val="TableParagraph"/>
              <w:spacing w:line="276" w:lineRule="auto"/>
              <w:rPr>
                <w:sz w:val="32"/>
                <w:lang w:val="id-ID"/>
              </w:rPr>
            </w:pPr>
          </w:p>
          <w:p w14:paraId="07583F8E" w14:textId="77777777" w:rsidR="007757AB" w:rsidRPr="0035519F" w:rsidRDefault="007757AB" w:rsidP="007757AB">
            <w:pPr>
              <w:pStyle w:val="TableParagraph"/>
              <w:spacing w:line="276" w:lineRule="auto"/>
              <w:ind w:left="252"/>
              <w:rPr>
                <w:b/>
                <w:lang w:val="id-ID"/>
              </w:rPr>
            </w:pPr>
            <w:r w:rsidRPr="0035519F">
              <w:rPr>
                <w:b/>
                <w:lang w:val="id-ID"/>
              </w:rPr>
              <w:t>2,33</w:t>
            </w:r>
          </w:p>
        </w:tc>
        <w:tc>
          <w:tcPr>
            <w:tcW w:w="1739" w:type="dxa"/>
            <w:tcBorders>
              <w:top w:val="single" w:sz="4" w:space="0" w:color="000000"/>
              <w:left w:val="nil"/>
              <w:bottom w:val="double" w:sz="2" w:space="0" w:color="000000"/>
              <w:right w:val="nil"/>
            </w:tcBorders>
          </w:tcPr>
          <w:p w14:paraId="5F8AD8F7" w14:textId="77777777" w:rsidR="007757AB" w:rsidRPr="0035519F" w:rsidRDefault="007757AB" w:rsidP="007757AB">
            <w:pPr>
              <w:pStyle w:val="TableParagraph"/>
              <w:spacing w:line="276" w:lineRule="auto"/>
              <w:rPr>
                <w:sz w:val="32"/>
                <w:lang w:val="id-ID"/>
              </w:rPr>
            </w:pPr>
          </w:p>
          <w:p w14:paraId="6CB26647" w14:textId="77777777" w:rsidR="007757AB" w:rsidRPr="0035519F" w:rsidRDefault="007757AB" w:rsidP="007757AB">
            <w:pPr>
              <w:pStyle w:val="TableParagraph"/>
              <w:spacing w:line="276" w:lineRule="auto"/>
              <w:ind w:left="135" w:right="98"/>
              <w:jc w:val="center"/>
              <w:rPr>
                <w:lang w:val="id-ID"/>
              </w:rPr>
            </w:pPr>
            <w:r w:rsidRPr="0035519F">
              <w:rPr>
                <w:lang w:val="id-ID"/>
              </w:rPr>
              <w:t>Persentil</w:t>
            </w:r>
            <w:r w:rsidRPr="0035519F">
              <w:rPr>
                <w:spacing w:val="-3"/>
                <w:lang w:val="id-ID"/>
              </w:rPr>
              <w:t xml:space="preserve"> </w:t>
            </w:r>
            <w:r w:rsidRPr="0035519F">
              <w:rPr>
                <w:lang w:val="id-ID"/>
              </w:rPr>
              <w:t>ke-90</w:t>
            </w:r>
          </w:p>
        </w:tc>
      </w:tr>
    </w:tbl>
    <w:p w14:paraId="184AC434" w14:textId="77777777" w:rsidR="007757AB" w:rsidRPr="0035519F" w:rsidRDefault="007757AB" w:rsidP="007757AB">
      <w:pPr>
        <w:spacing w:before="9"/>
        <w:ind w:left="1134" w:right="284" w:hanging="994"/>
        <w:jc w:val="both"/>
        <w:rPr>
          <w:rFonts w:ascii="Arial" w:hAnsi="Arial" w:cs="Arial"/>
          <w:sz w:val="20"/>
          <w:szCs w:val="20"/>
        </w:rPr>
      </w:pPr>
      <w:r w:rsidRPr="0035519F">
        <w:rPr>
          <w:rFonts w:ascii="Arial" w:hAnsi="Arial" w:cs="Arial"/>
          <w:sz w:val="20"/>
          <w:szCs w:val="20"/>
        </w:rPr>
        <w:t>Sumber:</w:t>
      </w:r>
      <w:r w:rsidRPr="0035519F">
        <w:rPr>
          <w:rFonts w:ascii="Arial" w:hAnsi="Arial" w:cs="Arial"/>
          <w:spacing w:val="1"/>
          <w:sz w:val="20"/>
          <w:szCs w:val="20"/>
        </w:rPr>
        <w:t xml:space="preserve"> </w:t>
      </w:r>
      <w:r w:rsidRPr="0035519F">
        <w:rPr>
          <w:rFonts w:ascii="Arial" w:hAnsi="Arial" w:cs="Arial"/>
          <w:i/>
          <w:sz w:val="20"/>
          <w:szCs w:val="20"/>
        </w:rPr>
        <w:t>Optimal cut-off values for the homeostasis model assessment of insulin</w:t>
      </w:r>
      <w:r w:rsidRPr="0035519F">
        <w:rPr>
          <w:rFonts w:ascii="Arial" w:hAnsi="Arial" w:cs="Arial"/>
          <w:i/>
          <w:spacing w:val="-59"/>
          <w:sz w:val="20"/>
          <w:szCs w:val="20"/>
        </w:rPr>
        <w:t xml:space="preserve"> </w:t>
      </w:r>
      <w:r w:rsidRPr="0035519F">
        <w:rPr>
          <w:rFonts w:ascii="Arial" w:hAnsi="Arial" w:cs="Arial"/>
          <w:i/>
          <w:sz w:val="20"/>
          <w:szCs w:val="20"/>
        </w:rPr>
        <w:t>resistance (HOMA-IR) and pre-diabetes screening: Developments in</w:t>
      </w:r>
      <w:r w:rsidRPr="0035519F">
        <w:rPr>
          <w:rFonts w:ascii="Arial" w:hAnsi="Arial" w:cs="Arial"/>
          <w:i/>
          <w:spacing w:val="1"/>
          <w:sz w:val="20"/>
          <w:szCs w:val="20"/>
        </w:rPr>
        <w:t xml:space="preserve"> </w:t>
      </w:r>
      <w:r w:rsidRPr="0035519F">
        <w:rPr>
          <w:rFonts w:ascii="Arial" w:hAnsi="Arial" w:cs="Arial"/>
          <w:i/>
          <w:sz w:val="20"/>
          <w:szCs w:val="20"/>
        </w:rPr>
        <w:t>research</w:t>
      </w:r>
      <w:r w:rsidRPr="0035519F">
        <w:rPr>
          <w:rFonts w:ascii="Arial" w:hAnsi="Arial" w:cs="Arial"/>
          <w:i/>
          <w:spacing w:val="-3"/>
          <w:sz w:val="20"/>
          <w:szCs w:val="20"/>
        </w:rPr>
        <w:t xml:space="preserve"> </w:t>
      </w:r>
      <w:r w:rsidRPr="0035519F">
        <w:rPr>
          <w:rFonts w:ascii="Arial" w:hAnsi="Arial" w:cs="Arial"/>
          <w:i/>
          <w:sz w:val="20"/>
          <w:szCs w:val="20"/>
        </w:rPr>
        <w:t>and prospects</w:t>
      </w:r>
      <w:r w:rsidRPr="0035519F">
        <w:rPr>
          <w:rFonts w:ascii="Arial" w:hAnsi="Arial" w:cs="Arial"/>
          <w:i/>
          <w:spacing w:val="-4"/>
          <w:sz w:val="20"/>
          <w:szCs w:val="20"/>
        </w:rPr>
        <w:t xml:space="preserve"> </w:t>
      </w:r>
      <w:r w:rsidRPr="0035519F">
        <w:rPr>
          <w:rFonts w:ascii="Arial" w:hAnsi="Arial" w:cs="Arial"/>
          <w:i/>
          <w:sz w:val="20"/>
          <w:szCs w:val="20"/>
        </w:rPr>
        <w:t>for</w:t>
      </w:r>
      <w:r w:rsidRPr="0035519F">
        <w:rPr>
          <w:rFonts w:ascii="Arial" w:hAnsi="Arial" w:cs="Arial"/>
          <w:i/>
          <w:spacing w:val="-2"/>
          <w:sz w:val="20"/>
          <w:szCs w:val="20"/>
        </w:rPr>
        <w:t xml:space="preserve"> </w:t>
      </w:r>
      <w:r w:rsidRPr="0035519F">
        <w:rPr>
          <w:rFonts w:ascii="Arial" w:hAnsi="Arial" w:cs="Arial"/>
          <w:i/>
          <w:sz w:val="20"/>
          <w:szCs w:val="20"/>
        </w:rPr>
        <w:t>the</w:t>
      </w:r>
      <w:r w:rsidRPr="0035519F">
        <w:rPr>
          <w:rFonts w:ascii="Arial" w:hAnsi="Arial" w:cs="Arial"/>
          <w:i/>
          <w:spacing w:val="-2"/>
          <w:sz w:val="20"/>
          <w:szCs w:val="20"/>
        </w:rPr>
        <w:t xml:space="preserve"> </w:t>
      </w:r>
      <w:r w:rsidRPr="0035519F">
        <w:rPr>
          <w:rFonts w:ascii="Arial" w:hAnsi="Arial" w:cs="Arial"/>
          <w:i/>
          <w:sz w:val="20"/>
          <w:szCs w:val="20"/>
        </w:rPr>
        <w:t xml:space="preserve">future </w:t>
      </w:r>
      <w:r w:rsidRPr="0035519F">
        <w:rPr>
          <w:rFonts w:ascii="Arial" w:hAnsi="Arial" w:cs="Arial"/>
          <w:i/>
          <w:sz w:val="20"/>
          <w:szCs w:val="20"/>
        </w:rPr>
        <w:fldChar w:fldCharType="begin" w:fldLock="1"/>
      </w:r>
      <w:r w:rsidR="00D11F03" w:rsidRPr="0035519F">
        <w:rPr>
          <w:rFonts w:ascii="Arial" w:hAnsi="Arial" w:cs="Arial"/>
          <w:i/>
          <w:sz w:val="20"/>
          <w:szCs w:val="20"/>
        </w:rPr>
        <w:instrText>ADDIN CSL_CITATION {"citationItems":[{"id":"ITEM-1","itemData":{"DOI":"10.5582/ddt.2015.01207","ISSN":"1881-7831","PMID":"26781921","abstract":"Diabetes mellitus (DM) appears to be increasing rapidly, threatening to reduce life expectancy for humans around the globe. The International Diabetes Federation (IDF) has estimated that there will be 642 million people living with the disease by 2040 and half as many again who will be not diagnosed. This means that pre-DM screening is a critical issue. Insulin resistance (IR) has emerged as a major pathophysiological factor in the development and progression of DM since it is evident in susceptible individuals at the early stages of DM, and particularly type 2 DM (T2DM). Therefore, assessment of IR via the homeostasis model assessment of IR (HOMA-IR) is a key index for the primary prevention of DM and is thus found in guidelines for screening of high-risk groups. However, the cut-off values of HOMA-IR differ for different races, ages, genders, diseases, complications, etc. due to the complexity of IR. This hampers the determination of specific cut-off values of HOMA-IR in different places and in different situations. China has not published an official index to gauge IR for primary prevention of T2DM in the diabetic and non-diabetic population except for children and adolescents ages 6-12 years. Hence, this article summarizes developments in research on IR, HOMA-IR, and pre-DM screening in order to provide a reference for optimal cut-off values of HOMA-IR for the diagnosis of DM in the Chinese population.","author":[{"dropping-particle":"","family":"Tang","given":"Qi","non-dropping-particle":"","parse-names":false,"suffix":""},{"dropping-particle":"","family":"Li","given":"Xueqin","non-dropping-particle":"","parse-names":false,"suffix":""},{"dropping-particle":"","family":"Song","given":"Peipei","non-dropping-particle":"","parse-names":false,"suffix":""},{"dropping-particle":"","family":"Xu","given":"Lingzhong","non-dropping-particle":"","parse-names":false,"suffix":""}],"container-title":"Drug Discoveries &amp; Therapeutics","id":"ITEM-1","issue":"6","issued":{"date-parts":[["2015"]]},"page":"380-385","title":"Optimal cut-off values for the homeostasis model assessment of insulin resistance (HOMA-IR) and pre-diabetes screening: Developments in research and prospects for the future","type":"article-journal","volume":"9"},"uris":["http://www.mendeley.com/documents/?uuid=945e484e-60ce-4853-bd1f-744098c2fc11","http://www.mendeley.com/documents/?uuid=c5e8e1dd-96b4-40c6-a780-84f5e8d6a8ea"]}],"mendeley":{"formattedCitation":"(Tang &lt;i&gt;et al.&lt;/i&gt;, 2015)","plainTextFormattedCitation":"(Tang et al., 2015)","previouslyFormattedCitation":"(Tang &lt;i&gt;et al.&lt;/i&gt;, 2015)"},"properties":{"noteIndex":0},"schema":"https://github.com/citation-style-language/schema/raw/master/csl-citation.json"}</w:instrText>
      </w:r>
      <w:r w:rsidRPr="0035519F">
        <w:rPr>
          <w:rFonts w:ascii="Arial" w:hAnsi="Arial" w:cs="Arial"/>
          <w:i/>
          <w:sz w:val="20"/>
          <w:szCs w:val="20"/>
        </w:rPr>
        <w:fldChar w:fldCharType="separate"/>
      </w:r>
      <w:r w:rsidR="00D11F03" w:rsidRPr="0035519F">
        <w:rPr>
          <w:rFonts w:ascii="Arial" w:hAnsi="Arial" w:cs="Arial"/>
          <w:i/>
          <w:noProof/>
          <w:sz w:val="20"/>
          <w:szCs w:val="20"/>
        </w:rPr>
        <w:t>(Tang et al., 2015)</w:t>
      </w:r>
      <w:r w:rsidRPr="0035519F">
        <w:rPr>
          <w:rFonts w:ascii="Arial" w:hAnsi="Arial" w:cs="Arial"/>
          <w:i/>
          <w:sz w:val="20"/>
          <w:szCs w:val="20"/>
        </w:rPr>
        <w:fldChar w:fldCharType="end"/>
      </w:r>
      <w:r w:rsidRPr="0035519F">
        <w:rPr>
          <w:rFonts w:ascii="Arial" w:hAnsi="Arial" w:cs="Arial"/>
          <w:i/>
          <w:sz w:val="20"/>
          <w:szCs w:val="20"/>
        </w:rPr>
        <w:t>.</w:t>
      </w:r>
      <w:r w:rsidRPr="0035519F">
        <w:rPr>
          <w:rFonts w:ascii="Arial" w:hAnsi="Arial" w:cs="Arial"/>
          <w:sz w:val="20"/>
          <w:szCs w:val="20"/>
        </w:rPr>
        <w:t xml:space="preserve"> </w:t>
      </w:r>
    </w:p>
    <w:p w14:paraId="0755B48B" w14:textId="77777777" w:rsidR="007757AB" w:rsidRPr="0035519F" w:rsidRDefault="007757AB" w:rsidP="007757AB">
      <w:pPr>
        <w:tabs>
          <w:tab w:val="left" w:pos="6237"/>
          <w:tab w:val="left" w:pos="7088"/>
        </w:tabs>
        <w:spacing w:after="0" w:line="240" w:lineRule="auto"/>
        <w:ind w:left="1560" w:right="284" w:hanging="1419"/>
        <w:rPr>
          <w:rFonts w:ascii="Arial" w:hAnsi="Arial" w:cs="Arial"/>
          <w:spacing w:val="1"/>
          <w:sz w:val="20"/>
          <w:szCs w:val="20"/>
        </w:rPr>
      </w:pPr>
      <w:r w:rsidRPr="0035519F">
        <w:rPr>
          <w:rFonts w:ascii="Arial" w:hAnsi="Arial" w:cs="Arial"/>
          <w:sz w:val="20"/>
          <w:szCs w:val="20"/>
        </w:rPr>
        <w:t>Keterangan:</w:t>
      </w:r>
      <w:r w:rsidRPr="0035519F">
        <w:rPr>
          <w:rFonts w:ascii="Arial" w:hAnsi="Arial" w:cs="Arial"/>
          <w:sz w:val="20"/>
          <w:szCs w:val="20"/>
        </w:rPr>
        <w:tab/>
        <w:t xml:space="preserve">IMT  </w:t>
      </w:r>
      <w:r w:rsidRPr="0035519F">
        <w:rPr>
          <w:rFonts w:ascii="Arial" w:hAnsi="Arial" w:cs="Arial"/>
          <w:spacing w:val="11"/>
          <w:sz w:val="20"/>
          <w:szCs w:val="20"/>
        </w:rPr>
        <w:t xml:space="preserve"> </w:t>
      </w:r>
      <w:r w:rsidRPr="0035519F">
        <w:rPr>
          <w:rFonts w:ascii="Arial" w:hAnsi="Arial" w:cs="Arial"/>
          <w:sz w:val="20"/>
          <w:szCs w:val="20"/>
        </w:rPr>
        <w:t>=</w:t>
      </w:r>
      <w:r w:rsidRPr="0035519F">
        <w:rPr>
          <w:rFonts w:ascii="Arial" w:hAnsi="Arial" w:cs="Arial"/>
          <w:spacing w:val="99"/>
          <w:sz w:val="20"/>
          <w:szCs w:val="20"/>
        </w:rPr>
        <w:t xml:space="preserve"> </w:t>
      </w:r>
      <w:r w:rsidRPr="0035519F">
        <w:rPr>
          <w:rFonts w:ascii="Arial" w:hAnsi="Arial" w:cs="Arial"/>
          <w:sz w:val="20"/>
          <w:szCs w:val="20"/>
        </w:rPr>
        <w:t>Indeks</w:t>
      </w:r>
      <w:r w:rsidRPr="0035519F">
        <w:rPr>
          <w:rFonts w:ascii="Arial" w:hAnsi="Arial" w:cs="Arial"/>
          <w:spacing w:val="7"/>
          <w:sz w:val="20"/>
          <w:szCs w:val="20"/>
        </w:rPr>
        <w:t xml:space="preserve"> </w:t>
      </w:r>
      <w:r w:rsidRPr="0035519F">
        <w:rPr>
          <w:rFonts w:ascii="Arial" w:hAnsi="Arial" w:cs="Arial"/>
          <w:sz w:val="20"/>
          <w:szCs w:val="20"/>
        </w:rPr>
        <w:t>Massa</w:t>
      </w:r>
      <w:r w:rsidRPr="0035519F">
        <w:rPr>
          <w:rFonts w:ascii="Arial" w:hAnsi="Arial" w:cs="Arial"/>
          <w:spacing w:val="4"/>
          <w:sz w:val="20"/>
          <w:szCs w:val="20"/>
        </w:rPr>
        <w:t xml:space="preserve"> </w:t>
      </w:r>
      <w:r w:rsidRPr="0035519F">
        <w:rPr>
          <w:rFonts w:ascii="Arial" w:hAnsi="Arial" w:cs="Arial"/>
          <w:sz w:val="20"/>
          <w:szCs w:val="20"/>
        </w:rPr>
        <w:t>Tubuh</w:t>
      </w:r>
      <w:r w:rsidRPr="0035519F">
        <w:rPr>
          <w:rFonts w:ascii="Arial" w:hAnsi="Arial" w:cs="Arial"/>
          <w:spacing w:val="4"/>
          <w:sz w:val="20"/>
          <w:szCs w:val="20"/>
        </w:rPr>
        <w:t xml:space="preserve"> </w:t>
      </w:r>
      <w:r w:rsidRPr="0035519F">
        <w:rPr>
          <w:rFonts w:ascii="Arial" w:hAnsi="Arial" w:cs="Arial"/>
          <w:sz w:val="20"/>
          <w:szCs w:val="20"/>
        </w:rPr>
        <w:t>(kg/m</w:t>
      </w:r>
      <w:r w:rsidRPr="0035519F">
        <w:rPr>
          <w:rFonts w:ascii="Arial" w:hAnsi="Arial" w:cs="Arial"/>
          <w:sz w:val="20"/>
          <w:szCs w:val="20"/>
          <w:vertAlign w:val="superscript"/>
        </w:rPr>
        <w:t>2</w:t>
      </w:r>
      <w:r w:rsidRPr="0035519F">
        <w:rPr>
          <w:rFonts w:ascii="Arial" w:hAnsi="Arial" w:cs="Arial"/>
          <w:sz w:val="20"/>
          <w:szCs w:val="20"/>
        </w:rPr>
        <w:t>)</w:t>
      </w:r>
      <w:r w:rsidRPr="0035519F">
        <w:rPr>
          <w:rFonts w:ascii="Arial" w:hAnsi="Arial" w:cs="Arial"/>
          <w:spacing w:val="1"/>
          <w:sz w:val="20"/>
          <w:szCs w:val="20"/>
        </w:rPr>
        <w:t xml:space="preserve"> </w:t>
      </w:r>
    </w:p>
    <w:p w14:paraId="7DFBEE11" w14:textId="77777777" w:rsidR="007757AB" w:rsidRPr="0035519F" w:rsidRDefault="007757AB" w:rsidP="007757AB">
      <w:pPr>
        <w:tabs>
          <w:tab w:val="left" w:pos="6237"/>
          <w:tab w:val="left" w:pos="7088"/>
        </w:tabs>
        <w:spacing w:after="0" w:line="240" w:lineRule="auto"/>
        <w:ind w:left="1560" w:right="284" w:hanging="1419"/>
        <w:rPr>
          <w:rFonts w:ascii="Arial" w:hAnsi="Arial" w:cs="Arial"/>
          <w:spacing w:val="1"/>
          <w:sz w:val="20"/>
          <w:szCs w:val="20"/>
        </w:rPr>
      </w:pPr>
      <w:r w:rsidRPr="0035519F">
        <w:rPr>
          <w:rFonts w:ascii="Arial" w:hAnsi="Arial" w:cs="Arial"/>
          <w:spacing w:val="1"/>
          <w:sz w:val="20"/>
          <w:szCs w:val="20"/>
        </w:rPr>
        <w:tab/>
      </w:r>
      <w:r w:rsidRPr="0035519F">
        <w:rPr>
          <w:rFonts w:ascii="Arial" w:hAnsi="Arial" w:cs="Arial"/>
          <w:sz w:val="20"/>
          <w:szCs w:val="20"/>
        </w:rPr>
        <w:t>GDP =</w:t>
      </w:r>
      <w:r w:rsidRPr="0035519F">
        <w:rPr>
          <w:rFonts w:ascii="Arial" w:hAnsi="Arial" w:cs="Arial"/>
          <w:spacing w:val="1"/>
          <w:sz w:val="20"/>
          <w:szCs w:val="20"/>
        </w:rPr>
        <w:t xml:space="preserve"> </w:t>
      </w:r>
      <w:r w:rsidRPr="0035519F">
        <w:rPr>
          <w:rFonts w:ascii="Arial" w:hAnsi="Arial" w:cs="Arial"/>
          <w:sz w:val="20"/>
          <w:szCs w:val="20"/>
        </w:rPr>
        <w:t>Glukosa Darah Puasa (mg/dL)</w:t>
      </w:r>
      <w:r w:rsidRPr="0035519F">
        <w:rPr>
          <w:rFonts w:ascii="Arial" w:hAnsi="Arial" w:cs="Arial"/>
          <w:spacing w:val="1"/>
          <w:sz w:val="20"/>
          <w:szCs w:val="20"/>
        </w:rPr>
        <w:t xml:space="preserve"> </w:t>
      </w:r>
    </w:p>
    <w:p w14:paraId="44E8FD82" w14:textId="77777777" w:rsidR="007757AB" w:rsidRPr="0035519F" w:rsidRDefault="007757AB" w:rsidP="007757AB">
      <w:pPr>
        <w:spacing w:line="480" w:lineRule="auto"/>
        <w:ind w:right="284"/>
        <w:jc w:val="both"/>
        <w:rPr>
          <w:rFonts w:ascii="Arial" w:hAnsi="Arial" w:cs="Arial"/>
          <w:sz w:val="20"/>
          <w:szCs w:val="20"/>
        </w:rPr>
      </w:pPr>
      <w:r w:rsidRPr="0035519F">
        <w:rPr>
          <w:rFonts w:ascii="Arial" w:hAnsi="Arial" w:cs="Arial"/>
          <w:spacing w:val="1"/>
          <w:sz w:val="20"/>
          <w:szCs w:val="20"/>
        </w:rPr>
        <w:tab/>
      </w:r>
      <w:r w:rsidRPr="0035519F">
        <w:rPr>
          <w:rFonts w:ascii="Arial" w:hAnsi="Arial" w:cs="Arial"/>
          <w:spacing w:val="1"/>
          <w:sz w:val="20"/>
          <w:szCs w:val="20"/>
        </w:rPr>
        <w:tab/>
        <w:t xml:space="preserve">  </w:t>
      </w:r>
      <w:r w:rsidRPr="0035519F">
        <w:rPr>
          <w:rFonts w:ascii="Arial" w:hAnsi="Arial" w:cs="Arial"/>
          <w:sz w:val="20"/>
          <w:szCs w:val="20"/>
        </w:rPr>
        <w:t>ROC</w:t>
      </w:r>
      <w:r w:rsidRPr="0035519F">
        <w:rPr>
          <w:rFonts w:ascii="Arial" w:hAnsi="Arial" w:cs="Arial"/>
          <w:spacing w:val="12"/>
          <w:sz w:val="20"/>
          <w:szCs w:val="20"/>
        </w:rPr>
        <w:t xml:space="preserve"> </w:t>
      </w:r>
      <w:r w:rsidRPr="0035519F">
        <w:rPr>
          <w:rFonts w:ascii="Arial" w:hAnsi="Arial" w:cs="Arial"/>
          <w:sz w:val="20"/>
          <w:szCs w:val="20"/>
        </w:rPr>
        <w:t>=</w:t>
      </w:r>
      <w:r w:rsidRPr="0035519F">
        <w:rPr>
          <w:rFonts w:ascii="Arial" w:hAnsi="Arial" w:cs="Arial"/>
          <w:spacing w:val="27"/>
          <w:sz w:val="20"/>
          <w:szCs w:val="20"/>
        </w:rPr>
        <w:t xml:space="preserve"> </w:t>
      </w:r>
      <w:r w:rsidRPr="0035519F">
        <w:rPr>
          <w:rFonts w:ascii="Arial" w:hAnsi="Arial" w:cs="Arial"/>
          <w:i/>
          <w:sz w:val="20"/>
          <w:szCs w:val="20"/>
        </w:rPr>
        <w:t>Receiver</w:t>
      </w:r>
      <w:r w:rsidRPr="0035519F">
        <w:rPr>
          <w:rFonts w:ascii="Arial" w:hAnsi="Arial" w:cs="Arial"/>
          <w:i/>
          <w:spacing w:val="-2"/>
          <w:sz w:val="20"/>
          <w:szCs w:val="20"/>
        </w:rPr>
        <w:t xml:space="preserve"> </w:t>
      </w:r>
      <w:r w:rsidRPr="0035519F">
        <w:rPr>
          <w:rFonts w:ascii="Arial" w:hAnsi="Arial" w:cs="Arial"/>
          <w:i/>
          <w:sz w:val="20"/>
          <w:szCs w:val="20"/>
        </w:rPr>
        <w:t>Operating</w:t>
      </w:r>
      <w:r w:rsidRPr="0035519F">
        <w:rPr>
          <w:rFonts w:ascii="Arial" w:hAnsi="Arial" w:cs="Arial"/>
          <w:i/>
          <w:spacing w:val="-2"/>
          <w:sz w:val="20"/>
          <w:szCs w:val="20"/>
        </w:rPr>
        <w:t xml:space="preserve"> </w:t>
      </w:r>
      <w:r w:rsidRPr="0035519F">
        <w:rPr>
          <w:rFonts w:ascii="Arial" w:hAnsi="Arial" w:cs="Arial"/>
          <w:i/>
          <w:sz w:val="20"/>
          <w:szCs w:val="20"/>
        </w:rPr>
        <w:t>Characteristic</w:t>
      </w:r>
    </w:p>
    <w:p w14:paraId="39523D78" w14:textId="77777777" w:rsidR="007757AB" w:rsidRPr="0035519F" w:rsidRDefault="001221ED" w:rsidP="007757AB">
      <w:pPr>
        <w:spacing w:after="0" w:line="480" w:lineRule="auto"/>
        <w:ind w:firstLine="425"/>
        <w:jc w:val="both"/>
        <w:rPr>
          <w:rFonts w:ascii="Arial" w:hAnsi="Arial" w:cs="Arial"/>
          <w:sz w:val="24"/>
          <w:szCs w:val="24"/>
        </w:rPr>
      </w:pPr>
      <w:r w:rsidRPr="0035519F">
        <w:rPr>
          <w:rFonts w:ascii="Arial" w:hAnsi="Arial" w:cs="Arial"/>
          <w:sz w:val="24"/>
          <w:szCs w:val="24"/>
        </w:rPr>
        <w:t xml:space="preserve">. </w:t>
      </w:r>
      <w:r w:rsidR="002D0491" w:rsidRPr="0035519F">
        <w:rPr>
          <w:rFonts w:ascii="Arial" w:hAnsi="Arial" w:cs="Arial"/>
          <w:sz w:val="24"/>
          <w:szCs w:val="24"/>
        </w:rPr>
        <w:t xml:space="preserve">Penelitian oleh Kurniawan et al, melaporkan bahwa indeks HOMA-IR pada pria dengan obesitas sentral lebih tinggi dibandingkan </w:t>
      </w:r>
      <w:r w:rsidR="002E13B4" w:rsidRPr="0035519F">
        <w:rPr>
          <w:rFonts w:ascii="Arial" w:hAnsi="Arial" w:cs="Arial"/>
          <w:sz w:val="24"/>
          <w:szCs w:val="24"/>
        </w:rPr>
        <w:t>tanpa obesitas sentral</w:t>
      </w:r>
      <w:r w:rsidR="002D0491" w:rsidRPr="0035519F">
        <w:rPr>
          <w:rFonts w:ascii="Arial" w:hAnsi="Arial" w:cs="Arial"/>
          <w:sz w:val="24"/>
          <w:szCs w:val="24"/>
        </w:rPr>
        <w:t>). Penelitian lain yang dilakukan oleh Kurniawan et al, pada subjek wanita non menopause menemukan bahwa HOMA-IR berkorelasi positif dengan lingkar pinggang, IMT, berat badan, lemak viseral dan persen lemak tubuh</w:t>
      </w:r>
      <w:r w:rsidR="003E6681" w:rsidRPr="0035519F">
        <w:rPr>
          <w:rFonts w:ascii="Arial" w:hAnsi="Arial" w:cs="Arial"/>
          <w:sz w:val="24"/>
          <w:szCs w:val="24"/>
        </w:rPr>
        <w:t xml:space="preserve"> </w:t>
      </w:r>
      <w:r w:rsidR="002D0491" w:rsidRPr="0035519F">
        <w:rPr>
          <w:rFonts w:ascii="Arial" w:hAnsi="Arial" w:cs="Arial"/>
          <w:sz w:val="24"/>
          <w:szCs w:val="24"/>
        </w:rPr>
        <w:fldChar w:fldCharType="begin" w:fldLock="1"/>
      </w:r>
      <w:r w:rsidR="003E6681" w:rsidRPr="0035519F">
        <w:rPr>
          <w:rFonts w:ascii="Arial" w:hAnsi="Arial" w:cs="Arial"/>
          <w:sz w:val="24"/>
          <w:szCs w:val="24"/>
        </w:rPr>
        <w:instrText>ADDIN CSL_CITATION {"citationItems":[{"id":"ITEM-1","itemData":{"DOI":"10.2478/rjim-2020-0015","ISSN":"2501-062X","PMID":"32549128","abstract":"Introduction. The prevalence of obesity is increasing worldwide in high, low, and middle-income countries such as Indonesia. Obesity rate is higher in females in Indonesia. Obesity has important contribution in the occurrence of insulin resistance (IR) and type 2 diabetes mellitus. Several anthropometric measurements such as waist circumference (WC), body mass index (BMI), body mass (BM), total body fat percentage (Fat%) and visceral fat (VF) are related to IR. This study aimed to investigate which of those measurements could be used as a better predictor of IR in non-menopausal Indonesian adult females.","author":[{"dropping-particle":"","family":"Kurniawan","given":"Liong Boy","non-dropping-particle":"","parse-names":false,"suffix":""},{"dropping-particle":"","family":"Syamsir","given":"Bachtiar","non-dropping-particle":"","parse-names":false,"suffix":""},{"dropping-particle":"","family":"Rahman","given":"Ilham Akbar","non-dropping-particle":"","parse-names":false,"suffix":""},{"dropping-particle":"","family":"Adnan","given":"Endy","non-dropping-particle":"","parse-names":false,"suffix":""},{"dropping-particle":"","family":"Esa","given":"Tenri","non-dropping-particle":"","parse-names":false,"suffix":""},{"dropping-particle":"","family":"Widaningsih","given":"Yuyun","non-dropping-particle":"","parse-names":false,"suffix":""},{"dropping-particle":"","family":"Bahrun","given":"Uleng","non-dropping-particle":"","parse-names":false,"suffix":""},{"dropping-particle":"","family":"Arif","given":"Mansyur","non-dropping-particle":"","parse-names":false,"suffix":""}],"container-title":"Romanian Journal of Internal Medicine","id":"ITEM-1","issue":"3","issued":{"date-parts":[["2020","9"]]},"page":"168-172","title":"Anthropometric features in predicting insulin resistance among non-menopausal Indonesian adult females","type":"article-journal","volume":"58"},"uris":["http://www.mendeley.com/documents/?uuid=20086e65-bebf-4029-a5f6-9375c02f0798"]}],"mendeley":{"formattedCitation":"(Kurniawan &lt;i&gt;et al.&lt;/i&gt;, 2020b)","manualFormatting":"(Kurniawan et al., 2020)","plainTextFormattedCitation":"(Kurniawan et al., 2020b)","previouslyFormattedCitation":"(Kurniawan &lt;i&gt;et al.&lt;/i&gt;, 2020b)"},"properties":{"noteIndex":0},"schema":"https://github.com/citation-style-language/schema/raw/master/csl-citation.json"}</w:instrText>
      </w:r>
      <w:r w:rsidR="002D0491" w:rsidRPr="0035519F">
        <w:rPr>
          <w:rFonts w:ascii="Arial" w:hAnsi="Arial" w:cs="Arial"/>
          <w:sz w:val="24"/>
          <w:szCs w:val="24"/>
        </w:rPr>
        <w:fldChar w:fldCharType="separate"/>
      </w:r>
      <w:r w:rsidR="00D11F03" w:rsidRPr="0035519F">
        <w:rPr>
          <w:rFonts w:ascii="Arial" w:hAnsi="Arial" w:cs="Arial"/>
          <w:noProof/>
          <w:sz w:val="24"/>
          <w:szCs w:val="24"/>
        </w:rPr>
        <w:t xml:space="preserve">(Kurniawan </w:t>
      </w:r>
      <w:r w:rsidR="00D11F03" w:rsidRPr="0035519F">
        <w:rPr>
          <w:rFonts w:ascii="Arial" w:hAnsi="Arial" w:cs="Arial"/>
          <w:i/>
          <w:noProof/>
          <w:sz w:val="24"/>
          <w:szCs w:val="24"/>
        </w:rPr>
        <w:t>et al.</w:t>
      </w:r>
      <w:r w:rsidR="003E6681" w:rsidRPr="0035519F">
        <w:rPr>
          <w:rFonts w:ascii="Arial" w:hAnsi="Arial" w:cs="Arial"/>
          <w:noProof/>
          <w:sz w:val="24"/>
          <w:szCs w:val="24"/>
        </w:rPr>
        <w:t>, 2020</w:t>
      </w:r>
      <w:r w:rsidR="00D11F03" w:rsidRPr="0035519F">
        <w:rPr>
          <w:rFonts w:ascii="Arial" w:hAnsi="Arial" w:cs="Arial"/>
          <w:noProof/>
          <w:sz w:val="24"/>
          <w:szCs w:val="24"/>
        </w:rPr>
        <w:t>)</w:t>
      </w:r>
      <w:r w:rsidR="002D0491" w:rsidRPr="0035519F">
        <w:rPr>
          <w:rFonts w:ascii="Arial" w:hAnsi="Arial" w:cs="Arial"/>
          <w:sz w:val="24"/>
          <w:szCs w:val="24"/>
        </w:rPr>
        <w:fldChar w:fldCharType="end"/>
      </w:r>
      <w:r w:rsidR="002D0491" w:rsidRPr="0035519F">
        <w:rPr>
          <w:rFonts w:ascii="Arial" w:hAnsi="Arial" w:cs="Arial"/>
          <w:sz w:val="24"/>
          <w:szCs w:val="24"/>
        </w:rPr>
        <w:t>.</w:t>
      </w:r>
    </w:p>
    <w:p w14:paraId="230CE4E2" w14:textId="77777777" w:rsidR="001C440B" w:rsidRPr="0035519F" w:rsidRDefault="001C440B" w:rsidP="007757AB">
      <w:pPr>
        <w:spacing w:after="0" w:line="480" w:lineRule="auto"/>
        <w:ind w:firstLine="425"/>
        <w:jc w:val="both"/>
        <w:rPr>
          <w:rFonts w:ascii="Arial" w:hAnsi="Arial" w:cs="Arial"/>
          <w:sz w:val="24"/>
          <w:szCs w:val="24"/>
        </w:rPr>
      </w:pPr>
    </w:p>
    <w:p w14:paraId="40B58619" w14:textId="77777777" w:rsidR="007757AB" w:rsidRPr="0035519F" w:rsidRDefault="002D0491" w:rsidP="00891FA6">
      <w:pPr>
        <w:pStyle w:val="ListParagraph"/>
        <w:numPr>
          <w:ilvl w:val="0"/>
          <w:numId w:val="23"/>
        </w:numPr>
        <w:spacing w:after="0" w:line="360" w:lineRule="auto"/>
        <w:ind w:left="432" w:hanging="432"/>
        <w:jc w:val="center"/>
        <w:outlineLvl w:val="1"/>
        <w:rPr>
          <w:rFonts w:ascii="Arial" w:hAnsi="Arial" w:cs="Arial"/>
          <w:b/>
          <w:sz w:val="24"/>
          <w:szCs w:val="24"/>
        </w:rPr>
      </w:pPr>
      <w:bookmarkStart w:id="50" w:name="_Toc111022768"/>
      <w:r w:rsidRPr="0035519F">
        <w:rPr>
          <w:rFonts w:ascii="Arial" w:hAnsi="Arial" w:cs="Arial"/>
          <w:b/>
          <w:i/>
          <w:sz w:val="24"/>
          <w:szCs w:val="24"/>
        </w:rPr>
        <w:lastRenderedPageBreak/>
        <w:t>Insulin-like Growth Factor</w:t>
      </w:r>
      <w:r w:rsidR="00ED2F1D" w:rsidRPr="0035519F">
        <w:rPr>
          <w:rFonts w:ascii="Arial" w:hAnsi="Arial" w:cs="Arial"/>
          <w:b/>
          <w:i/>
          <w:sz w:val="24"/>
          <w:szCs w:val="24"/>
        </w:rPr>
        <w:t xml:space="preserve"> 1</w:t>
      </w:r>
      <w:r w:rsidRPr="0035519F">
        <w:rPr>
          <w:rFonts w:ascii="Arial" w:hAnsi="Arial" w:cs="Arial"/>
          <w:b/>
          <w:sz w:val="24"/>
          <w:szCs w:val="24"/>
        </w:rPr>
        <w:t xml:space="preserve"> (IGF-1)</w:t>
      </w:r>
      <w:r w:rsidR="001221ED" w:rsidRPr="0035519F">
        <w:rPr>
          <w:rFonts w:ascii="Arial" w:hAnsi="Arial" w:cs="Arial"/>
          <w:b/>
          <w:sz w:val="24"/>
          <w:szCs w:val="24"/>
        </w:rPr>
        <w:t>, Obesitas Sentral dan Resistensi Insulin</w:t>
      </w:r>
      <w:bookmarkEnd w:id="50"/>
    </w:p>
    <w:p w14:paraId="0EE63850" w14:textId="77777777" w:rsidR="001221ED" w:rsidRPr="0035519F" w:rsidRDefault="001221ED" w:rsidP="001221ED">
      <w:pPr>
        <w:spacing w:after="0" w:line="360" w:lineRule="auto"/>
        <w:outlineLvl w:val="1"/>
        <w:rPr>
          <w:rFonts w:ascii="Arial" w:hAnsi="Arial" w:cs="Arial"/>
          <w:b/>
          <w:sz w:val="24"/>
          <w:szCs w:val="24"/>
        </w:rPr>
      </w:pPr>
    </w:p>
    <w:p w14:paraId="310B16A0" w14:textId="77777777" w:rsidR="00AB60E0" w:rsidRPr="0035519F" w:rsidRDefault="00102BE0" w:rsidP="00122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hAnsi="Arial" w:cs="Arial"/>
          <w:i/>
          <w:sz w:val="24"/>
          <w:szCs w:val="24"/>
        </w:rPr>
        <w:t>Insulin-like Growth Factor</w:t>
      </w:r>
      <w:r w:rsidR="00BB5810" w:rsidRPr="0035519F">
        <w:rPr>
          <w:rFonts w:ascii="Arial" w:hAnsi="Arial" w:cs="Arial"/>
          <w:i/>
          <w:sz w:val="24"/>
          <w:szCs w:val="24"/>
        </w:rPr>
        <w:t>-</w:t>
      </w:r>
      <w:r w:rsidR="00ED2F1D" w:rsidRPr="0035519F">
        <w:rPr>
          <w:rFonts w:ascii="Arial" w:hAnsi="Arial" w:cs="Arial"/>
          <w:i/>
          <w:sz w:val="24"/>
          <w:szCs w:val="24"/>
        </w:rPr>
        <w:t>1</w:t>
      </w:r>
      <w:r w:rsidRPr="0035519F">
        <w:rPr>
          <w:rFonts w:ascii="Arial" w:hAnsi="Arial" w:cs="Arial"/>
          <w:b/>
          <w:sz w:val="24"/>
          <w:szCs w:val="24"/>
        </w:rPr>
        <w:t xml:space="preserve"> </w:t>
      </w:r>
      <w:r w:rsidRPr="0035519F">
        <w:rPr>
          <w:rFonts w:ascii="Arial" w:eastAsia="Times New Roman" w:hAnsi="Arial" w:cs="Arial"/>
          <w:sz w:val="24"/>
          <w:szCs w:val="24"/>
        </w:rPr>
        <w:t>(</w:t>
      </w:r>
      <w:r w:rsidRPr="0035519F">
        <w:rPr>
          <w:rFonts w:ascii="Arial" w:eastAsia="Times New Roman" w:hAnsi="Arial" w:cs="Arial"/>
          <w:sz w:val="24"/>
          <w:szCs w:val="24"/>
          <w:lang w:val="id-ID"/>
        </w:rPr>
        <w:t>IGF-1</w:t>
      </w:r>
      <w:r w:rsidR="00EA6916" w:rsidRPr="0035519F">
        <w:rPr>
          <w:rFonts w:ascii="Arial" w:eastAsia="Times New Roman" w:hAnsi="Arial" w:cs="Arial"/>
          <w:sz w:val="24"/>
          <w:szCs w:val="24"/>
        </w:rPr>
        <w:t xml:space="preserve">) </w:t>
      </w:r>
      <w:r w:rsidR="00805A67" w:rsidRPr="0035519F">
        <w:rPr>
          <w:rFonts w:ascii="Arial" w:eastAsia="Times New Roman" w:hAnsi="Arial" w:cs="Arial"/>
          <w:sz w:val="24"/>
          <w:szCs w:val="24"/>
        </w:rPr>
        <w:t xml:space="preserve">adalah </w:t>
      </w:r>
      <w:r w:rsidR="00EA6916" w:rsidRPr="0035519F">
        <w:rPr>
          <w:rFonts w:ascii="Arial" w:eastAsia="Times New Roman" w:hAnsi="Arial" w:cs="Arial"/>
          <w:sz w:val="24"/>
          <w:szCs w:val="24"/>
        </w:rPr>
        <w:t xml:space="preserve">hormon polipeptida terdiri dari 70 asam amino dengan efek endokrin, parakrin, dan autokrin yang memiliki kesamaan struktural (&gt;60 %) </w:t>
      </w:r>
      <w:r w:rsidR="001221ED" w:rsidRPr="0035519F">
        <w:rPr>
          <w:rFonts w:ascii="Arial" w:eastAsia="Times New Roman" w:hAnsi="Arial" w:cs="Arial"/>
          <w:sz w:val="24"/>
          <w:szCs w:val="24"/>
        </w:rPr>
        <w:t xml:space="preserve">dengan </w:t>
      </w:r>
      <w:r w:rsidR="00EA6916" w:rsidRPr="0035519F">
        <w:rPr>
          <w:rFonts w:ascii="Arial" w:eastAsia="Times New Roman" w:hAnsi="Arial" w:cs="Arial"/>
          <w:sz w:val="24"/>
          <w:szCs w:val="24"/>
        </w:rPr>
        <w:t>proinsulin</w:t>
      </w:r>
      <w:r w:rsidR="00FB5DF1" w:rsidRPr="0035519F">
        <w:rPr>
          <w:rFonts w:ascii="Arial" w:eastAsia="Times New Roman" w:hAnsi="Arial" w:cs="Arial"/>
          <w:sz w:val="24"/>
          <w:szCs w:val="24"/>
        </w:rPr>
        <w:t xml:space="preserve"> serta memberikan </w:t>
      </w:r>
      <w:r w:rsidR="00FB5DF1" w:rsidRPr="0035519F">
        <w:rPr>
          <w:rFonts w:ascii="Arial" w:eastAsia="Times New Roman" w:hAnsi="Arial" w:cs="Arial"/>
          <w:sz w:val="24"/>
          <w:szCs w:val="24"/>
          <w:lang w:val="id-ID"/>
        </w:rPr>
        <w:t xml:space="preserve">respons hipoglikemik yang hampir </w:t>
      </w:r>
      <w:r w:rsidR="00805A67" w:rsidRPr="0035519F">
        <w:rPr>
          <w:rFonts w:ascii="Arial" w:eastAsia="Times New Roman" w:hAnsi="Arial" w:cs="Arial"/>
          <w:sz w:val="24"/>
          <w:szCs w:val="24"/>
        </w:rPr>
        <w:t>serupa</w:t>
      </w:r>
      <w:r w:rsidR="00EA6916" w:rsidRPr="0035519F">
        <w:rPr>
          <w:rFonts w:ascii="Arial" w:eastAsia="Times New Roman" w:hAnsi="Arial" w:cs="Arial"/>
          <w:sz w:val="24"/>
          <w:szCs w:val="24"/>
        </w:rPr>
        <w:t xml:space="preserve">. </w:t>
      </w:r>
      <w:r w:rsidR="00EA6916" w:rsidRPr="0035519F">
        <w:rPr>
          <w:rFonts w:ascii="Arial" w:eastAsia="Times New Roman" w:hAnsi="Arial" w:cs="Arial"/>
          <w:sz w:val="24"/>
          <w:szCs w:val="24"/>
          <w:lang w:val="id-ID"/>
        </w:rPr>
        <w:t>IGF-1</w:t>
      </w:r>
      <w:r w:rsidR="00EA6916" w:rsidRPr="0035519F">
        <w:rPr>
          <w:rFonts w:ascii="Arial" w:eastAsia="Times New Roman" w:hAnsi="Arial" w:cs="Arial"/>
          <w:sz w:val="24"/>
          <w:szCs w:val="24"/>
        </w:rPr>
        <w:t xml:space="preserve"> terutama diproduksi oleh hati (75% dari IGF-1 yang bersirkulasi) melalui stimulasi GH dan ins</w:t>
      </w:r>
      <w:r w:rsidR="00805A67" w:rsidRPr="0035519F">
        <w:rPr>
          <w:rFonts w:ascii="Arial" w:eastAsia="Times New Roman" w:hAnsi="Arial" w:cs="Arial"/>
          <w:sz w:val="24"/>
          <w:szCs w:val="24"/>
        </w:rPr>
        <w:t>ulin di hati. Sebaliknya, IGF-1</w:t>
      </w:r>
      <w:r w:rsidR="00EA6916" w:rsidRPr="0035519F">
        <w:rPr>
          <w:rFonts w:ascii="Arial" w:eastAsia="Times New Roman" w:hAnsi="Arial" w:cs="Arial"/>
          <w:sz w:val="24"/>
          <w:szCs w:val="24"/>
        </w:rPr>
        <w:t xml:space="preserve"> dapat bertindak memberikan sinyal umpan balik penghambatan terhadap sekresi GH di hipotalamus dengan merangsang pro</w:t>
      </w:r>
      <w:r w:rsidR="00FB5DF1" w:rsidRPr="0035519F">
        <w:rPr>
          <w:rFonts w:ascii="Arial" w:eastAsia="Times New Roman" w:hAnsi="Arial" w:cs="Arial"/>
          <w:sz w:val="24"/>
          <w:szCs w:val="24"/>
        </w:rPr>
        <w:t>duksi somatostatin di hipofisis</w:t>
      </w:r>
      <w:r w:rsidR="003E6681" w:rsidRPr="0035519F">
        <w:rPr>
          <w:rFonts w:ascii="Arial" w:eastAsia="Times New Roman" w:hAnsi="Arial" w:cs="Arial"/>
          <w:sz w:val="24"/>
          <w:szCs w:val="24"/>
        </w:rPr>
        <w:t xml:space="preserve"> </w:t>
      </w:r>
      <w:r w:rsidR="00FB5DF1" w:rsidRPr="0035519F">
        <w:rPr>
          <w:rFonts w:ascii="Arial" w:eastAsia="Times New Roman" w:hAnsi="Arial" w:cs="Arial"/>
          <w:sz w:val="24"/>
          <w:szCs w:val="24"/>
        </w:rPr>
        <w:fldChar w:fldCharType="begin" w:fldLock="1"/>
      </w:r>
      <w:r w:rsidR="00713F6B" w:rsidRPr="0035519F">
        <w:rPr>
          <w:rFonts w:ascii="Arial" w:eastAsia="Times New Roman" w:hAnsi="Arial" w:cs="Arial"/>
          <w:sz w:val="24"/>
          <w:szCs w:val="24"/>
        </w:rPr>
        <w:instrText>ADDIN CSL_CITATION {"citationItems":[{"id":"ITEM-1","itemData":{"DOI":"10.1016/S0140-6736(02)08655-5","ISSN":"01406736","PMID":"12049864","abstract":"Background: Results of experimental and clinical studies suggest that insulin-like growth factor-I (IGF-I) and IGF binding protein-1 (IGFBP-1) could be important determinants of glucose homoeostasis. However, experimental models might also reflect compensatory and adaptive metabolic processes. We therefore prospectively examined the associations between circulating concentrations of IGF-I and IGFBP-1 and development of glucose tolerance. Methods: Participants in this cohort study were a random sample of 615 normoglycaemic men and women aged 45-65 years. Participants underwent oral glucose tolerance testing based on WHO definitions and criteria in 1990-92 and 1994-96. At the baseline visit, we measured serum concentrations of IGF-I and IGFBP-1, and assessed the relation between these peptides and subsequent glucose intolerance. Findings: At 4.5 years of follow-up, 51 (8%) of 615 participants developed impaired glucose tolerance or type-2 diabetes. After adjustment for correlates of IGF-I and risk factors for glucose intolerance, the odds ratio for risk of impaired glucose tolerance or type-2 diabetes for participants with IGF-I concentrations above the median (≥152 μg/L) compared with those with concentrations below the median (&lt;152 μg/L) was 0.50 (0.26-0.95). Consistent with this finding, IGF-I also showed a significant inverse association with subsequent 2-h glucose concentrations, which was independent of correlates of IGF-I and risk factors for glucose tolerance (p for linear trend=0.026). We also found that this inverse association was independently modified by IGFBP-1 (p for interaction=0.011). Interpretation: These data show that circulating IGF-I and its interaction with IGFBP-1 could be important determinants of glucose homoeostasis and provide further evidence for the possible protective role of IGF-I against development of glucose intolerance.","author":[{"dropping-particle":"","family":"Sandhu","given":"Manjinder S.","non-dropping-particle":"","parse-names":false,"suffix":""},{"dropping-particle":"","family":"Heald","given":"Adrian H.","non-dropping-particle":"","parse-names":false,"suffix":""},{"dropping-particle":"","family":"Gibson","given":"J. Martin","non-dropping-particle":"","parse-names":false,"suffix":""},{"dropping-particle":"","family":"Cruickshank","given":"J. Kennedy","non-dropping-particle":"","parse-names":false,"suffix":""},{"dropping-particle":"","family":"Dunger","given":"David B.","non-dropping-particle":"","parse-names":false,"suffix":""},{"dropping-particle":"","family":"Wareham","given":"Nicholas J.","non-dropping-particle":"","parse-names":false,"suffix":""}],"container-title":"Lancet","id":"ITEM-1","issue":"9319","issued":{"date-parts":[["2002","5","18"]]},"page":"1740-1745","publisher":"Lancet","title":"Circulating concentrations of insulin-like growth factor-I and development of glucose intolerance: A prospective observational study","type":"article-journal","volume":"359"},"uris":["http://www.mendeley.com/documents/?uuid=273f918d-e867-3132-95a2-3102a9167ddb"]},{"id":"ITEM-2","itemData":{"DOI":"10.2337/dc11-1833","abstract":"OBJECTIVEdIGF-I has an almost 50% amino acid sequence homology with insulin and elicits nearly the same hypoglycemic response. Studies showed that low and high IGF-I levels are related to impaired glucose tolerance and to a higher risk of type 2 diabetes. The aim of the current study was to evaluate the association between IGF-I level and insulin resistance in a Danish general population. RESEARCH DESIGN AND METHODSdIncluded were 3,354 adults, aged 19-72 years, from the cross-sectional Health2006 study. The homeostasis model assessment of insulin resistance (HOMA-IR) was used as the index to estimate insulin resistance. Serum IGF-I levels were determined by an immunoassay and grouped into quintiles (Q1-Q5). Linear or multinomial logistic regression analyses were performed. RESULTSdIn the study population, 520 subjects (15.5%) had increased HOMA-IR values above 2.5. After adjustment for age, sex, physical activity, and waist-to-height ratio, a U-shaped association between IGF-I and HOMA-IR was found. Low IGF-I (Q1: odds ratio [OR] 1.65 [95% CI 1.16-2.34], P , 0.01) as well as high IGF-I (Q5: 1.96 [1.38-2.79], P , 0.01) levels were related to a higher odds of increased HOMA-IR values compared with subjects with intermediate (Q3) IGF-I levels. These associations remained statistically significant after the exclusion of subjects with type 2 diabetes and by using the updated computer HOMA2-IR model. CONCLUSIONSdLow-and high-normal IGF-I levels are both related to insulin resistance. The biological mechanism of this complex phenomenon has to be elucidated in more detail for future risk stratification. Diabetes Care 35:768-773, 2012","author":[{"dropping-particle":"","family":"Friedrich","given":"Nele","non-dropping-particle":"","parse-names":false,"suffix":""},{"dropping-particle":"","family":"Thuesen","given":"Betina","non-dropping-particle":"","parse-names":false,"suffix":""},{"dropping-particle":"","family":"Jørgensen","given":"Torben","non-dropping-particle":"","parse-names":false,"suffix":""},{"dropping-particle":"","family":"Juul","given":"Anders","non-dropping-particle":"","parse-names":false,"suffix":""},{"dropping-particle":"","family":"Spielhagen","given":"Christin","non-dropping-particle":"","parse-names":false,"suffix":""},{"dropping-particle":"","family":"Wallaschofksi","given":"Henri","non-dropping-particle":"","parse-names":false,"suffix":""},{"dropping-particle":"","family":"Linneberg","given":"Allan","non-dropping-particle":"","parse-names":false,"suffix":""}],"id":"ITEM-2","issued":{"date-parts":[["2012"]]},"title":"The Association Between IGF-I and Insulin Resistance A general population study in Danish adults","type":"article-journal"},"uris":["http://www.mendeley.com/documents/?uuid=b687ed57-8a58-39c5-9c3a-17c93b7d9cc7"]}],"mendeley":{"formattedCitation":"(Sandhu &lt;i&gt;et al.&lt;/i&gt;, 2002; Friedrich, Thuesen, Jørgensen, &lt;i&gt;et al.&lt;/i&gt;, 2012)","plainTextFormattedCitation":"(Sandhu et al., 2002; Friedrich, Thuesen, Jørgensen, et al., 2012)","previouslyFormattedCitation":"(Sandhu &lt;i&gt;et al.&lt;/i&gt;, 2002; Friedrich, Thuesen, Jørgensen, &lt;i&gt;et al.&lt;/i&gt;, 2012)"},"properties":{"noteIndex":0},"schema":"https://github.com/citation-style-language/schema/raw/master/csl-citation.json"}</w:instrText>
      </w:r>
      <w:r w:rsidR="00FB5DF1" w:rsidRPr="0035519F">
        <w:rPr>
          <w:rFonts w:ascii="Arial" w:eastAsia="Times New Roman" w:hAnsi="Arial" w:cs="Arial"/>
          <w:sz w:val="24"/>
          <w:szCs w:val="24"/>
        </w:rPr>
        <w:fldChar w:fldCharType="separate"/>
      </w:r>
      <w:r w:rsidR="003E6681" w:rsidRPr="0035519F">
        <w:rPr>
          <w:rFonts w:ascii="Arial" w:eastAsia="Times New Roman" w:hAnsi="Arial" w:cs="Arial"/>
          <w:noProof/>
          <w:sz w:val="24"/>
          <w:szCs w:val="24"/>
        </w:rPr>
        <w:t xml:space="preserve">(Sandhu </w:t>
      </w:r>
      <w:r w:rsidR="003E6681" w:rsidRPr="0035519F">
        <w:rPr>
          <w:rFonts w:ascii="Arial" w:eastAsia="Times New Roman" w:hAnsi="Arial" w:cs="Arial"/>
          <w:i/>
          <w:noProof/>
          <w:sz w:val="24"/>
          <w:szCs w:val="24"/>
        </w:rPr>
        <w:t>et al.</w:t>
      </w:r>
      <w:r w:rsidR="003E6681" w:rsidRPr="0035519F">
        <w:rPr>
          <w:rFonts w:ascii="Arial" w:eastAsia="Times New Roman" w:hAnsi="Arial" w:cs="Arial"/>
          <w:noProof/>
          <w:sz w:val="24"/>
          <w:szCs w:val="24"/>
        </w:rPr>
        <w:t xml:space="preserve">, 2002; Friedrich, Thuesen, Jørgensen, </w:t>
      </w:r>
      <w:r w:rsidR="003E6681" w:rsidRPr="0035519F">
        <w:rPr>
          <w:rFonts w:ascii="Arial" w:eastAsia="Times New Roman" w:hAnsi="Arial" w:cs="Arial"/>
          <w:i/>
          <w:noProof/>
          <w:sz w:val="24"/>
          <w:szCs w:val="24"/>
        </w:rPr>
        <w:t>et al.</w:t>
      </w:r>
      <w:r w:rsidR="003E6681" w:rsidRPr="0035519F">
        <w:rPr>
          <w:rFonts w:ascii="Arial" w:eastAsia="Times New Roman" w:hAnsi="Arial" w:cs="Arial"/>
          <w:noProof/>
          <w:sz w:val="24"/>
          <w:szCs w:val="24"/>
        </w:rPr>
        <w:t>, 2012)</w:t>
      </w:r>
      <w:r w:rsidR="00FB5DF1" w:rsidRPr="0035519F">
        <w:rPr>
          <w:rFonts w:ascii="Arial" w:eastAsia="Times New Roman" w:hAnsi="Arial" w:cs="Arial"/>
          <w:sz w:val="24"/>
          <w:szCs w:val="24"/>
        </w:rPr>
        <w:fldChar w:fldCharType="end"/>
      </w:r>
      <w:r w:rsidR="00EA6916" w:rsidRPr="0035519F">
        <w:rPr>
          <w:rFonts w:ascii="Arial" w:eastAsia="Times New Roman" w:hAnsi="Arial" w:cs="Arial"/>
          <w:sz w:val="24"/>
          <w:szCs w:val="24"/>
        </w:rPr>
        <w:t xml:space="preserve">. </w:t>
      </w:r>
      <w:r w:rsidR="00593BA2" w:rsidRPr="0035519F">
        <w:rPr>
          <w:rFonts w:ascii="Arial" w:hAnsi="Arial" w:cs="Arial"/>
          <w:i/>
          <w:sz w:val="24"/>
          <w:szCs w:val="24"/>
        </w:rPr>
        <w:t>Insulin-like Growth Factor-1</w:t>
      </w:r>
      <w:r w:rsidR="00593BA2" w:rsidRPr="0035519F">
        <w:rPr>
          <w:rFonts w:ascii="Arial" w:hAnsi="Arial" w:cs="Arial"/>
          <w:b/>
          <w:sz w:val="24"/>
          <w:szCs w:val="24"/>
        </w:rPr>
        <w:t xml:space="preserve"> </w:t>
      </w:r>
      <w:r w:rsidR="00EA6916" w:rsidRPr="0035519F">
        <w:rPr>
          <w:rFonts w:ascii="Arial" w:eastAsia="Times New Roman" w:hAnsi="Arial" w:cs="Arial"/>
          <w:sz w:val="24"/>
          <w:szCs w:val="24"/>
        </w:rPr>
        <w:t>juga diproduksi secara lo</w:t>
      </w:r>
      <w:r w:rsidR="00FB5DF1" w:rsidRPr="0035519F">
        <w:rPr>
          <w:rFonts w:ascii="Arial" w:eastAsia="Times New Roman" w:hAnsi="Arial" w:cs="Arial"/>
          <w:sz w:val="24"/>
          <w:szCs w:val="24"/>
        </w:rPr>
        <w:t>kal di semua jaringan tubuh, Nilai normal hormon ini pa</w:t>
      </w:r>
      <w:r w:rsidR="00713F6B" w:rsidRPr="0035519F">
        <w:rPr>
          <w:rFonts w:ascii="Arial" w:eastAsia="Times New Roman" w:hAnsi="Arial" w:cs="Arial"/>
          <w:sz w:val="24"/>
          <w:szCs w:val="24"/>
        </w:rPr>
        <w:t xml:space="preserve">da manusia adalah 150-250 µg /L </w:t>
      </w:r>
      <w:r w:rsidR="00FB5DF1" w:rsidRPr="0035519F">
        <w:rPr>
          <w:rFonts w:ascii="Arial" w:eastAsia="Times New Roman" w:hAnsi="Arial" w:cs="Arial"/>
          <w:sz w:val="24"/>
          <w:szCs w:val="24"/>
        </w:rPr>
        <w:fldChar w:fldCharType="begin" w:fldLock="1"/>
      </w:r>
      <w:r w:rsidR="00D11F03" w:rsidRPr="0035519F">
        <w:rPr>
          <w:rFonts w:ascii="Arial" w:eastAsia="Times New Roman" w:hAnsi="Arial" w:cs="Arial"/>
          <w:sz w:val="24"/>
          <w:szCs w:val="24"/>
        </w:rPr>
        <w:instrText>ADDIN CSL_CITATION {"citationItems":[{"id":"ITEM-1","itemData":{"DOI":"10.1073/PNAS.81.3.935","ISSN":"0027-8424","PMID":"6583688","abstract":"We have validated a method for extracting and measuring the tissue content of somatomedin C (SmC)/insulin-like growth factor I (IGF-I), a growth-hormone-dependent, growth-promoting peptide. The Sm-C content of tissue extracts was strongly growth-hormone dependent because most of the tissues studied from hypophysectomized rats contained significantly less Sm-C than normal tissues. The intraperitoneal administration of ovine growth hormone (oGH) to hypophysectomized rats caused tissue extractable Sm-C to increase in kidney, liver, lung, heart, and testes. Tissue Sm-C responses to oGH were maximal after 12 hr, 6 hr before the maximal increment in serum. In liver and lung, the tissue Sm-C response to various doses of oGH fit linear regression models, and the doses of oGH needed to increase the Sm-C are in the range of those required to increase protein synthesis. Although these results do not exclude the possibility that the somatomedins act by hormone-like endocrine mechanisms, they add support to the concept that these peptides act through autocrine or paracrine mechanisms, being produced at multiple sites and acting at or near their sites of production.","author":[{"dropping-particle":"","family":"D'Ercole","given":"A. J.","non-dropping-particle":"","parse-names":false,"suffix":""},{"dropping-particle":"","family":"Stiles","given":"A. D.","non-dropping-particle":"","parse-names":false,"suffix":""},{"dropping-particle":"","family":"Underwood","given":"L. E.","non-dropping-particle":"","parse-names":false,"suffix":""}],"container-title":"Proceedings of the National Academy of Sciences of the United States of America","id":"ITEM-1","issue":"3","issued":{"date-parts":[["1984"]]},"page":"935-939","publisher":"Proc Natl Acad Sci U S A","title":"Tissue concentrations of somatomedin C: further evidence for multiple sites of synthesis and paracrine or autocrine mechanisms of action","type":"article-journal","volume":"81"},"uris":["http://www.mendeley.com/documents/?uuid=ab2dbb9c-d4b2-3a0e-99cc-f50376d2c100"]}],"mendeley":{"formattedCitation":"(D’Ercole, Stiles and Underwood, 1984)","plainTextFormattedCitation":"(D’Ercole, Stiles and Underwood, 1984)","previouslyFormattedCitation":"(D’Ercole, Stiles and Underwood, 1984)"},"properties":{"noteIndex":0},"schema":"https://github.com/citation-style-language/schema/raw/master/csl-citation.json"}</w:instrText>
      </w:r>
      <w:r w:rsidR="00FB5DF1" w:rsidRPr="0035519F">
        <w:rPr>
          <w:rFonts w:ascii="Arial" w:eastAsia="Times New Roman" w:hAnsi="Arial" w:cs="Arial"/>
          <w:sz w:val="24"/>
          <w:szCs w:val="24"/>
        </w:rPr>
        <w:fldChar w:fldCharType="separate"/>
      </w:r>
      <w:r w:rsidR="00D11F03" w:rsidRPr="0035519F">
        <w:rPr>
          <w:rFonts w:ascii="Arial" w:eastAsia="Times New Roman" w:hAnsi="Arial" w:cs="Arial"/>
          <w:noProof/>
          <w:sz w:val="24"/>
          <w:szCs w:val="24"/>
        </w:rPr>
        <w:t>(D’Ercole, Stiles and Underwood, 1984)</w:t>
      </w:r>
      <w:r w:rsidR="00FB5DF1" w:rsidRPr="0035519F">
        <w:rPr>
          <w:rFonts w:ascii="Arial" w:eastAsia="Times New Roman" w:hAnsi="Arial" w:cs="Arial"/>
          <w:sz w:val="24"/>
          <w:szCs w:val="24"/>
        </w:rPr>
        <w:fldChar w:fldCharType="end"/>
      </w:r>
      <w:r w:rsidR="00EA6916" w:rsidRPr="0035519F">
        <w:rPr>
          <w:rFonts w:ascii="Arial" w:eastAsia="Times New Roman" w:hAnsi="Arial" w:cs="Arial"/>
          <w:sz w:val="24"/>
          <w:szCs w:val="24"/>
        </w:rPr>
        <w:t>.</w:t>
      </w:r>
    </w:p>
    <w:p w14:paraId="116FCF7F" w14:textId="77777777" w:rsidR="00182AC6" w:rsidRPr="0035519F" w:rsidRDefault="00AB60E0"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hAnsi="Arial" w:cs="Arial"/>
          <w:i/>
          <w:sz w:val="24"/>
          <w:szCs w:val="24"/>
        </w:rPr>
        <w:t>Insulin-like Growth Factor</w:t>
      </w:r>
      <w:r w:rsidR="001E4EB1" w:rsidRPr="0035519F">
        <w:rPr>
          <w:rFonts w:ascii="Arial" w:hAnsi="Arial" w:cs="Arial"/>
          <w:i/>
          <w:sz w:val="24"/>
          <w:szCs w:val="24"/>
        </w:rPr>
        <w:t>-</w:t>
      </w:r>
      <w:r w:rsidRPr="0035519F">
        <w:rPr>
          <w:rFonts w:ascii="Arial" w:hAnsi="Arial" w:cs="Arial"/>
          <w:i/>
          <w:sz w:val="24"/>
          <w:szCs w:val="24"/>
        </w:rPr>
        <w:t xml:space="preserve">1 </w:t>
      </w:r>
      <w:r w:rsidRPr="0035519F">
        <w:rPr>
          <w:rFonts w:ascii="Arial" w:hAnsi="Arial" w:cs="Arial"/>
          <w:sz w:val="24"/>
          <w:szCs w:val="24"/>
        </w:rPr>
        <w:t>secara umum dikenal sebagai</w:t>
      </w:r>
      <w:r w:rsidRPr="0035519F">
        <w:rPr>
          <w:rFonts w:ascii="Arial" w:eastAsia="Times New Roman" w:hAnsi="Arial" w:cs="Arial"/>
          <w:sz w:val="24"/>
          <w:szCs w:val="24"/>
        </w:rPr>
        <w:t xml:space="preserve"> faktor pertumbuhan dan diferensiasi, namun belakangan ini terungkap peran lain yang tidak berhubungan d</w:t>
      </w:r>
      <w:r w:rsidR="009A0C55" w:rsidRPr="0035519F">
        <w:rPr>
          <w:rFonts w:ascii="Arial" w:eastAsia="Times New Roman" w:hAnsi="Arial" w:cs="Arial"/>
          <w:sz w:val="24"/>
          <w:szCs w:val="24"/>
        </w:rPr>
        <w:t>engan aksi dalam proses pertumb</w:t>
      </w:r>
      <w:r w:rsidRPr="0035519F">
        <w:rPr>
          <w:rFonts w:ascii="Arial" w:eastAsia="Times New Roman" w:hAnsi="Arial" w:cs="Arial"/>
          <w:sz w:val="24"/>
          <w:szCs w:val="24"/>
        </w:rPr>
        <w:t>uhan. Aksis</w:t>
      </w:r>
      <w:r w:rsidR="009A0C55" w:rsidRPr="0035519F">
        <w:rPr>
          <w:rFonts w:ascii="Arial" w:eastAsia="Times New Roman" w:hAnsi="Arial" w:cs="Arial"/>
          <w:sz w:val="24"/>
          <w:szCs w:val="24"/>
        </w:rPr>
        <w:t xml:space="preserve"> sinyal </w:t>
      </w:r>
      <w:r w:rsidRPr="0035519F">
        <w:rPr>
          <w:rFonts w:ascii="Arial" w:eastAsia="Times New Roman" w:hAnsi="Arial" w:cs="Arial"/>
          <w:sz w:val="24"/>
          <w:szCs w:val="24"/>
        </w:rPr>
        <w:t xml:space="preserve">IGF-1, GH, dan insulin dapat informasi kepada sel sehingga dapat terjadi apoptosis / penuaan sel atau </w:t>
      </w:r>
      <w:r w:rsidR="009A0C55" w:rsidRPr="0035519F">
        <w:rPr>
          <w:rFonts w:ascii="Arial" w:eastAsia="Times New Roman" w:hAnsi="Arial" w:cs="Arial"/>
          <w:sz w:val="24"/>
          <w:szCs w:val="24"/>
        </w:rPr>
        <w:t>sebaliknya sel menjadi</w:t>
      </w:r>
      <w:r w:rsidRPr="0035519F">
        <w:rPr>
          <w:rFonts w:ascii="Arial" w:eastAsia="Times New Roman" w:hAnsi="Arial" w:cs="Arial"/>
          <w:sz w:val="24"/>
          <w:szCs w:val="24"/>
        </w:rPr>
        <w:t xml:space="preserve"> tumbuh dan berdiferensiasi. </w:t>
      </w:r>
      <w:r w:rsidR="00593BA2" w:rsidRPr="0035519F">
        <w:rPr>
          <w:rFonts w:ascii="Arial" w:hAnsi="Arial" w:cs="Arial"/>
          <w:i/>
          <w:sz w:val="24"/>
          <w:szCs w:val="24"/>
        </w:rPr>
        <w:t>Insulin-like Growth Factor-1</w:t>
      </w:r>
      <w:r w:rsidR="00593BA2" w:rsidRPr="0035519F">
        <w:rPr>
          <w:rFonts w:ascii="Arial" w:hAnsi="Arial" w:cs="Arial"/>
          <w:b/>
          <w:sz w:val="24"/>
          <w:szCs w:val="24"/>
        </w:rPr>
        <w:t xml:space="preserve"> </w:t>
      </w:r>
      <w:r w:rsidR="009A0C55" w:rsidRPr="0035519F">
        <w:rPr>
          <w:rFonts w:ascii="Arial" w:eastAsia="Times New Roman" w:hAnsi="Arial" w:cs="Arial"/>
          <w:sz w:val="24"/>
          <w:szCs w:val="24"/>
        </w:rPr>
        <w:t xml:space="preserve">juga diketahui memiliki </w:t>
      </w:r>
      <w:r w:rsidRPr="0035519F">
        <w:rPr>
          <w:rFonts w:ascii="Arial" w:eastAsia="Times New Roman" w:hAnsi="Arial" w:cs="Arial"/>
          <w:sz w:val="24"/>
          <w:szCs w:val="24"/>
        </w:rPr>
        <w:t>efek perlindungan</w:t>
      </w:r>
      <w:r w:rsidR="009A0C55" w:rsidRPr="0035519F">
        <w:rPr>
          <w:rFonts w:ascii="Arial" w:eastAsia="Times New Roman" w:hAnsi="Arial" w:cs="Arial"/>
          <w:sz w:val="24"/>
          <w:szCs w:val="24"/>
        </w:rPr>
        <w:t xml:space="preserve"> terhadap sel terhadap</w:t>
      </w:r>
      <w:r w:rsidRPr="0035519F">
        <w:rPr>
          <w:rFonts w:ascii="Arial" w:eastAsia="Times New Roman" w:hAnsi="Arial" w:cs="Arial"/>
          <w:sz w:val="24"/>
          <w:szCs w:val="24"/>
        </w:rPr>
        <w:t xml:space="preserve"> kemungkinan efek</w:t>
      </w:r>
      <w:r w:rsidR="009A0C55" w:rsidRPr="0035519F">
        <w:rPr>
          <w:rFonts w:ascii="Arial" w:eastAsia="Times New Roman" w:hAnsi="Arial" w:cs="Arial"/>
          <w:sz w:val="24"/>
          <w:szCs w:val="24"/>
        </w:rPr>
        <w:t xml:space="preserve"> yang</w:t>
      </w:r>
      <w:r w:rsidRPr="0035519F">
        <w:rPr>
          <w:rFonts w:ascii="Arial" w:eastAsia="Times New Roman" w:hAnsi="Arial" w:cs="Arial"/>
          <w:sz w:val="24"/>
          <w:szCs w:val="24"/>
        </w:rPr>
        <w:t xml:space="preserve"> merusak </w:t>
      </w:r>
      <w:r w:rsidR="009A0C55" w:rsidRPr="0035519F">
        <w:rPr>
          <w:rFonts w:ascii="Arial" w:eastAsia="Times New Roman" w:hAnsi="Arial" w:cs="Arial"/>
          <w:sz w:val="24"/>
          <w:szCs w:val="24"/>
        </w:rPr>
        <w:t xml:space="preserve">akibat peningkatan </w:t>
      </w:r>
      <w:r w:rsidRPr="0035519F">
        <w:rPr>
          <w:rFonts w:ascii="Arial" w:eastAsia="Times New Roman" w:hAnsi="Arial" w:cs="Arial"/>
          <w:sz w:val="24"/>
          <w:szCs w:val="24"/>
        </w:rPr>
        <w:t xml:space="preserve">metabolisme. </w:t>
      </w:r>
      <w:r w:rsidR="009A0C55" w:rsidRPr="0035519F">
        <w:rPr>
          <w:rFonts w:ascii="Arial" w:eastAsia="Times New Roman" w:hAnsi="Arial" w:cs="Arial"/>
          <w:sz w:val="24"/>
          <w:szCs w:val="24"/>
        </w:rPr>
        <w:t xml:space="preserve">Efek </w:t>
      </w:r>
      <w:r w:rsidRPr="0035519F">
        <w:rPr>
          <w:rFonts w:ascii="Arial" w:eastAsia="Times New Roman" w:hAnsi="Arial" w:cs="Arial"/>
          <w:sz w:val="24"/>
          <w:szCs w:val="24"/>
        </w:rPr>
        <w:t xml:space="preserve">anti inflamasi IGF-1 dapat dianggap sebagai faktor penting yang melindungi jaringan dari </w:t>
      </w:r>
      <w:r w:rsidR="009A0C55" w:rsidRPr="0035519F">
        <w:rPr>
          <w:rFonts w:ascii="Arial" w:eastAsia="Times New Roman" w:hAnsi="Arial" w:cs="Arial"/>
          <w:sz w:val="24"/>
          <w:szCs w:val="24"/>
        </w:rPr>
        <w:t xml:space="preserve">kerusakan sel yang diakibatkan oleh </w:t>
      </w:r>
      <w:r w:rsidRPr="0035519F">
        <w:rPr>
          <w:rFonts w:ascii="Arial" w:eastAsia="Times New Roman" w:hAnsi="Arial" w:cs="Arial"/>
          <w:sz w:val="24"/>
          <w:szCs w:val="24"/>
        </w:rPr>
        <w:t xml:space="preserve">mediator pro-inflamasi pada penyakit kronis seperti </w:t>
      </w:r>
      <w:r w:rsidRPr="0035519F">
        <w:rPr>
          <w:rFonts w:ascii="Arial" w:eastAsia="Times New Roman" w:hAnsi="Arial" w:cs="Arial"/>
          <w:sz w:val="24"/>
          <w:szCs w:val="24"/>
        </w:rPr>
        <w:lastRenderedPageBreak/>
        <w:t xml:space="preserve">obesitas. </w:t>
      </w:r>
      <w:r w:rsidR="009A0C55" w:rsidRPr="0035519F">
        <w:rPr>
          <w:rFonts w:ascii="Arial" w:eastAsia="Times New Roman" w:hAnsi="Arial" w:cs="Arial"/>
          <w:sz w:val="24"/>
          <w:szCs w:val="24"/>
        </w:rPr>
        <w:t xml:space="preserve">Sebagaimana telah diketahui bahwa </w:t>
      </w:r>
      <w:r w:rsidR="00A00D79" w:rsidRPr="0035519F">
        <w:rPr>
          <w:rFonts w:ascii="Arial" w:eastAsia="Times New Roman" w:hAnsi="Arial" w:cs="Arial"/>
          <w:sz w:val="24"/>
          <w:szCs w:val="24"/>
        </w:rPr>
        <w:t>sitokin pro</w:t>
      </w:r>
      <w:r w:rsidRPr="0035519F">
        <w:rPr>
          <w:rFonts w:ascii="Arial" w:eastAsia="Times New Roman" w:hAnsi="Arial" w:cs="Arial"/>
          <w:sz w:val="24"/>
          <w:szCs w:val="24"/>
        </w:rPr>
        <w:t xml:space="preserve">inflamasi diproduksi oleh adiposa jaringan pada obesitas </w:t>
      </w:r>
      <w:r w:rsidR="009A0C55" w:rsidRPr="0035519F">
        <w:rPr>
          <w:rFonts w:ascii="Arial" w:eastAsia="Times New Roman" w:hAnsi="Arial" w:cs="Arial"/>
          <w:sz w:val="24"/>
          <w:szCs w:val="24"/>
        </w:rPr>
        <w:t xml:space="preserve">mengganggu pensinyalan nutrisi </w:t>
      </w:r>
      <w:r w:rsidR="009E5D25" w:rsidRPr="0035519F">
        <w:rPr>
          <w:rFonts w:ascii="Arial" w:eastAsia="Times New Roman" w:hAnsi="Arial" w:cs="Arial"/>
          <w:sz w:val="24"/>
          <w:szCs w:val="24"/>
        </w:rPr>
        <w:t xml:space="preserve">dan berakibat terjadinya </w:t>
      </w:r>
      <w:r w:rsidRPr="0035519F">
        <w:rPr>
          <w:rFonts w:ascii="Arial" w:eastAsia="Times New Roman" w:hAnsi="Arial" w:cs="Arial"/>
          <w:sz w:val="24"/>
          <w:szCs w:val="24"/>
        </w:rPr>
        <w:t xml:space="preserve">ke </w:t>
      </w:r>
      <w:r w:rsidR="00A00D79" w:rsidRPr="0035519F">
        <w:rPr>
          <w:rFonts w:ascii="Arial" w:eastAsia="Times New Roman" w:hAnsi="Arial" w:cs="Arial"/>
          <w:sz w:val="24"/>
          <w:szCs w:val="24"/>
        </w:rPr>
        <w:t>sindrom metabolik</w:t>
      </w:r>
      <w:r w:rsidR="009E5D25" w:rsidRPr="0035519F">
        <w:rPr>
          <w:rFonts w:ascii="Arial" w:eastAsia="Times New Roman" w:hAnsi="Arial" w:cs="Arial"/>
          <w:sz w:val="24"/>
          <w:szCs w:val="24"/>
        </w:rPr>
        <w:t xml:space="preserve"> dan DM tipe-2</w:t>
      </w:r>
      <w:r w:rsidRPr="0035519F">
        <w:rPr>
          <w:rFonts w:ascii="Arial" w:eastAsia="Times New Roman" w:hAnsi="Arial" w:cs="Arial"/>
          <w:sz w:val="24"/>
          <w:szCs w:val="24"/>
        </w:rPr>
        <w:t>. Selai</w:t>
      </w:r>
      <w:r w:rsidR="009E5D25" w:rsidRPr="0035519F">
        <w:rPr>
          <w:rFonts w:ascii="Arial" w:eastAsia="Times New Roman" w:hAnsi="Arial" w:cs="Arial"/>
          <w:sz w:val="24"/>
          <w:szCs w:val="24"/>
        </w:rPr>
        <w:t xml:space="preserve">n itu, saat ini diketahui bahwa </w:t>
      </w:r>
      <w:r w:rsidRPr="0035519F">
        <w:rPr>
          <w:rFonts w:ascii="Arial" w:eastAsia="Times New Roman" w:hAnsi="Arial" w:cs="Arial"/>
          <w:sz w:val="24"/>
          <w:szCs w:val="24"/>
        </w:rPr>
        <w:t xml:space="preserve">sitokin pro inflamasi juga </w:t>
      </w:r>
      <w:r w:rsidR="009E5D25" w:rsidRPr="0035519F">
        <w:rPr>
          <w:rFonts w:ascii="Arial" w:eastAsia="Times New Roman" w:hAnsi="Arial" w:cs="Arial"/>
          <w:sz w:val="24"/>
          <w:szCs w:val="24"/>
        </w:rPr>
        <w:t>dapat mengganggu pensinyalan</w:t>
      </w:r>
      <w:r w:rsidRPr="0035519F">
        <w:rPr>
          <w:rFonts w:ascii="Arial" w:eastAsia="Times New Roman" w:hAnsi="Arial" w:cs="Arial"/>
          <w:sz w:val="24"/>
          <w:szCs w:val="24"/>
        </w:rPr>
        <w:t xml:space="preserve"> IGF-1</w:t>
      </w:r>
      <w:r w:rsidR="001221ED" w:rsidRPr="0035519F">
        <w:rPr>
          <w:rFonts w:ascii="Arial" w:eastAsia="Times New Roman" w:hAnsi="Arial" w:cs="Arial"/>
          <w:sz w:val="24"/>
          <w:szCs w:val="24"/>
        </w:rPr>
        <w:t xml:space="preserve"> yang menyebabkan </w:t>
      </w:r>
      <w:r w:rsidRPr="0035519F">
        <w:rPr>
          <w:rFonts w:ascii="Arial" w:eastAsia="Times New Roman" w:hAnsi="Arial" w:cs="Arial"/>
          <w:sz w:val="24"/>
          <w:szCs w:val="24"/>
        </w:rPr>
        <w:t xml:space="preserve">fosforilasi residu serin pada molekul </w:t>
      </w:r>
      <w:r w:rsidR="009E5D25" w:rsidRPr="0035519F">
        <w:rPr>
          <w:rFonts w:ascii="Arial" w:eastAsia="Times New Roman" w:hAnsi="Arial" w:cs="Arial"/>
          <w:i/>
          <w:sz w:val="24"/>
          <w:szCs w:val="24"/>
        </w:rPr>
        <w:t>insulin related substrate</w:t>
      </w:r>
      <w:r w:rsidR="009E5D25" w:rsidRPr="0035519F">
        <w:rPr>
          <w:rFonts w:ascii="Arial" w:eastAsia="Times New Roman" w:hAnsi="Arial" w:cs="Arial"/>
          <w:sz w:val="24"/>
          <w:szCs w:val="24"/>
        </w:rPr>
        <w:t xml:space="preserve"> </w:t>
      </w:r>
      <w:r w:rsidRPr="0035519F">
        <w:rPr>
          <w:rFonts w:ascii="Arial" w:eastAsia="Times New Roman" w:hAnsi="Arial" w:cs="Arial"/>
          <w:sz w:val="24"/>
          <w:szCs w:val="24"/>
        </w:rPr>
        <w:t xml:space="preserve">(IRS) </w:t>
      </w:r>
      <w:r w:rsidR="009E5D25" w:rsidRPr="0035519F">
        <w:rPr>
          <w:rFonts w:ascii="Arial" w:eastAsia="Times New Roman" w:hAnsi="Arial" w:cs="Arial"/>
          <w:sz w:val="24"/>
          <w:szCs w:val="24"/>
        </w:rPr>
        <w:t>sehingga</w:t>
      </w:r>
      <w:r w:rsidRPr="0035519F">
        <w:rPr>
          <w:rFonts w:ascii="Arial" w:eastAsia="Times New Roman" w:hAnsi="Arial" w:cs="Arial"/>
          <w:sz w:val="24"/>
          <w:szCs w:val="24"/>
        </w:rPr>
        <w:t xml:space="preserve"> menghambat ikatannya dengan IGF-1R. </w:t>
      </w:r>
      <w:r w:rsidR="009E5D25" w:rsidRPr="0035519F">
        <w:rPr>
          <w:rFonts w:ascii="Arial" w:eastAsia="Times New Roman" w:hAnsi="Arial" w:cs="Arial"/>
          <w:sz w:val="24"/>
          <w:szCs w:val="24"/>
        </w:rPr>
        <w:t xml:space="preserve">kejadian ini menyebabkan hambatan fungsi </w:t>
      </w:r>
      <w:r w:rsidRPr="0035519F">
        <w:rPr>
          <w:rFonts w:ascii="Arial" w:eastAsia="Times New Roman" w:hAnsi="Arial" w:cs="Arial"/>
          <w:sz w:val="24"/>
          <w:szCs w:val="24"/>
        </w:rPr>
        <w:t>IGF-1</w:t>
      </w:r>
      <w:r w:rsidR="00F80C44" w:rsidRPr="0035519F">
        <w:rPr>
          <w:rFonts w:ascii="Arial" w:eastAsia="Times New Roman" w:hAnsi="Arial" w:cs="Arial"/>
          <w:sz w:val="24"/>
          <w:szCs w:val="24"/>
        </w:rPr>
        <w:t xml:space="preserve"> </w:t>
      </w:r>
      <w:r w:rsidR="009E5D25" w:rsidRPr="0035519F">
        <w:rPr>
          <w:rFonts w:ascii="Arial" w:eastAsia="Times New Roman" w:hAnsi="Arial" w:cs="Arial"/>
          <w:sz w:val="24"/>
          <w:szCs w:val="24"/>
        </w:rPr>
        <w:fldChar w:fldCharType="begin" w:fldLock="1"/>
      </w:r>
      <w:r w:rsidR="00421D53" w:rsidRPr="0035519F">
        <w:rPr>
          <w:rFonts w:ascii="Arial" w:eastAsia="Times New Roman" w:hAnsi="Arial" w:cs="Arial"/>
          <w:sz w:val="24"/>
          <w:szCs w:val="24"/>
        </w:rPr>
        <w:instrText>ADDIN CSL_CITATION {"citationItems":[{"id":"ITEM-1","itemData":{"DOI":"10.1186/S12967-015-0762-Z","ISSN":"1479-5876","PMID":"26733412","abstract":"Consistent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14:1","id":"ITEM-1","issue":"1","issued":{"date-parts":[["2016","1","6"]]},"page":"1-23","publisher":"BioMed Central","title":"Insulin-like growth factor-1 deficiency and metabolic syndrome","type":"article-journal","volume":"14"},"uris":["http://www.mendeley.com/documents/?uuid=52b57992-80f9-341e-965b-58171a5e8fad"]}],"mendeley":{"formattedCitation":"(Aguirre &lt;i&gt;et al.&lt;/i&gt;, 2016)","plainTextFormattedCitation":"(Aguirre et al., 2016)","previouslyFormattedCitation":"(Aguirre &lt;i&gt;et al.&lt;/i&gt;, 2016)"},"properties":{"noteIndex":0},"schema":"https://github.com/citation-style-language/schema/raw/master/csl-citation.json"}</w:instrText>
      </w:r>
      <w:r w:rsidR="009E5D25" w:rsidRPr="0035519F">
        <w:rPr>
          <w:rFonts w:ascii="Arial" w:eastAsia="Times New Roman" w:hAnsi="Arial" w:cs="Arial"/>
          <w:sz w:val="24"/>
          <w:szCs w:val="24"/>
        </w:rPr>
        <w:fldChar w:fldCharType="separate"/>
      </w:r>
      <w:r w:rsidR="009E5D25" w:rsidRPr="0035519F">
        <w:rPr>
          <w:rFonts w:ascii="Arial" w:eastAsia="Times New Roman" w:hAnsi="Arial" w:cs="Arial"/>
          <w:noProof/>
          <w:sz w:val="24"/>
          <w:szCs w:val="24"/>
        </w:rPr>
        <w:t xml:space="preserve">(Aguirre </w:t>
      </w:r>
      <w:r w:rsidR="009E5D25" w:rsidRPr="0035519F">
        <w:rPr>
          <w:rFonts w:ascii="Arial" w:eastAsia="Times New Roman" w:hAnsi="Arial" w:cs="Arial"/>
          <w:i/>
          <w:noProof/>
          <w:sz w:val="24"/>
          <w:szCs w:val="24"/>
        </w:rPr>
        <w:t>et al.</w:t>
      </w:r>
      <w:r w:rsidR="009E5D25" w:rsidRPr="0035519F">
        <w:rPr>
          <w:rFonts w:ascii="Arial" w:eastAsia="Times New Roman" w:hAnsi="Arial" w:cs="Arial"/>
          <w:noProof/>
          <w:sz w:val="24"/>
          <w:szCs w:val="24"/>
        </w:rPr>
        <w:t>, 2016)</w:t>
      </w:r>
      <w:r w:rsidR="009E5D25" w:rsidRPr="0035519F">
        <w:rPr>
          <w:rFonts w:ascii="Arial" w:eastAsia="Times New Roman" w:hAnsi="Arial" w:cs="Arial"/>
          <w:sz w:val="24"/>
          <w:szCs w:val="24"/>
        </w:rPr>
        <w:fldChar w:fldCharType="end"/>
      </w:r>
      <w:r w:rsidR="00F80C44" w:rsidRPr="0035519F">
        <w:rPr>
          <w:rFonts w:ascii="Arial" w:eastAsia="Times New Roman" w:hAnsi="Arial" w:cs="Arial"/>
          <w:sz w:val="24"/>
          <w:szCs w:val="24"/>
        </w:rPr>
        <w:t>.</w:t>
      </w:r>
    </w:p>
    <w:p w14:paraId="0977E6AC" w14:textId="77777777" w:rsidR="00F71492" w:rsidRPr="0035519F" w:rsidRDefault="00F71492" w:rsidP="00F714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Temuan-temuan secara umum menyatakan bahwa pasien obesitas yang memenuhi kriteria sindrom metabolik dan dengan kadar plasma</w:t>
      </w:r>
      <w:r w:rsidR="001221ED" w:rsidRPr="0035519F">
        <w:rPr>
          <w:rFonts w:ascii="Arial" w:eastAsia="Times New Roman" w:hAnsi="Arial" w:cs="Arial"/>
          <w:sz w:val="24"/>
          <w:szCs w:val="24"/>
        </w:rPr>
        <w:t xml:space="preserve">    </w:t>
      </w:r>
      <w:r w:rsidRPr="0035519F">
        <w:rPr>
          <w:rFonts w:ascii="Arial" w:eastAsia="Times New Roman" w:hAnsi="Arial" w:cs="Arial"/>
          <w:sz w:val="24"/>
          <w:szCs w:val="24"/>
        </w:rPr>
        <w:t xml:space="preserve"> IGF-1 yang rendah cenderung meningkatkan risiko penyakit kardiovaskular yang lebih buruk daripada mereka yang memiliki level IGF-1 normal hingga normal-tinggi. Namun demikian, rendahnya kadar IGF-1 yang bersirkulasi juga dikaitkan dengan penurunan sensitivitas insulin, intoleransi glukosa dan DM tipe-2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{"citationItems":[{"id":"ITEM-1","itemData":{"DOI":"10.1007/S10552-009-9351-X","ISSN":"1573-7225","PMID":"19415508","abstract":"OBJECTIVE: To examine the association of insulin-like growth factors (IGFs) with metabolic syndrome in a nationally representative sample. METHODS: We used data from the Third National Health and Nutrition Examination Survey. Analysis is based on participants who provided a fasting blood sample and were aged 20 years and older (n = 5,903). Participants were classified by a number of risk factors for metabolic syndrome and stratified by diabetes status. RESULTS: Each of the components of metabolic syndrome (increased waist circumference, higher triglycerides, lower HDL cholesterol, higher blood pressure, higher fasting glucose and diabetes) was each associated with lower levels of IGF-I, IGF-BP3 and the Ratio IGF-I/IGF-BP3. Each of the metabolic syndrome components was also associated with higher levels of insulin. Participants with 3-5 components of metabolic syndrome had significantly lower IGF-I and higher IGF-BP3 levels compared to adults with 1-2 components or 0 components, after adjustment for potential confounders. Participants with diabetes had lower levels of IGF-I and IGF-BP3, and higher levels of insulin, regardless of the number of metabolic syndrome components. CONCLUSION: These findings may prove useful to an understanding of the role of IGF-I in human disease, in particular its relation to metabolic syndrome, diabetes and potentially some cancers.","author":[{"dropping-particle":"","family":"Saydah","given":"Sharon","non-dropping-particle":"","parse-names":false,"suffix":""},{"dropping-particle":"","family":"Ballard-Barbash","given":"Rachel","non-dropping-particle":"","parse-names":false,"suffix":""},{"dropping-particle":"","family":"Potischman","given":"Nancy","non-dropping-particle":"","parse-names":false,"suffix":""}],"container-title":"Cancer causes &amp; control : CCC","id":"ITEM-1","issue":"8","issued":{"date-parts":[["2009"]]},"page":"1309-1316","publisher":"Cancer Causes Control","title":"Association of metabolic syndrome with insulin-like growth factors among adults in the US","type":"article-journal","volume":"20"},"uris":["http://www.mendeley.com/documents/?uuid=fda04966-4ad5-37a7-91d9-395984eeb5d1"]},{"id":"ITEM-2","itemData":{"DOI":"10.1186/S12967-015-0762-Z","ISSN":"1479-5876","PMID":"26733412","abstract":"Consistent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14:1","id":"ITEM-2","issue":"1","issued":{"date-parts":[["2016","1","6"]]},"page":"1-23","publisher":"BioMed Central","title":"Insulin-like growth factor-1 deficiency and metabolic syndrome","type":"article-journal","volume":"14"},"uris":["http://www.mendeley.com/documents/?uuid=52b57992-80f9-341e-965b-58171a5e8fad"]}],"mendeley":{"formattedCitation":"(Saydah, Ballard-Barbash and Potischman, 2009; Aguirre &lt;i&gt;et al.&lt;/i&gt;, 2016)","plainTextFormattedCitation":"(Saydah, Ballard-Barbash and Potischman, 2009; Aguirre et al., 2016)","previouslyFormattedCitation":"(Saydah, Ballard-Barbash and Potischman, 2009; Aguirre &lt;i&gt;et al.&lt;/i&gt;, 2016)"},"properties":{"noteIndex":0},"schema":"https://github.com/citation-style-language/schema/raw/master/csl-citation.json"}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(Saydah, Ballard-Barbash and Potischman, 2009; Aguirre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2016)</w:t>
      </w:r>
      <w:r w:rsidRPr="0035519F">
        <w:rPr>
          <w:rFonts w:ascii="Arial" w:eastAsia="Times New Roman" w:hAnsi="Arial" w:cs="Arial"/>
          <w:sz w:val="24"/>
          <w:szCs w:val="24"/>
        </w:rPr>
        <w:fldChar w:fldCharType="end"/>
      </w:r>
      <w:r w:rsidRPr="0035519F">
        <w:rPr>
          <w:rFonts w:ascii="Arial" w:eastAsia="Times New Roman" w:hAnsi="Arial" w:cs="Arial"/>
          <w:sz w:val="24"/>
          <w:szCs w:val="24"/>
        </w:rPr>
        <w:t>.</w:t>
      </w:r>
    </w:p>
    <w:p w14:paraId="57D91C6A" w14:textId="77777777" w:rsidR="001E4EB1" w:rsidRPr="0035519F" w:rsidRDefault="001221ED"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hAnsi="Arial" w:cs="Arial"/>
          <w:i/>
          <w:sz w:val="24"/>
          <w:szCs w:val="24"/>
        </w:rPr>
        <w:t xml:space="preserve">Insulin-like </w:t>
      </w:r>
      <w:r w:rsidR="007F4AA5" w:rsidRPr="0035519F">
        <w:rPr>
          <w:rFonts w:ascii="Arial" w:hAnsi="Arial" w:cs="Arial"/>
          <w:i/>
          <w:sz w:val="24"/>
          <w:szCs w:val="24"/>
        </w:rPr>
        <w:t>Growth Factor</w:t>
      </w:r>
      <w:r w:rsidRPr="0035519F">
        <w:rPr>
          <w:rFonts w:ascii="Arial" w:hAnsi="Arial" w:cs="Arial"/>
          <w:b/>
          <w:i/>
          <w:sz w:val="24"/>
          <w:szCs w:val="24"/>
        </w:rPr>
        <w:t>-</w:t>
      </w:r>
      <w:r w:rsidR="007F4AA5" w:rsidRPr="0035519F">
        <w:rPr>
          <w:rFonts w:ascii="Arial" w:hAnsi="Arial" w:cs="Arial"/>
          <w:i/>
          <w:sz w:val="24"/>
          <w:szCs w:val="24"/>
        </w:rPr>
        <w:t xml:space="preserve">1 </w:t>
      </w:r>
      <w:r w:rsidR="007F4AA5" w:rsidRPr="0035519F">
        <w:rPr>
          <w:rFonts w:ascii="Arial" w:eastAsia="Times New Roman" w:hAnsi="Arial" w:cs="Arial"/>
          <w:sz w:val="24"/>
          <w:szCs w:val="24"/>
        </w:rPr>
        <w:t>mempengaruhi metabolisme glukosa dengan</w:t>
      </w:r>
      <w:r w:rsidR="00F80C44" w:rsidRPr="0035519F">
        <w:rPr>
          <w:rFonts w:ascii="Arial" w:eastAsia="Times New Roman" w:hAnsi="Arial" w:cs="Arial"/>
          <w:sz w:val="24"/>
          <w:szCs w:val="24"/>
        </w:rPr>
        <w:t xml:space="preserve"> meni</w:t>
      </w:r>
      <w:r w:rsidR="007F4AA5" w:rsidRPr="0035519F">
        <w:rPr>
          <w:rFonts w:ascii="Arial" w:eastAsia="Times New Roman" w:hAnsi="Arial" w:cs="Arial"/>
          <w:sz w:val="24"/>
          <w:szCs w:val="24"/>
        </w:rPr>
        <w:t>ngkatkan pengambilan glukosa pada</w:t>
      </w:r>
      <w:r w:rsidR="00F80C44" w:rsidRPr="0035519F">
        <w:rPr>
          <w:rFonts w:ascii="Arial" w:eastAsia="Times New Roman" w:hAnsi="Arial" w:cs="Arial"/>
          <w:sz w:val="24"/>
          <w:szCs w:val="24"/>
        </w:rPr>
        <w:t xml:space="preserve"> </w:t>
      </w:r>
      <w:r w:rsidR="007F4AA5" w:rsidRPr="0035519F">
        <w:rPr>
          <w:rFonts w:ascii="Arial" w:eastAsia="Times New Roman" w:hAnsi="Arial" w:cs="Arial"/>
          <w:sz w:val="24"/>
          <w:szCs w:val="24"/>
        </w:rPr>
        <w:t xml:space="preserve">jaringan perifer tertentu. pemberian IGF-1 eksogen telah terbukti mengurangi kadar glukosa serum tidak hanya pada individu yang sehat, tetapi juga pada mereka yang mengalami resistensi insulin </w:t>
      </w:r>
      <w:r w:rsidR="007F4AA5" w:rsidRPr="0035519F">
        <w:rPr>
          <w:rFonts w:ascii="Arial" w:eastAsia="Times New Roman" w:hAnsi="Arial" w:cs="Arial"/>
          <w:sz w:val="24"/>
          <w:szCs w:val="24"/>
        </w:rPr>
        <w:fldChar w:fldCharType="begin" w:fldLock="1"/>
      </w:r>
      <w:r w:rsidR="00555FD7" w:rsidRPr="0035519F">
        <w:rPr>
          <w:rFonts w:ascii="Arial" w:eastAsia="Times New Roman" w:hAnsi="Arial" w:cs="Arial"/>
          <w:sz w:val="24"/>
          <w:szCs w:val="24"/>
        </w:rPr>
        <w:instrText>ADDIN CSL_CITATION {"citationItems":[{"id":"ITEM-1","itemData":{"DOI":"10.1016/j.ghir.2005.06.012","ISSN":"10966374","PMID":"16054413","abstract":"To test potential effects of altered insulin sensitivity on circulating adiponectin levels, we studied patients with GH deficiency (GHD) undergoing high dose GH and IGF-I treatment in a well-defined short-term setting. This design allowed to exclude confounding effects of GH and IGF-I treatment on body composition. Six patients (three women and three men) with acquired GHD were treated in a randomised cross-over trial with GH (subcutaneous injections of GH 0.03 IU/kg/daily) or IGF-I (continuous subcutaneous infusion of 5 μg/kg/h recombinant IGF-I) for 5 days. Median age of patients was 60 (range 25-72) years, BMI 24.7 (20.7-30.7) kg/m2, and baseline IGF-I concentration 60 (30-83) μg/L. HOMA scores (to assess insulin sensitivity) at baseline were 0.8 (0.3-11.7) and adiponectin concentrations were 7.0 (2.5-14.8) mg/L. HOMA scores increased rapidly and significantly up to a maximum of 2.7-fold (from baseline) at day 5 of GH treatment and returned promptly to baseline when GH was stopped, while adiponectin serum levels remained within the baseline range throughout the study period. HOMA scores dropped to a nadir of 0.66 from baseline at day 2 of IGF-I treatment whereas adiponectin levels remained within the baseline range. These data suggest that changes in insulin sensitivity (induced by high dose and short-term GH and IGF-I treatment) in patients with GHD are not associated with changes in adiponectin levels. © 2005 Elsevier Ltd. All rights reserved.","author":[{"dropping-particle":"","family":"Schmid","given":"Christoph","non-dropping-particle":"","parse-names":false,"suffix":""},{"dropping-particle":"","family":"Bianda","given":"Tarcisio","non-dropping-particle":"","parse-names":false,"suffix":""},{"dropping-particle":"","family":"Zwimpfer","given":"Cornelia","non-dropping-particle":"","parse-names":false,"suffix":""},{"dropping-particle":"","family":"Zapf","given":"Jürgen","non-dropping-particle":"","parse-names":false,"suffix":""},{"dropping-particle":"","family":"Wiesli","given":"Peter","non-dropping-particle":"","parse-names":false,"suffix":""}],"container-title":"Growth Hormone and IGF Research","id":"ITEM-1","issue":"4","issued":{"date-parts":[["2005","8"]]},"page":"300-303","publisher":"Growth Horm IGF Res","title":"Changes in insulin sensitivity induced by short-term growth hormone (GH) and insulin-like growth factor I (IGF-I) treatment in GH-deficient adults are not associated with changes in adiponectin levels","type":"article-journal","volume":"15"},"uris":["http://www.mendeley.com/documents/?uuid=e9a434cb-b088-3420-85ca-a25db540e2c3"]}],"mendeley":{"formattedCitation":"(Schmid &lt;i&gt;et al.&lt;/i&gt;, 2005)","plainTextFormattedCitation":"(Schmid et al., 2005)","previouslyFormattedCitation":"(Schmid &lt;i&gt;et al.&lt;/i&gt;, 2005)"},"properties":{"noteIndex":0},"schema":"https://github.com/citation-style-language/schema/raw/master/csl-citation.json"}</w:instrText>
      </w:r>
      <w:r w:rsidR="007F4AA5" w:rsidRPr="0035519F">
        <w:rPr>
          <w:rFonts w:ascii="Arial" w:eastAsia="Times New Roman" w:hAnsi="Arial" w:cs="Arial"/>
          <w:sz w:val="24"/>
          <w:szCs w:val="24"/>
        </w:rPr>
        <w:fldChar w:fldCharType="separate"/>
      </w:r>
      <w:r w:rsidR="007F4AA5" w:rsidRPr="0035519F">
        <w:rPr>
          <w:rFonts w:ascii="Arial" w:eastAsia="Times New Roman" w:hAnsi="Arial" w:cs="Arial"/>
          <w:noProof/>
          <w:sz w:val="24"/>
          <w:szCs w:val="24"/>
        </w:rPr>
        <w:t xml:space="preserve">(Schmid </w:t>
      </w:r>
      <w:r w:rsidR="007F4AA5" w:rsidRPr="0035519F">
        <w:rPr>
          <w:rFonts w:ascii="Arial" w:eastAsia="Times New Roman" w:hAnsi="Arial" w:cs="Arial"/>
          <w:i/>
          <w:noProof/>
          <w:sz w:val="24"/>
          <w:szCs w:val="24"/>
        </w:rPr>
        <w:t>et al.</w:t>
      </w:r>
      <w:r w:rsidR="007F4AA5" w:rsidRPr="0035519F">
        <w:rPr>
          <w:rFonts w:ascii="Arial" w:eastAsia="Times New Roman" w:hAnsi="Arial" w:cs="Arial"/>
          <w:noProof/>
          <w:sz w:val="24"/>
          <w:szCs w:val="24"/>
        </w:rPr>
        <w:t>, 2005)</w:t>
      </w:r>
      <w:r w:rsidR="007F4AA5" w:rsidRPr="0035519F">
        <w:rPr>
          <w:rFonts w:ascii="Arial" w:eastAsia="Times New Roman" w:hAnsi="Arial" w:cs="Arial"/>
          <w:sz w:val="24"/>
          <w:szCs w:val="24"/>
        </w:rPr>
        <w:fldChar w:fldCharType="end"/>
      </w:r>
      <w:r w:rsidR="007F4AA5" w:rsidRPr="0035519F">
        <w:rPr>
          <w:rFonts w:ascii="Arial" w:eastAsia="Times New Roman" w:hAnsi="Arial" w:cs="Arial"/>
          <w:sz w:val="24"/>
          <w:szCs w:val="24"/>
        </w:rPr>
        <w:t xml:space="preserve">. </w:t>
      </w:r>
      <w:r w:rsidR="00CA141D" w:rsidRPr="0035519F">
        <w:rPr>
          <w:rFonts w:ascii="Arial" w:eastAsia="Times New Roman" w:hAnsi="Arial" w:cs="Arial"/>
          <w:sz w:val="24"/>
          <w:szCs w:val="24"/>
        </w:rPr>
        <w:t xml:space="preserve">Ketika terjadi pembatasan kalori, maka sintesis IGF-1 di hati menjadi lebih sedikit dan </w:t>
      </w:r>
      <w:r w:rsidR="00421D53" w:rsidRPr="0035519F">
        <w:rPr>
          <w:rFonts w:ascii="Arial" w:eastAsia="Times New Roman" w:hAnsi="Arial" w:cs="Arial"/>
          <w:sz w:val="24"/>
          <w:szCs w:val="24"/>
        </w:rPr>
        <w:t xml:space="preserve">tidak terpengaruh terhadap stimulasi </w:t>
      </w:r>
      <w:r w:rsidR="00CA141D" w:rsidRPr="0035519F">
        <w:rPr>
          <w:rFonts w:ascii="Arial" w:eastAsia="Times New Roman" w:hAnsi="Arial" w:cs="Arial"/>
          <w:sz w:val="24"/>
          <w:szCs w:val="24"/>
        </w:rPr>
        <w:t xml:space="preserve">GH. Proses ini berfungsi untuk </w:t>
      </w:r>
      <w:r w:rsidR="00CA141D" w:rsidRPr="0035519F">
        <w:rPr>
          <w:rFonts w:ascii="Arial" w:eastAsia="Times New Roman" w:hAnsi="Arial" w:cs="Arial"/>
          <w:sz w:val="24"/>
          <w:szCs w:val="24"/>
        </w:rPr>
        <w:lastRenderedPageBreak/>
        <w:t xml:space="preserve">membatasi pertumbuhan dan sintesis protein ketika kemampuan ketersediaan nutrisi terganggu. Setelah makan, respons GH dan sintesis IGF-1 dimulai kembali. </w:t>
      </w:r>
    </w:p>
    <w:p w14:paraId="3F23F6BC" w14:textId="77777777" w:rsidR="00F71492" w:rsidRPr="0035519F" w:rsidRDefault="00421D53"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 xml:space="preserve">Ketika </w:t>
      </w:r>
      <w:r w:rsidR="00CA141D" w:rsidRPr="0035519F">
        <w:rPr>
          <w:rFonts w:ascii="Arial" w:eastAsia="Times New Roman" w:hAnsi="Arial" w:cs="Arial"/>
          <w:sz w:val="24"/>
          <w:szCs w:val="24"/>
        </w:rPr>
        <w:t>karbohidrat yang</w:t>
      </w:r>
      <w:r w:rsidRPr="0035519F">
        <w:rPr>
          <w:rFonts w:ascii="Arial" w:eastAsia="Times New Roman" w:hAnsi="Arial" w:cs="Arial"/>
          <w:sz w:val="24"/>
          <w:szCs w:val="24"/>
        </w:rPr>
        <w:t xml:space="preserve"> dicerna tidak mencukupi, akan terjadi </w:t>
      </w:r>
      <w:r w:rsidR="00CA141D" w:rsidRPr="0035519F">
        <w:rPr>
          <w:rFonts w:ascii="Arial" w:eastAsia="Times New Roman" w:hAnsi="Arial" w:cs="Arial"/>
          <w:sz w:val="24"/>
          <w:szCs w:val="24"/>
        </w:rPr>
        <w:t>penurunan</w:t>
      </w:r>
      <w:r w:rsidRPr="0035519F">
        <w:rPr>
          <w:rFonts w:ascii="Arial" w:eastAsia="Times New Roman" w:hAnsi="Arial" w:cs="Arial"/>
          <w:sz w:val="24"/>
          <w:szCs w:val="24"/>
        </w:rPr>
        <w:t xml:space="preserve"> konsentrasi insulin vena porta yang</w:t>
      </w:r>
      <w:r w:rsidR="00CA141D" w:rsidRPr="0035519F">
        <w:rPr>
          <w:rFonts w:ascii="Arial" w:eastAsia="Times New Roman" w:hAnsi="Arial" w:cs="Arial"/>
          <w:sz w:val="24"/>
          <w:szCs w:val="24"/>
        </w:rPr>
        <w:t xml:space="preserve"> menyebabkan penurunan Sintesis IGF-1 oleh hati. </w:t>
      </w:r>
      <w:r w:rsidR="00E014EC" w:rsidRPr="0035519F">
        <w:rPr>
          <w:rFonts w:ascii="Arial" w:eastAsia="Times New Roman" w:hAnsi="Arial" w:cs="Arial"/>
          <w:sz w:val="24"/>
          <w:szCs w:val="24"/>
        </w:rPr>
        <w:t>IGF-1 mengurangi kadar GH serum (melalui umpan balik negatif somatostatin di hipofisis) yang pada gilirannya menekan kerja GH di hati, sehingga meningkatkan kerja insulin di organ ini</w:t>
      </w:r>
      <w:r w:rsidR="00555FD7" w:rsidRPr="0035519F">
        <w:rPr>
          <w:rFonts w:ascii="Arial" w:eastAsia="Times New Roman" w:hAnsi="Arial" w:cs="Arial"/>
          <w:sz w:val="24"/>
          <w:szCs w:val="24"/>
        </w:rPr>
        <w:t xml:space="preserve"> (Gambar 7)</w:t>
      </w:r>
      <w:r w:rsidR="00E014EC" w:rsidRPr="0035519F">
        <w:rPr>
          <w:rFonts w:ascii="Arial" w:eastAsia="Times New Roman" w:hAnsi="Arial" w:cs="Arial"/>
          <w:sz w:val="24"/>
          <w:szCs w:val="24"/>
        </w:rPr>
        <w:t>.</w:t>
      </w:r>
      <w:r w:rsidR="00555FD7" w:rsidRPr="0035519F">
        <w:rPr>
          <w:rFonts w:ascii="Arial" w:eastAsia="Times New Roman" w:hAnsi="Arial" w:cs="Arial"/>
          <w:sz w:val="24"/>
          <w:szCs w:val="24"/>
        </w:rPr>
        <w:t xml:space="preserve"> </w:t>
      </w:r>
      <w:r w:rsidR="00E014EC" w:rsidRPr="0035519F">
        <w:rPr>
          <w:rFonts w:ascii="Arial" w:eastAsia="Times New Roman" w:hAnsi="Arial" w:cs="Arial"/>
          <w:sz w:val="24"/>
          <w:szCs w:val="24"/>
        </w:rPr>
        <w:t xml:space="preserve"> Pada jaringan lemak dan hati, GH merangsang sintesis subunit p85 dari PI3K yang menyebabkan penekanan aktivitas subunit p110. Dengan demikian aktivitas ini bersifat antagonis </w:t>
      </w:r>
      <w:r w:rsidR="00555FD7" w:rsidRPr="0035519F">
        <w:rPr>
          <w:rFonts w:ascii="Arial" w:eastAsia="Times New Roman" w:hAnsi="Arial" w:cs="Arial"/>
          <w:sz w:val="24"/>
          <w:szCs w:val="24"/>
        </w:rPr>
        <w:t xml:space="preserve">terhadap aksi </w:t>
      </w:r>
      <w:r w:rsidR="00E014EC" w:rsidRPr="0035519F">
        <w:rPr>
          <w:rFonts w:ascii="Arial" w:eastAsia="Times New Roman" w:hAnsi="Arial" w:cs="Arial"/>
          <w:sz w:val="24"/>
          <w:szCs w:val="24"/>
        </w:rPr>
        <w:t xml:space="preserve">insulin </w:t>
      </w:r>
      <w:r w:rsidR="00555FD7" w:rsidRPr="0035519F">
        <w:rPr>
          <w:rFonts w:ascii="Arial" w:eastAsia="Times New Roman" w:hAnsi="Arial" w:cs="Arial"/>
          <w:sz w:val="24"/>
          <w:szCs w:val="24"/>
        </w:rPr>
        <w:fldChar w:fldCharType="begin" w:fldLock="1"/>
      </w:r>
      <w:r w:rsidR="00555FD7" w:rsidRPr="0035519F">
        <w:rPr>
          <w:rFonts w:ascii="Arial" w:eastAsia="Times New Roman" w:hAnsi="Arial" w:cs="Arial"/>
          <w:sz w:val="24"/>
          <w:szCs w:val="24"/>
        </w:rPr>
        <w:instrText>ADDIN CSL_CITATION {"citationItems":[{"id":"ITEM-1","itemData":{"DOI":"10.1152/ajpendo.00320.2012","ISSN":"01931849","PMID":"23011065","abstract":"Previously, we reported that overeating for only a few days markedly suppressed the secretion of growth hormone (GH). The purpose of the present study was to determine the role of this reduction in GH concentration on key metabolic adaptations that occur during 2 wk of overeating. Nine nonobese, healthy adults were admitted to the hospital for 2 wk, during which time they ate ~4,000 kcal/day (70 kcal·kg fat-free mass-1·day-1; 50% carbohydrate, 35% fat, and 15% protein), and their plasma GH concentration was allowed to decline naturally (control). An additional eight subjects underwent the same overeating intervention and received exogenous GH treatment (GHT) administered in four daily injections to mimic physiological GH secretion throughout the 2-wk overeating period. We measured plasma insulin and glucose concentrations in the fasting and postprandial state as well as fasting lipolytic rate, proteolytic rate, and fractional synthetic rate (FSR) using stable-isotope tracer methods. GHT prevented the fall in plasma GH concentration, maintaining plasma GH concentration at baseline levels (1.2 ± 0.2 ng/ml), which increased fasting and postprandial assessments of insulin resistance (P &lt; 0.05) and increased fasting lipidemia (all P &lt; 0.05 vs. control). In addition, preventing the suppression in GH with overeating also blunted the increase in systemic proteolysis (P &lt; 0.05 GHT vs. control). However, GHT did not alter lipolysis or FSR in response to overeating. In conclusion, our main findings suggest that the suppression in GH secretion that naturally occurs during the early stages of overeating may help attenuate the insulin resistance and hyperlipidemia that typically accompany overeating. © 2012 the American Physiological Society.","author":[{"dropping-particle":"","family":"Cornford","given":"Andrea S.","non-dropping-particle":"","parse-names":false,"suffix":""},{"dropping-particle":"","family":"Barkan","given":"Ariel L.","non-dropping-particle":"","parse-names":false,"suffix":""},{"dropping-particle":"","family":"Hinko","given":"Alexander","non-dropping-particle":"","parse-names":false,"suffix":""},{"dropping-particle":"","family":"Horowitz","given":"Jeffrey F.","non-dropping-particle":"","parse-names":false,"suffix":""}],"container-title":"American Journal of Physiology - Endocrinology and Metabolism","id":"ITEM-1","issue":"10","issued":{"date-parts":[["2012","11","15"]]},"page":"E1264","publisher":"American Physiological Society","title":"Suppression in growth hormone during overeating ameliorates the increase in insulin resistance and cardiovascular disease risk","type":"article-journal","volume":"303"},"uris":["http://www.mendeley.com/documents/?uuid=97c13b35-13b6-35af-b873-6388bd97b26c"]}],"mendeley":{"formattedCitation":"(Cornford &lt;i&gt;et al.&lt;/i&gt;, 2012)","plainTextFormattedCitation":"(Cornford et al., 2012)","previouslyFormattedCitation":"(Cornford &lt;i&gt;et al.&lt;/i&gt;, 2012)"},"properties":{"noteIndex":0},"schema":"https://github.com/citation-style-language/schema/raw/master/csl-citation.json"}</w:instrText>
      </w:r>
      <w:r w:rsidR="00555FD7" w:rsidRPr="0035519F">
        <w:rPr>
          <w:rFonts w:ascii="Arial" w:eastAsia="Times New Roman" w:hAnsi="Arial" w:cs="Arial"/>
          <w:sz w:val="24"/>
          <w:szCs w:val="24"/>
        </w:rPr>
        <w:fldChar w:fldCharType="separate"/>
      </w:r>
      <w:r w:rsidR="00555FD7" w:rsidRPr="0035519F">
        <w:rPr>
          <w:rFonts w:ascii="Arial" w:eastAsia="Times New Roman" w:hAnsi="Arial" w:cs="Arial"/>
          <w:noProof/>
          <w:sz w:val="24"/>
          <w:szCs w:val="24"/>
        </w:rPr>
        <w:t xml:space="preserve">(Cornford </w:t>
      </w:r>
      <w:r w:rsidR="00555FD7" w:rsidRPr="0035519F">
        <w:rPr>
          <w:rFonts w:ascii="Arial" w:eastAsia="Times New Roman" w:hAnsi="Arial" w:cs="Arial"/>
          <w:i/>
          <w:noProof/>
          <w:sz w:val="24"/>
          <w:szCs w:val="24"/>
        </w:rPr>
        <w:t>et al.</w:t>
      </w:r>
      <w:r w:rsidR="00555FD7" w:rsidRPr="0035519F">
        <w:rPr>
          <w:rFonts w:ascii="Arial" w:eastAsia="Times New Roman" w:hAnsi="Arial" w:cs="Arial"/>
          <w:noProof/>
          <w:sz w:val="24"/>
          <w:szCs w:val="24"/>
        </w:rPr>
        <w:t>, 2012)</w:t>
      </w:r>
      <w:r w:rsidR="00555FD7" w:rsidRPr="0035519F">
        <w:rPr>
          <w:rFonts w:ascii="Arial" w:eastAsia="Times New Roman" w:hAnsi="Arial" w:cs="Arial"/>
          <w:sz w:val="24"/>
          <w:szCs w:val="24"/>
        </w:rPr>
        <w:fldChar w:fldCharType="end"/>
      </w:r>
      <w:r w:rsidR="00E014EC" w:rsidRPr="0035519F">
        <w:rPr>
          <w:rFonts w:ascii="Arial" w:eastAsia="Times New Roman" w:hAnsi="Arial" w:cs="Arial"/>
          <w:sz w:val="24"/>
          <w:szCs w:val="24"/>
        </w:rPr>
        <w:t>. Oleh karena itu, IGF-1 dapat secara tidak langsung memodulasi metabolisme karbohidrat melalui penekanan GH dan peningkatan kerja insulin</w:t>
      </w:r>
      <w:r w:rsidR="00555FD7" w:rsidRPr="0035519F">
        <w:rPr>
          <w:rFonts w:ascii="Arial" w:eastAsia="Times New Roman" w:hAnsi="Arial" w:cs="Arial"/>
          <w:sz w:val="24"/>
          <w:szCs w:val="24"/>
        </w:rPr>
        <w:t xml:space="preserve"> </w:t>
      </w:r>
      <w:r w:rsidR="00555FD7" w:rsidRPr="0035519F">
        <w:rPr>
          <w:rFonts w:ascii="Arial" w:eastAsia="Times New Roman" w:hAnsi="Arial" w:cs="Arial"/>
          <w:sz w:val="24"/>
          <w:szCs w:val="24"/>
        </w:rPr>
        <w:fldChar w:fldCharType="begin" w:fldLock="1"/>
      </w:r>
      <w:r w:rsidR="00555FD7" w:rsidRPr="0035519F">
        <w:rPr>
          <w:rFonts w:ascii="Arial" w:eastAsia="Times New Roman" w:hAnsi="Arial" w:cs="Arial"/>
          <w:sz w:val="24"/>
          <w:szCs w:val="24"/>
        </w:rPr>
        <w:instrText>ADDIN CSL_CITATION {"citationItems":[{"id":"ITEM-1","itemData":{"DOI":"10.1186/S12967-015-0762-Z","ISSN":"1479-5876","PMID":"26733412","abstract":"Consistent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14:1","id":"ITEM-1","issue":"1","issued":{"date-parts":[["2016","1","6"]]},"page":"1-23","publisher":"BioMed Central","title":"Insulin-like growth factor-1 deficiency and metabolic syndrome","type":"article-journal","volume":"14"},"uris":["http://www.mendeley.com/documents/?uuid=52b57992-80f9-341e-965b-58171a5e8fad"]}],"mendeley":{"formattedCitation":"(Aguirre &lt;i&gt;et al.&lt;/i&gt;, 2016)","plainTextFormattedCitation":"(Aguirre et al., 2016)","previouslyFormattedCitation":"(Aguirre &lt;i&gt;et al.&lt;/i&gt;, 2016)"},"properties":{"noteIndex":0},"schema":"https://github.com/citation-style-language/schema/raw/master/csl-citation.json"}</w:instrText>
      </w:r>
      <w:r w:rsidR="00555FD7" w:rsidRPr="0035519F">
        <w:rPr>
          <w:rFonts w:ascii="Arial" w:eastAsia="Times New Roman" w:hAnsi="Arial" w:cs="Arial"/>
          <w:sz w:val="24"/>
          <w:szCs w:val="24"/>
        </w:rPr>
        <w:fldChar w:fldCharType="separate"/>
      </w:r>
      <w:r w:rsidR="00555FD7" w:rsidRPr="0035519F">
        <w:rPr>
          <w:rFonts w:ascii="Arial" w:eastAsia="Times New Roman" w:hAnsi="Arial" w:cs="Arial"/>
          <w:noProof/>
          <w:sz w:val="24"/>
          <w:szCs w:val="24"/>
        </w:rPr>
        <w:t xml:space="preserve">(Aguirre </w:t>
      </w:r>
      <w:r w:rsidR="00555FD7" w:rsidRPr="0035519F">
        <w:rPr>
          <w:rFonts w:ascii="Arial" w:eastAsia="Times New Roman" w:hAnsi="Arial" w:cs="Arial"/>
          <w:i/>
          <w:noProof/>
          <w:sz w:val="24"/>
          <w:szCs w:val="24"/>
        </w:rPr>
        <w:t>et al.</w:t>
      </w:r>
      <w:r w:rsidR="00555FD7" w:rsidRPr="0035519F">
        <w:rPr>
          <w:rFonts w:ascii="Arial" w:eastAsia="Times New Roman" w:hAnsi="Arial" w:cs="Arial"/>
          <w:noProof/>
          <w:sz w:val="24"/>
          <w:szCs w:val="24"/>
        </w:rPr>
        <w:t>, 2016)</w:t>
      </w:r>
      <w:r w:rsidR="00555FD7" w:rsidRPr="0035519F">
        <w:rPr>
          <w:rFonts w:ascii="Arial" w:eastAsia="Times New Roman" w:hAnsi="Arial" w:cs="Arial"/>
          <w:sz w:val="24"/>
          <w:szCs w:val="24"/>
        </w:rPr>
        <w:fldChar w:fldCharType="end"/>
      </w:r>
      <w:r w:rsidR="00E014EC" w:rsidRPr="0035519F">
        <w:rPr>
          <w:rFonts w:ascii="Arial" w:eastAsia="Times New Roman" w:hAnsi="Arial" w:cs="Arial"/>
          <w:sz w:val="24"/>
          <w:szCs w:val="24"/>
        </w:rPr>
        <w:t>.</w:t>
      </w:r>
      <w:r w:rsidR="00555FD7" w:rsidRPr="0035519F">
        <w:rPr>
          <w:rFonts w:ascii="Arial" w:eastAsia="Times New Roman" w:hAnsi="Arial" w:cs="Arial"/>
          <w:sz w:val="24"/>
          <w:szCs w:val="24"/>
        </w:rPr>
        <w:t xml:space="preserve"> Selama periode postprandial terjadi peningkatan IGF-1 yang bersirkulasi bebas melalui supresi sekresi IGFBP-1 yang diinduksi insulin </w:t>
      </w:r>
      <w:r w:rsidR="00555FD7" w:rsidRPr="0035519F">
        <w:rPr>
          <w:rFonts w:ascii="Arial" w:eastAsia="Times New Roman" w:hAnsi="Arial" w:cs="Arial"/>
          <w:sz w:val="24"/>
          <w:szCs w:val="24"/>
        </w:rPr>
        <w:fldChar w:fldCharType="begin" w:fldLock="1"/>
      </w:r>
      <w:r w:rsidR="00F71492" w:rsidRPr="0035519F">
        <w:rPr>
          <w:rFonts w:ascii="Arial" w:eastAsia="Times New Roman" w:hAnsi="Arial" w:cs="Arial"/>
          <w:sz w:val="24"/>
          <w:szCs w:val="24"/>
        </w:rPr>
        <w:instrText>ADDIN CSL_CITATION {"citationItems":[{"id":"ITEM-1","itemData":{"DOI":"10.1016/j.ghir.2004.06.001","ISSN":"10966374","PMID":"15336229","abstract":"IGF-I is a multipotent growth factor with important actions on normal tissue growth and regeneration. In addition, IGF-I has been suggested to have beneficial effects on glucose homeostasis due to its glucose lowering and insulin sensitizing actions. However, not all effects of IGF-I are considered to be favorable; thus, epidemiological studies suggest that IGF-I is also involved in the development of common cancers, atherosclerosis and type 2 diabetes.The biological actions of IGF-I are modulated by at least six IGF-binding proteins, which bind approximately 99% of the circulating IGF-I pool. So far, most in vivo studies have used serum or plasma total (extractable IGF-I) as an estimate of the bioactivity of IGF-I in vivo. However, within the last decade, validated assays for measurement of free IGF-I have been described.This review aims to discuss the current assays for free IGF-I and their advances in relation to the traditional measurement of total IGF-I. The literature overview will focus on the role of circulating free versus total IGF-I in the feedback regulation of GH release, and the possible involvement of the circulating IGF-system in glucose homeostasis. © 2004 Elsevier Ltd. All rights reserved.","author":[{"dropping-particle":"","family":"Frystyk","given":"Jan","non-dropping-particle":"","parse-names":false,"suffix":""}],"container-title":"Growth Hormone and IGF Research","id":"ITEM-1","issue":"5","issued":{"date-parts":[["2004","10"]]},"page":"337-375","publisher":"Growth Horm IGF Res","title":"Free insulin-like growth factors - Measurements and relationships to growth hormone secretion and glucose homeostasis","type":"article","volume":"14"},"uris":["http://www.mendeley.com/documents/?uuid=71badec5-140b-3270-be52-2d728e9b77d4"]}],"mendeley":{"formattedCitation":"(Frystyk, 2004)","plainTextFormattedCitation":"(Frystyk, 2004)","previouslyFormattedCitation":"(Frystyk, 2004)"},"properties":{"noteIndex":0},"schema":"https://github.com/citation-style-language/schema/raw/master/csl-citation.json"}</w:instrText>
      </w:r>
      <w:r w:rsidR="00555FD7" w:rsidRPr="0035519F">
        <w:rPr>
          <w:rFonts w:ascii="Arial" w:eastAsia="Times New Roman" w:hAnsi="Arial" w:cs="Arial"/>
          <w:sz w:val="24"/>
          <w:szCs w:val="24"/>
        </w:rPr>
        <w:fldChar w:fldCharType="separate"/>
      </w:r>
      <w:r w:rsidR="00555FD7" w:rsidRPr="0035519F">
        <w:rPr>
          <w:rFonts w:ascii="Arial" w:eastAsia="Times New Roman" w:hAnsi="Arial" w:cs="Arial"/>
          <w:noProof/>
          <w:sz w:val="24"/>
          <w:szCs w:val="24"/>
        </w:rPr>
        <w:t>(Frystyk, 2004)</w:t>
      </w:r>
      <w:r w:rsidR="00555FD7" w:rsidRPr="0035519F">
        <w:rPr>
          <w:rFonts w:ascii="Arial" w:eastAsia="Times New Roman" w:hAnsi="Arial" w:cs="Arial"/>
          <w:sz w:val="24"/>
          <w:szCs w:val="24"/>
        </w:rPr>
        <w:fldChar w:fldCharType="end"/>
      </w:r>
      <w:r w:rsidR="00555FD7" w:rsidRPr="0035519F">
        <w:rPr>
          <w:rFonts w:ascii="Arial" w:eastAsia="Times New Roman" w:hAnsi="Arial" w:cs="Arial"/>
          <w:sz w:val="24"/>
          <w:szCs w:val="24"/>
        </w:rPr>
        <w:t>.</w:t>
      </w:r>
    </w:p>
    <w:p w14:paraId="61BD572C" w14:textId="6A18E95E" w:rsidR="001E4EB1" w:rsidRPr="0035519F" w:rsidRDefault="001E4EB1"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i/>
          <w:sz w:val="24"/>
          <w:szCs w:val="24"/>
        </w:rPr>
        <w:t>Insulin-like Growth Factor-1</w:t>
      </w:r>
      <w:r w:rsidRPr="0035519F">
        <w:rPr>
          <w:rFonts w:ascii="Arial" w:eastAsia="Times New Roman" w:hAnsi="Arial" w:cs="Arial"/>
          <w:sz w:val="24"/>
          <w:szCs w:val="24"/>
        </w:rPr>
        <w:t xml:space="preserve"> diketahui dapat meningkatkan sensitivitas insulin dengan mensupresi insulin dan mempangaruhi sekresi GH serta meningkatkan pensinyalan insulin yang secara tidak langsung mengurangi fluks FFA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14:1","id":"ITEM-1","issue":"1","issued":{"date-parts":[["2016","1","6"]]},"page":"1-23","publisher":"BioMed Central","title":"Insulin-like growth factor-1 deficiency and metabolic syndrome","type":"article-journal","volume":"14"},"uris":["http://www.mendeley.com/documents/?uuid=52b57992-80f9-341e-965b-58171a5e8fad"]}],"mendeley":{"formattedCitation":"(Aguirre &lt;i&gt;et al.&lt;/i&gt;, 2016)","plainTextFormattedCitation":"(Aguirre et al., 2016)","previouslyFormattedCitation":"(Aguirre &lt;i&gt;et al.&lt;/i&gt;, 2016)"},"properties":{"noteIndex":0},"schema":"https://github.com/citation-style-language/schema/raw/master/csl-citation.json"}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(Aguirre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2016)</w:t>
      </w:r>
      <w:r w:rsidRPr="0035519F">
        <w:rPr>
          <w:rFonts w:ascii="Arial" w:eastAsia="Times New Roman" w:hAnsi="Arial" w:cs="Arial"/>
          <w:sz w:val="24"/>
          <w:szCs w:val="24"/>
        </w:rPr>
        <w:fldChar w:fldCharType="end"/>
      </w:r>
    </w:p>
    <w:p w14:paraId="37C61AC3" w14:textId="77777777" w:rsidR="00E014EC" w:rsidRPr="0035519F" w:rsidRDefault="00F71492"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 xml:space="preserve"> Pada keadaan patologis, seperti peningkatan resistensi insulin, terjadi penurunan jumlah reseptor secara signifikan, sehingga menyebabkan </w:t>
      </w:r>
      <w:r w:rsidRPr="0035519F">
        <w:rPr>
          <w:rFonts w:ascii="Arial" w:eastAsia="Times New Roman" w:hAnsi="Arial" w:cs="Arial"/>
          <w:sz w:val="24"/>
          <w:szCs w:val="24"/>
        </w:rPr>
        <w:lastRenderedPageBreak/>
        <w:t xml:space="preserve">gangguan terhadap IGF-1 dalam perannya memetabolisme glukosa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{"citationItems":[{"id":"ITEM-1","itemData":{"DOI":"10.1016/j.coph.2006.08.006","ISSN":"14714892","PMID":"17030015","abstract":"Insulin-like growth factor-I (IGF-I) has significant structural homology with proinsulin. IGF-I binds to insulin receptors, stimulates insulin-like actions and enhances insulin sensitivity. However, because circulating IGF-I is bound to high-affinity binding proteins and has relatively low affinity for insulin receptors, most of its ability to alter insulin sensitivity is mediated indirectly (i.e. through suppression of growth hormone, a known insulin antagonist). Direct effects of IGF-I on insulin actions are tissue specific, occurring principally in skeletal muscle and kidney. Genetic manipulations in experimental mouse models have been used to analyze the role of endogenous IGF-I on insulin action. These studies have shown that suppression of growth hormone is important for enhancing insulin action in the liver and that deletion of the IGF-I receptor in skeletal muscle results in severe insulin resistance. IGF-I also suppresses renal gluconeogenesis, which might contribute to its glucose-lowering actions. In humans, IGF-I enhances insulin sensitivity and lowers blood glucose in patients with either extreme insulin resistance or type 2 diabetes. It also decreases insulin requirement in patients with insulin-deficient diabetes. Taken together, these findings suggest that IGF-I is functioning coordinately with insulin to regulate glucose homeostasis. © 2006 Elsevier Ltd. All rights reserved.","author":[{"dropping-particle":"","family":"Clemmons","given":"David R.","non-dropping-particle":"","parse-names":false,"suffix":""}],"container-title":"Current Opinion in Pharmacology","id":"ITEM-1","issue":"6","issued":{"date-parts":[["2006","12"]]},"page":"620-625","publisher":"Curr Opin Pharmacol","title":"Involvement of insulin-like growth factor-I in the control of glucose homeostasis","type":"article","volume":"6"},"uris":["http://www.mendeley.com/documents/?uuid=aeb5f994-807c-34a6-9eed-66b5c61ed1b9"]},{"id":"ITEM-2","itemData":{"DOI":"10.1186/S12967-015-0762-Z","ISSN":"1479-5876","PMID":"26733412","abstract":"Consistent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14:1","id":"ITEM-2","issue":"1","issued":{"date-parts":[["2016","1","6"]]},"page":"1-23","publisher":"BioMed Central","title":"Insulin-like growth factor-1 deficiency and metabolic syndrome","type":"article-journal","volume":"14"},"uris":["http://www.mendeley.com/documents/?uuid=52b57992-80f9-341e-965b-58171a5e8fad"]}],"mendeley":{"formattedCitation":"(Clemmons, 2006; Aguirre &lt;i&gt;et al.&lt;/i&gt;, 2016)","plainTextFormattedCitation":"(Clemmons, 2006; Aguirre et al., 2016)","previouslyFormattedCitation":"(Clemmons, 2006; Aguirre &lt;i&gt;et al.&lt;/i&gt;, 2016)"},"properties":{"noteIndex":0},"schema":"https://github.com/citation-style-language/schema/raw/master/csl-citation.json"}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(Clemmons, 2006; Aguirre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2016)</w:t>
      </w:r>
      <w:r w:rsidRPr="0035519F">
        <w:rPr>
          <w:rFonts w:ascii="Arial" w:eastAsia="Times New Roman" w:hAnsi="Arial" w:cs="Arial"/>
          <w:sz w:val="24"/>
          <w:szCs w:val="24"/>
        </w:rPr>
        <w:fldChar w:fldCharType="end"/>
      </w:r>
    </w:p>
    <w:p w14:paraId="45FD7445" w14:textId="5FCF6847" w:rsidR="00555FD7" w:rsidRPr="0035519F" w:rsidRDefault="00F71492" w:rsidP="001E4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rPr>
      </w:pPr>
      <w:r w:rsidRPr="0035519F">
        <w:rPr>
          <w:noProof/>
        </w:rPr>
        <w:drawing>
          <wp:inline distT="0" distB="0" distL="0" distR="0" wp14:anchorId="59FE40D4" wp14:editId="47D2F63B">
            <wp:extent cx="4533900" cy="3380539"/>
            <wp:effectExtent l="19050" t="19050" r="19050" b="107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sharpenSoften amount="25000"/>
                              </a14:imgEffect>
                            </a14:imgLayer>
                          </a14:imgProps>
                        </a:ext>
                      </a:extLst>
                    </a:blip>
                    <a:srcRect l="26475" t="19921" r="27091" b="18504"/>
                    <a:stretch/>
                  </pic:blipFill>
                  <pic:spPr bwMode="auto">
                    <a:xfrm>
                      <a:off x="0" y="0"/>
                      <a:ext cx="4572061" cy="3408993"/>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32E043D6" w14:textId="5C7250EA" w:rsidR="006E0438" w:rsidRPr="0035519F" w:rsidRDefault="006E0438" w:rsidP="001E4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rPr>
      </w:pPr>
    </w:p>
    <w:p w14:paraId="27625535" w14:textId="00C50E21" w:rsidR="00F71492" w:rsidRPr="0035519F" w:rsidRDefault="001C440B" w:rsidP="006E0438">
      <w:pPr>
        <w:pStyle w:val="Caption"/>
        <w:ind w:left="1710" w:right="381" w:hanging="1260"/>
        <w:jc w:val="both"/>
        <w:rPr>
          <w:rFonts w:ascii="Arial" w:eastAsia="Times New Roman" w:hAnsi="Arial" w:cs="Arial"/>
          <w:i w:val="0"/>
          <w:color w:val="auto"/>
          <w:sz w:val="24"/>
          <w:szCs w:val="24"/>
        </w:rPr>
      </w:pPr>
      <w:bookmarkStart w:id="51" w:name="_Toc111873695"/>
      <w:r w:rsidRPr="0035519F">
        <w:rPr>
          <w:rFonts w:ascii="Arial" w:hAnsi="Arial" w:cs="Arial"/>
          <w:i w:val="0"/>
          <w:color w:val="auto"/>
          <w:sz w:val="24"/>
          <w:szCs w:val="24"/>
        </w:rPr>
        <w:t xml:space="preserve">Gambar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Gambar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7</w:t>
      </w:r>
      <w:r w:rsidRPr="0035519F">
        <w:rPr>
          <w:rFonts w:ascii="Arial" w:hAnsi="Arial" w:cs="Arial"/>
          <w:i w:val="0"/>
          <w:color w:val="auto"/>
          <w:sz w:val="24"/>
          <w:szCs w:val="24"/>
        </w:rPr>
        <w:fldChar w:fldCharType="end"/>
      </w:r>
      <w:r w:rsidR="00F71492" w:rsidRPr="0035519F">
        <w:rPr>
          <w:rFonts w:ascii="Arial" w:eastAsia="Times New Roman" w:hAnsi="Arial" w:cs="Arial"/>
          <w:i w:val="0"/>
          <w:color w:val="auto"/>
          <w:sz w:val="24"/>
          <w:szCs w:val="24"/>
        </w:rPr>
        <w:t xml:space="preserve">. Efek metabolik IGF-1, GH, dan insulin dalam kondisi fisiologis pada organ target </w:t>
      </w:r>
      <w:r w:rsidR="00F71492" w:rsidRPr="0035519F">
        <w:rPr>
          <w:rFonts w:ascii="Arial" w:eastAsia="Times New Roman" w:hAnsi="Arial" w:cs="Arial"/>
          <w:i w:val="0"/>
          <w:color w:val="auto"/>
          <w:sz w:val="24"/>
          <w:szCs w:val="24"/>
        </w:rPr>
        <w:fldChar w:fldCharType="begin" w:fldLock="1"/>
      </w:r>
      <w:r w:rsidR="007B6515" w:rsidRPr="0035519F">
        <w:rPr>
          <w:rFonts w:ascii="Arial" w:eastAsia="Times New Roman" w:hAnsi="Arial" w:cs="Arial"/>
          <w:i w:val="0"/>
          <w:color w:val="auto"/>
          <w:sz w:val="24"/>
          <w:szCs w:val="24"/>
        </w:rPr>
        <w:instrText>ADDIN CSL_CITATION {"citationItems":[{"id":"ITEM-1","itemData":{"DOI":"10.1186/S12967-015-0762-Z","ISSN":"1479-5876","PMID":"26733412","abstract":"Consistent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14:1","id":"ITEM-1","issue":"1","issued":{"date-parts":[["2016","1","6"]]},"page":"1-23","publisher":"BioMed Central","title":"Insulin-like growth factor-1 deficiency and metabolic syndrome","type":"article-journal","volume":"14"},"uris":["http://www.mendeley.com/documents/?uuid=52b57992-80f9-341e-965b-58171a5e8fad"]}],"mendeley":{"formattedCitation":"(Aguirre &lt;i&gt;et al.&lt;/i&gt;, 2016)","plainTextFormattedCitation":"(Aguirre et al., 2016)","previouslyFormattedCitation":"(Aguirre &lt;i&gt;et al.&lt;/i&gt;, 2016)"},"properties":{"noteIndex":0},"schema":"https://github.com/citation-style-language/schema/raw/master/csl-citation.json"}</w:instrText>
      </w:r>
      <w:r w:rsidR="00F71492" w:rsidRPr="0035519F">
        <w:rPr>
          <w:rFonts w:ascii="Arial" w:eastAsia="Times New Roman" w:hAnsi="Arial" w:cs="Arial"/>
          <w:i w:val="0"/>
          <w:color w:val="auto"/>
          <w:sz w:val="24"/>
          <w:szCs w:val="24"/>
        </w:rPr>
        <w:fldChar w:fldCharType="separate"/>
      </w:r>
      <w:r w:rsidR="00F71492" w:rsidRPr="0035519F">
        <w:rPr>
          <w:rFonts w:ascii="Arial" w:eastAsia="Times New Roman" w:hAnsi="Arial" w:cs="Arial"/>
          <w:i w:val="0"/>
          <w:noProof/>
          <w:color w:val="auto"/>
          <w:sz w:val="24"/>
          <w:szCs w:val="24"/>
        </w:rPr>
        <w:t>(Aguirre et al., 2016)</w:t>
      </w:r>
      <w:r w:rsidR="00F71492" w:rsidRPr="0035519F">
        <w:rPr>
          <w:rFonts w:ascii="Arial" w:eastAsia="Times New Roman" w:hAnsi="Arial" w:cs="Arial"/>
          <w:i w:val="0"/>
          <w:color w:val="auto"/>
          <w:sz w:val="24"/>
          <w:szCs w:val="24"/>
        </w:rPr>
        <w:fldChar w:fldCharType="end"/>
      </w:r>
      <w:r w:rsidR="00F71492" w:rsidRPr="0035519F">
        <w:rPr>
          <w:rFonts w:ascii="Arial" w:eastAsia="Times New Roman" w:hAnsi="Arial" w:cs="Arial"/>
          <w:i w:val="0"/>
          <w:color w:val="auto"/>
          <w:sz w:val="24"/>
          <w:szCs w:val="24"/>
        </w:rPr>
        <w:t>.</w:t>
      </w:r>
      <w:bookmarkEnd w:id="51"/>
    </w:p>
    <w:p w14:paraId="026B9971" w14:textId="77777777" w:rsidR="00F71492" w:rsidRPr="0035519F" w:rsidRDefault="00F71492" w:rsidP="00FB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p>
    <w:p w14:paraId="74EA2697" w14:textId="77777777" w:rsidR="00F71492" w:rsidRPr="0035519F" w:rsidRDefault="002E2D93" w:rsidP="00B1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hAnsi="Arial" w:cs="Arial"/>
          <w:sz w:val="24"/>
          <w:szCs w:val="24"/>
        </w:rPr>
        <w:t>Pada kondisi resistensi insulin, terjadi peningkatan lipolisis di hati dan jaringan adiposa yang mengakibatkan</w:t>
      </w:r>
      <w:r w:rsidR="007B6515" w:rsidRPr="0035519F">
        <w:rPr>
          <w:rFonts w:ascii="Arial" w:eastAsia="Times New Roman" w:hAnsi="Arial" w:cs="Arial"/>
          <w:sz w:val="24"/>
          <w:szCs w:val="24"/>
        </w:rPr>
        <w:t xml:space="preserve"> </w:t>
      </w:r>
      <w:r w:rsidRPr="0035519F">
        <w:rPr>
          <w:rFonts w:ascii="Arial" w:eastAsia="Times New Roman" w:hAnsi="Arial" w:cs="Arial"/>
          <w:sz w:val="24"/>
          <w:szCs w:val="24"/>
        </w:rPr>
        <w:t>p</w:t>
      </w:r>
      <w:r w:rsidR="00F71492" w:rsidRPr="0035519F">
        <w:rPr>
          <w:rFonts w:ascii="Arial" w:eastAsia="Times New Roman" w:hAnsi="Arial" w:cs="Arial"/>
          <w:sz w:val="24"/>
          <w:szCs w:val="24"/>
        </w:rPr>
        <w:t>eningkatan pelepasan FFA</w:t>
      </w:r>
      <w:r w:rsidRPr="0035519F">
        <w:rPr>
          <w:rFonts w:ascii="Arial" w:eastAsia="Times New Roman" w:hAnsi="Arial" w:cs="Arial"/>
          <w:sz w:val="24"/>
          <w:szCs w:val="24"/>
        </w:rPr>
        <w:t>.</w:t>
      </w:r>
      <w:r w:rsidR="00F71492" w:rsidRPr="0035519F">
        <w:rPr>
          <w:rFonts w:ascii="Arial" w:eastAsia="Times New Roman" w:hAnsi="Arial" w:cs="Arial"/>
          <w:sz w:val="24"/>
          <w:szCs w:val="24"/>
        </w:rPr>
        <w:t xml:space="preserve"> </w:t>
      </w:r>
      <w:r w:rsidRPr="0035519F">
        <w:rPr>
          <w:rFonts w:ascii="Arial" w:eastAsia="Times New Roman" w:hAnsi="Arial" w:cs="Arial"/>
          <w:sz w:val="24"/>
          <w:szCs w:val="24"/>
        </w:rPr>
        <w:t>J</w:t>
      </w:r>
      <w:r w:rsidR="00F71492" w:rsidRPr="0035519F">
        <w:rPr>
          <w:rFonts w:ascii="Arial" w:eastAsia="Times New Roman" w:hAnsi="Arial" w:cs="Arial"/>
          <w:sz w:val="24"/>
          <w:szCs w:val="24"/>
        </w:rPr>
        <w:t xml:space="preserve">aringan </w:t>
      </w:r>
      <w:r w:rsidR="007B6515" w:rsidRPr="0035519F">
        <w:rPr>
          <w:rFonts w:ascii="Arial" w:eastAsia="Times New Roman" w:hAnsi="Arial" w:cs="Arial"/>
          <w:sz w:val="24"/>
          <w:szCs w:val="24"/>
        </w:rPr>
        <w:t xml:space="preserve">yang </w:t>
      </w:r>
      <w:r w:rsidR="00F71492" w:rsidRPr="0035519F">
        <w:rPr>
          <w:rFonts w:ascii="Arial" w:eastAsia="Times New Roman" w:hAnsi="Arial" w:cs="Arial"/>
          <w:sz w:val="24"/>
          <w:szCs w:val="24"/>
        </w:rPr>
        <w:t xml:space="preserve">sensitif </w:t>
      </w:r>
      <w:r w:rsidR="007B6515" w:rsidRPr="0035519F">
        <w:rPr>
          <w:rFonts w:ascii="Arial" w:eastAsia="Times New Roman" w:hAnsi="Arial" w:cs="Arial"/>
          <w:sz w:val="24"/>
          <w:szCs w:val="24"/>
        </w:rPr>
        <w:t xml:space="preserve">terhadap </w:t>
      </w:r>
      <w:r w:rsidR="00F71492" w:rsidRPr="0035519F">
        <w:rPr>
          <w:rFonts w:ascii="Arial" w:eastAsia="Times New Roman" w:hAnsi="Arial" w:cs="Arial"/>
          <w:sz w:val="24"/>
          <w:szCs w:val="24"/>
        </w:rPr>
        <w:t xml:space="preserve">lipid </w:t>
      </w:r>
      <w:r w:rsidR="00044215" w:rsidRPr="0035519F">
        <w:rPr>
          <w:rFonts w:ascii="Arial" w:eastAsia="Times New Roman" w:hAnsi="Arial" w:cs="Arial"/>
          <w:sz w:val="24"/>
          <w:szCs w:val="24"/>
        </w:rPr>
        <w:t xml:space="preserve">(hati, tulang dan otot jantung) </w:t>
      </w:r>
      <w:r w:rsidR="007B6515" w:rsidRPr="0035519F">
        <w:rPr>
          <w:rFonts w:ascii="Arial" w:eastAsia="Times New Roman" w:hAnsi="Arial" w:cs="Arial"/>
          <w:sz w:val="24"/>
          <w:szCs w:val="24"/>
        </w:rPr>
        <w:t xml:space="preserve">akan </w:t>
      </w:r>
      <w:r w:rsidR="00F71492" w:rsidRPr="0035519F">
        <w:rPr>
          <w:rFonts w:ascii="Arial" w:eastAsia="Times New Roman" w:hAnsi="Arial" w:cs="Arial"/>
          <w:sz w:val="24"/>
          <w:szCs w:val="24"/>
        </w:rPr>
        <w:t xml:space="preserve">meningkatkan fosforilasi serin dari IRS. Fosforilasi </w:t>
      </w:r>
      <w:r w:rsidR="007B6515" w:rsidRPr="0035519F">
        <w:rPr>
          <w:rFonts w:ascii="Arial" w:eastAsia="Times New Roman" w:hAnsi="Arial" w:cs="Arial"/>
          <w:sz w:val="24"/>
          <w:szCs w:val="24"/>
        </w:rPr>
        <w:t>tersebut</w:t>
      </w:r>
      <w:r w:rsidR="00F71492" w:rsidRPr="0035519F">
        <w:rPr>
          <w:rFonts w:ascii="Arial" w:eastAsia="Times New Roman" w:hAnsi="Arial" w:cs="Arial"/>
          <w:sz w:val="24"/>
          <w:szCs w:val="24"/>
        </w:rPr>
        <w:t xml:space="preserve"> menyebabkan blokade residu tirosin di IRS,</w:t>
      </w:r>
      <w:r w:rsidR="007B6515" w:rsidRPr="0035519F">
        <w:rPr>
          <w:rFonts w:ascii="Arial" w:eastAsia="Times New Roman" w:hAnsi="Arial" w:cs="Arial"/>
          <w:sz w:val="24"/>
          <w:szCs w:val="24"/>
        </w:rPr>
        <w:t xml:space="preserve"> </w:t>
      </w:r>
      <w:r w:rsidRPr="0035519F">
        <w:rPr>
          <w:rFonts w:ascii="Arial" w:eastAsia="Times New Roman" w:hAnsi="Arial" w:cs="Arial"/>
          <w:sz w:val="24"/>
          <w:szCs w:val="24"/>
        </w:rPr>
        <w:t>sehingga fungsi IGF-1 tidak berjalan sebagaimana mestinya</w:t>
      </w:r>
      <w:r w:rsidR="00B1503E" w:rsidRPr="0035519F">
        <w:rPr>
          <w:rFonts w:ascii="Arial" w:eastAsia="Times New Roman" w:hAnsi="Arial" w:cs="Arial"/>
          <w:sz w:val="24"/>
          <w:szCs w:val="24"/>
        </w:rPr>
        <w:t xml:space="preserve">. </w:t>
      </w:r>
      <w:r w:rsidR="007226C6" w:rsidRPr="0035519F">
        <w:rPr>
          <w:rFonts w:ascii="Arial" w:eastAsia="Times New Roman" w:hAnsi="Arial" w:cs="Arial"/>
          <w:sz w:val="24"/>
          <w:szCs w:val="24"/>
        </w:rPr>
        <w:t>H</w:t>
      </w:r>
      <w:r w:rsidR="00B1503E" w:rsidRPr="0035519F">
        <w:rPr>
          <w:rFonts w:ascii="Arial" w:eastAsia="Times New Roman" w:hAnsi="Arial" w:cs="Arial"/>
          <w:sz w:val="24"/>
          <w:szCs w:val="24"/>
        </w:rPr>
        <w:t xml:space="preserve">ati mengambil semua FFA yang bersirkulasi, yang kemudian mengganggu pensinyalan insulin dan IGF-1 (seperti dijelaskan di atas) dan menyebabkan hepatik steatosis </w:t>
      </w:r>
      <w:r w:rsidR="00B1503E" w:rsidRPr="0035519F">
        <w:rPr>
          <w:rFonts w:ascii="Arial" w:eastAsia="Times New Roman" w:hAnsi="Arial" w:cs="Arial"/>
          <w:sz w:val="24"/>
          <w:szCs w:val="24"/>
        </w:rPr>
        <w:fldChar w:fldCharType="begin" w:fldLock="1"/>
      </w:r>
      <w:r w:rsidR="00643449" w:rsidRPr="0035519F">
        <w:rPr>
          <w:rFonts w:ascii="Arial" w:eastAsia="Times New Roman" w:hAnsi="Arial" w:cs="Arial"/>
          <w:sz w:val="24"/>
          <w:szCs w:val="24"/>
        </w:rPr>
        <w:instrText>ADDIN CSL_CITATION {"citationItems":[{"id":"ITEM-1","itemData":{"DOI":"10.1016/j.ghir.2004.06.001","ISSN":"10966374","PMID":"15336229","abstract":"IGF-I is a multipotent growth factor with important actions on normal tissue growth and regeneration. In addition, IGF-I has been suggested to have beneficial effects on glucose homeostasis due to its glucose lowering and insulin sensitizing actions. However, not all effects of IGF-I are considered to be favorable; thus, epidemiological studies suggest that IGF-I is also involved in the development of common cancers, atherosclerosis and type 2 diabetes.The biological actions of IGF-I are modulated by at least six IGF-binding proteins, which bind approximately 99% of the circulating IGF-I pool. So far, most in vivo studies have used serum or plasma total (extractable IGF-I) as an estimate of the bioactivity of IGF-I in vivo. However, within the last decade, validated assays for measurement of free IGF-I have been described.This review aims to discuss the current assays for free IGF-I and their advances in relation to the traditional measurement of total IGF-I. The literature overview will focus on the role of circulating free versus total IGF-I in the feedback regulation of GH release, and the possible involvement of the circulating IGF-system in glucose homeostasis. © 2004 Elsevier Ltd. All rights reserved.","author":[{"dropping-particle":"","family":"Frystyk","given":"Jan","non-dropping-particle":"","parse-names":false,"suffix":""}],"container-title":"Growth Hormone and IGF Research","id":"ITEM-1","issue":"5","issued":{"date-parts":[["2004","10"]]},"page":"337-375","publisher":"Growth Horm IGF Res","title":"Free insulin-like growth factors - Measurements and relationships to growth hormone secretion and glucose homeostasis","type":"article","volume":"14"},"uris":["http://www.mendeley.com/documents/?uuid=71badec5-140b-3270-be52-2d728e9b77d4"]},{"id":"ITEM-2","itemData":{"DOI":"10.1186/S12967-015-0762-Z","ISSN":"1479-5876","PMID":"26733412","abstract":"Consistent evidence associates IGF-1 deficiency and metabolic syndrome. In this review, we will focus on the metabolic effects of IGF-1, the concept of metabolic syndrome and its clinical manifestations (impaired lipid profile, insulin resistance, increased glucose levels, obesity, and cardiovascular disease), discussing whether IGF-1 replacement therapy could be a beneficial strategy for these patients. The search plan was made in Medline for Pubmed with the following mesh terms: IGF-1 and “metabolism, carbohydrate, lipids, proteins, amino acids, metabolic syndrome, cardiovascular disease, diabetes” between the years 1963–2015. The search includes animal and human protocols. In this review we discuss the relevant actions of IGF-1 on metabolism and the implication of IGF-1 deficiency in the establishment of metabolic syndrome. Multiple studies (in vitro and in vivo) demonstrate the association between IGF-1 deficit and deregulated lipid metabolism, cardiovascular disease, diabetes, and an altered metabolic profile of diabetic patients. Based on the available data we propose IGF-1 as a key hormone in the pathophysiology of metabolic syndrome; due to its implications in the metabolism of carbohydrates and lipids. Previous data demonstrates how IGF-1 can be an effective option in the treatment of this worldwide increasing condition. It has to distinguished that the replacement therapy should be only undertaken to restore the physiological levels, never to exceed physiological ranges.","author":[{"dropping-particle":"","family":"Aguirre","given":"G. A.","non-dropping-particle":"","parse-names":false,"suffix":""},{"dropping-particle":"","family":"Ita","given":"J. Rodríguez","non-dropping-particle":"","parse-names":false,"suffix":""},{"dropping-particle":"","family":"Garza","given":"R. G.","non-dropping-particle":"","parse-names":false,"suffix":""},{"dropping-particle":"","family":"Castilla-Cortazar","given":"I.","non-dropping-particle":"","parse-names":false,"suffix":""}],"container-title":"Journal of Translational Medicine 2016 14:1","id":"ITEM-2","issue":"1","issued":{"date-parts":[["2016","1","6"]]},"page":"1-23","publisher":"BioMed Central","title":"Insulin-like growth factor-1 deficiency and metabolic syndrome","type":"article-journal","volume":"14"},"uris":["http://www.mendeley.com/documents/?uuid=52b57992-80f9-341e-965b-58171a5e8fad"]}],"mendeley":{"formattedCitation":"(Frystyk, 2004; Aguirre &lt;i&gt;et al.&lt;/i&gt;, 2016)","plainTextFormattedCitation":"(Frystyk, 2004; Aguirre et al., 2016)","previouslyFormattedCitation":"(Frystyk, 2004; Aguirre &lt;i&gt;et al.&lt;/i&gt;, 2016)"},"properties":{"noteIndex":0},"schema":"https://github.com/citation-style-language/schema/raw/master/csl-citation.json"}</w:instrText>
      </w:r>
      <w:r w:rsidR="00B1503E" w:rsidRPr="0035519F">
        <w:rPr>
          <w:rFonts w:ascii="Arial" w:eastAsia="Times New Roman" w:hAnsi="Arial" w:cs="Arial"/>
          <w:sz w:val="24"/>
          <w:szCs w:val="24"/>
        </w:rPr>
        <w:fldChar w:fldCharType="separate"/>
      </w:r>
      <w:r w:rsidR="00B1503E" w:rsidRPr="0035519F">
        <w:rPr>
          <w:rFonts w:ascii="Arial" w:eastAsia="Times New Roman" w:hAnsi="Arial" w:cs="Arial"/>
          <w:noProof/>
          <w:sz w:val="24"/>
          <w:szCs w:val="24"/>
        </w:rPr>
        <w:t xml:space="preserve">(Frystyk, 2004; Aguirre </w:t>
      </w:r>
      <w:r w:rsidR="00B1503E" w:rsidRPr="0035519F">
        <w:rPr>
          <w:rFonts w:ascii="Arial" w:eastAsia="Times New Roman" w:hAnsi="Arial" w:cs="Arial"/>
          <w:i/>
          <w:noProof/>
          <w:sz w:val="24"/>
          <w:szCs w:val="24"/>
        </w:rPr>
        <w:t>et al.</w:t>
      </w:r>
      <w:r w:rsidR="00B1503E" w:rsidRPr="0035519F">
        <w:rPr>
          <w:rFonts w:ascii="Arial" w:eastAsia="Times New Roman" w:hAnsi="Arial" w:cs="Arial"/>
          <w:noProof/>
          <w:sz w:val="24"/>
          <w:szCs w:val="24"/>
        </w:rPr>
        <w:t>, 2016)</w:t>
      </w:r>
      <w:r w:rsidR="00B1503E" w:rsidRPr="0035519F">
        <w:rPr>
          <w:rFonts w:ascii="Arial" w:eastAsia="Times New Roman" w:hAnsi="Arial" w:cs="Arial"/>
          <w:sz w:val="24"/>
          <w:szCs w:val="24"/>
        </w:rPr>
        <w:fldChar w:fldCharType="end"/>
      </w:r>
      <w:r w:rsidR="00B1503E" w:rsidRPr="0035519F">
        <w:rPr>
          <w:rFonts w:ascii="Arial" w:eastAsia="Times New Roman" w:hAnsi="Arial" w:cs="Arial"/>
          <w:sz w:val="24"/>
          <w:szCs w:val="24"/>
        </w:rPr>
        <w:t>.</w:t>
      </w:r>
      <w:r w:rsidR="00643449" w:rsidRPr="0035519F">
        <w:rPr>
          <w:rFonts w:ascii="Arial" w:eastAsia="Times New Roman" w:hAnsi="Arial" w:cs="Arial"/>
          <w:sz w:val="24"/>
          <w:szCs w:val="24"/>
        </w:rPr>
        <w:t xml:space="preserve"> </w:t>
      </w:r>
      <w:r w:rsidR="00B1503E" w:rsidRPr="0035519F">
        <w:rPr>
          <w:rFonts w:ascii="Arial" w:eastAsia="Times New Roman" w:hAnsi="Arial" w:cs="Arial"/>
          <w:sz w:val="24"/>
          <w:szCs w:val="24"/>
        </w:rPr>
        <w:t xml:space="preserve"> </w:t>
      </w:r>
    </w:p>
    <w:p w14:paraId="55D764F2" w14:textId="77777777" w:rsidR="001E4EB1" w:rsidRPr="0035519F" w:rsidRDefault="001E4EB1" w:rsidP="00B1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lastRenderedPageBreak/>
        <w:t xml:space="preserve">Hepar adalah tempat utama produksi IGF-1, ketika steatosis berkembang dapat terjadi penurunan sensitivitas insulin, keparahan steatosis pada berbagai tahap resistensi insulin dan sindrom metabolik tampaknya berkorelasi dengan tingkat penurunan IGF-1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{"citationItems":[{"id":"ITEM-1","itemData":{"DOI":"10.1016/j.cca.2011.11.015","ISSN":"00098981","PMID":"22133783","abstract":"Background: Insulin-like growth factor-1 (IGF-1) is associated with obesity and aging, and was recently linked to metabolic syndrome (MetS) and insulin resistance. However, little is known about the relationship between IGF-1 and adiponectin (adiponectin), another marker of MetS. Methods: We measured the plasma IGF-1 and adiponectin levels of 3099 subjects (1869 males, 55.9. ± 10.8. y). We applied the Korean-modified International Diabetes Foundation (k-IDF) criteria for determination of, and risk assessment for, MetS. Results: K-IDF criteria-based MetS occurred in 37.0% (n = 1146) of patients. IGF-1 (91.5 vs. 97.3. ng/ml, p. &lt; 0.001) and adiponectin (3.95 vs. 4.23. μg/ml, p. &lt; 0.001) were significantly lower in MetS patients than without MetS. Lower IGF-1 was associated with increasing numbers of MetS abnormalities, independent of adiponectin (p for trend. &lt; 0.001, F = 12.615, p. &lt; 0.001 in ANCOVA). MetS prevalence in individuals with both high IGF-1 and adiponectin levels (6.7%, n = 206) was significantly lower than in other groups. Both high IGF-1 and adiponectin group was associated with reduced MetS risk after adjusting for other confounding factors (OR 0.694, 95% CI 0.493-0.977, p = 0.036). Conclusions: IGF-1 was associated with MetS independent of adiponectin in our study. The independent relationship between IGF-1 and MetS provides insight into the pathophysiologic mechanisms of MetS. © 2011 Elsevier B.V.","author":[{"dropping-particle":"","family":"Oh","given":"Jaewon","non-dropping-particle":"","parse-names":false,"suffix":""},{"dropping-particle":"","family":"Kim","given":"Jong Youn","non-dropping-particle":"","parse-names":false,"suffix":""},{"dropping-particle":"","family":"Park","given":"Sungha","non-dropping-particle":"","parse-names":false,"suffix":""},{"dropping-particle":"","family":"Youn","given":"Jong Chan","non-dropping-particle":"","parse-names":false,"suffix":""},{"dropping-particle":"","family":"Son","given":"Nak Hoon","non-dropping-particle":"","parse-names":false,"suffix":""},{"dropping-particle":"","family":"Shin","given":"Dong Jik","non-dropping-particle":"","parse-names":false,"suffix":""},{"dropping-particle":"","family":"Lee","given":"Sang Hak","non-dropping-particle":"","parse-names":false,"suffix":""},{"dropping-particle":"","family":"Kang","given":"Seok Min","non-dropping-particle":"","parse-names":false,"suffix":""},{"dropping-particle":"","family":"Jee","given":"Sun Ha","non-dropping-particle":"","parse-names":false,"suffix":""},{"dropping-particle":"","family":"Jang","given":"Yangsoo","non-dropping-particle":"","parse-names":false,"suffix":""}],"container-title":"Clinica Chimica Acta","id":"ITEM-1","issue":"3-4","issued":{"date-parts":[["2012","2","18"]]},"page":"506-510","publisher":"Elsevier","title":"The relationship between insulin-like growth factor-1 and metabolic syndrome, independent of adiponectin","type":"article-journal","volume":"413"},"uris":["http://www.mendeley.com/documents/?uuid=cdd2ab6b-41c5-34a1-b166-1b860946c8a6"]}],"mendeley":{"formattedCitation":"(Oh &lt;i&gt;et al.&lt;/i&gt;, 2012)","plainTextFormattedCitation":"(Oh et al., 2012)","previouslyFormattedCitation":"(Oh &lt;i&gt;et al.&lt;/i&gt;, 2012)"},"properties":{"noteIndex":0},"schema":"https://github.com/citation-style-language/schema/raw/master/csl-citation.json"}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(Oh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2012)</w:t>
      </w:r>
      <w:r w:rsidRPr="0035519F">
        <w:rPr>
          <w:rFonts w:ascii="Arial" w:eastAsia="Times New Roman" w:hAnsi="Arial" w:cs="Arial"/>
          <w:sz w:val="24"/>
          <w:szCs w:val="24"/>
        </w:rPr>
        <w:fldChar w:fldCharType="end"/>
      </w:r>
      <w:r w:rsidRPr="0035519F">
        <w:rPr>
          <w:rFonts w:ascii="Arial" w:eastAsia="Times New Roman" w:hAnsi="Arial" w:cs="Arial"/>
          <w:sz w:val="24"/>
          <w:szCs w:val="24"/>
        </w:rPr>
        <w:t>..</w:t>
      </w:r>
    </w:p>
    <w:p w14:paraId="43486CA8" w14:textId="77777777" w:rsidR="002E2D93" w:rsidRPr="0035519F" w:rsidRDefault="002E2D93" w:rsidP="00B1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 xml:space="preserve">Kadar serum IGF-1 yang rendah menunjukkan penurunan produksi yang disebabkan karena penurunan sekresi GH pada pasien obesitas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{"citationItems":[{"id":"ITEM-1","itemData":{"DOI":"10.1016/j.mce.2009.08.017","ISSN":"03037207","PMID":"19723558","abstract":"Growth hormone (GH) is the most important hormonal regulator of postnatal longitudinal growth in man. In adults GH is no longer needed for longitudinal growth. Adults with growth hormone deficiency (GHD) are characterised by perturbations in body composition, lipid metabolism, cardiovascular risk profile and bone mineral density. It is well established that adult GHD usually is accompanied by an increase in fat accumulation and GH replacement in adult patients with GHD results in reduction of fat mass and abdominal fat mass in particular. It is also recognized that obesity and abdominal obesity in particular results in a secondary reduction in GH secretion and subnormal insulin-like growth factor-I (IGF-I) levels. The recovery of the GH IGF-I axis after weight loss suggest an acquired defect, however, the pathophysiologic role of GH in obesity is yet to be fully understood. In clinical studies examining the efficacy of GH in obese subjects very little or no effect are observed with respect to weight loss, whereas GH seems to reduce total and abdominal fat mass in obese subjects. The observed reductions in abdominal fat mass are modest and similar to what can be achieved by diet or exercise interventions. © 2009.","author":[{"dropping-particle":"","family":"Rasmussen","given":"Michael Højby","non-dropping-particle":"","parse-names":false,"suffix":""}],"container-title":"Molecular and Cellular Endocrinology","id":"ITEM-1","issue":"2","issued":{"date-parts":[["2010","3","25"]]},"page":"147-153","publisher":"Mol Cell Endocrinol","title":"Obesity, growth hormone and weight loss","type":"article","volume":"316"},"uris":["http://www.mendeley.com/documents/?uuid=cc0fcb7a-3cc9-339a-af6b-cb4867d586d2"]}],"mendeley":{"formattedCitation":"(Rasmussen, 2010)","plainTextFormattedCitation":"(Rasmussen, 2010)","previouslyFormattedCitation":"(Rasmussen, 2010)"},"properties":{"noteIndex":0},"schema":"https://github.com/citation-style-language/schema/raw/master/csl-citation.json"}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(Rasmussen, 2010)</w:t>
      </w:r>
      <w:r w:rsidRPr="0035519F">
        <w:rPr>
          <w:rFonts w:ascii="Arial" w:eastAsia="Times New Roman" w:hAnsi="Arial" w:cs="Arial"/>
          <w:sz w:val="24"/>
          <w:szCs w:val="24"/>
        </w:rPr>
        <w:fldChar w:fldCharType="end"/>
      </w:r>
      <w:r w:rsidRPr="0035519F">
        <w:rPr>
          <w:rFonts w:ascii="Arial" w:eastAsia="Times New Roman" w:hAnsi="Arial" w:cs="Arial"/>
          <w:sz w:val="24"/>
          <w:szCs w:val="24"/>
        </w:rPr>
        <w:t xml:space="preserve">. Tingginya kadar FFA dan insulin pada kondisi resistensi insulin memberi umpan balik negatif </w:t>
      </w:r>
      <w:r w:rsidR="001E4EB1" w:rsidRPr="0035519F">
        <w:rPr>
          <w:rFonts w:ascii="Arial" w:eastAsia="Times New Roman" w:hAnsi="Arial" w:cs="Arial"/>
          <w:sz w:val="24"/>
          <w:szCs w:val="24"/>
        </w:rPr>
        <w:t>ke kelenjar p</w:t>
      </w:r>
      <w:r w:rsidRPr="0035519F">
        <w:rPr>
          <w:rFonts w:ascii="Arial" w:eastAsia="Times New Roman" w:hAnsi="Arial" w:cs="Arial"/>
          <w:sz w:val="24"/>
          <w:szCs w:val="24"/>
        </w:rPr>
        <w:t>i</w:t>
      </w:r>
      <w:r w:rsidR="001E4EB1" w:rsidRPr="0035519F">
        <w:rPr>
          <w:rFonts w:ascii="Arial" w:eastAsia="Times New Roman" w:hAnsi="Arial" w:cs="Arial"/>
          <w:sz w:val="24"/>
          <w:szCs w:val="24"/>
        </w:rPr>
        <w:t>t</w:t>
      </w:r>
      <w:r w:rsidRPr="0035519F">
        <w:rPr>
          <w:rFonts w:ascii="Arial" w:eastAsia="Times New Roman" w:hAnsi="Arial" w:cs="Arial"/>
          <w:sz w:val="24"/>
          <w:szCs w:val="24"/>
        </w:rPr>
        <w:t>u</w:t>
      </w:r>
      <w:r w:rsidR="001E4EB1" w:rsidRPr="0035519F">
        <w:rPr>
          <w:rFonts w:ascii="Arial" w:eastAsia="Times New Roman" w:hAnsi="Arial" w:cs="Arial"/>
          <w:sz w:val="24"/>
          <w:szCs w:val="24"/>
        </w:rPr>
        <w:t>i</w:t>
      </w:r>
      <w:r w:rsidRPr="0035519F">
        <w:rPr>
          <w:rFonts w:ascii="Arial" w:eastAsia="Times New Roman" w:hAnsi="Arial" w:cs="Arial"/>
          <w:sz w:val="24"/>
          <w:szCs w:val="24"/>
        </w:rPr>
        <w:t xml:space="preserve">tari untuk </w:t>
      </w:r>
      <w:r w:rsidR="001E4EB1" w:rsidRPr="0035519F">
        <w:rPr>
          <w:rFonts w:ascii="Arial" w:eastAsia="Times New Roman" w:hAnsi="Arial" w:cs="Arial"/>
          <w:sz w:val="24"/>
          <w:szCs w:val="24"/>
        </w:rPr>
        <w:t>menurunkan sintesis GH yang diikuti dengan penurunan konsentrasi IGF-1 plasma. K</w:t>
      </w:r>
      <w:r w:rsidRPr="0035519F">
        <w:rPr>
          <w:rFonts w:ascii="Arial" w:eastAsia="Times New Roman" w:hAnsi="Arial" w:cs="Arial"/>
          <w:sz w:val="24"/>
          <w:szCs w:val="24"/>
        </w:rPr>
        <w:t xml:space="preserve">onsentrasi IGF-1 plasma yang rendah telah dilaporkan secara signifikan terkait dengan sensitivitas insulin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{"citationItems":[{"id":"ITEM-1","itemData":{"DOI":"10.1371/journal.pone.0154451","ISSN":"19326203","PMID":"27138941","abstract":"Introduction: IGF-1 (insulin-like growth factor-1) is a hormone involved in cell growth and other important processes. In the kidney, IGF-1 has a stimulating effect, increasing the blood flow and glomerular filtration rate. Although many experimental animal studies regarding the role of IGF-1 in the kidney have been conducted, few human studies are available in the literature. Obesity is a cause of renal failure, and several glomerular lesions associated with obesity have been described. However, no studies regarding the levels of IGF-1 in morbidly obese patients with renal injury associated with obesity have been conducted. Aim: To determine the serum IGF-1 concentrations in morbidly obese patients with normal renal function but with different types of early obesity-related glomerular lesions and to evaluate the possible relationship between IGF-1 and the presence of renal lesions. Methods: Eighty morbidly obese patients with renal biopsy, including 11 patients with no evidence of renal lesion, 17 patients with single glomerulomegaly, 21 patients with single podocyte hypertrophy, 10 patients with glomerulomegaly and podocyte hypertrophy, 5 patients with focal segmental hyalinosis, and 16 patients with increased mesangial matrix and/or mesangial proliferation, participated in this study. Biological parameters, including serum IGF-1 concentrations with the standard deviation score for age (SDS-IGF-1), were determined for all patients. Results: Eighty patients (50 women and 30 men) with a mean BMI of 52.63 ± 8.71 and a mean age of 42.40 ± 9.45 years were included in this study. IGF-1, IGF-1 SDS and IGF-1BP3 levels according to the renal injury were compared (normal glomeruli: IGF-1 = 190.17 ± 72.46; glomerulomegaly: IGF-1 = 122.3 ± 50.05; podocyte hypertrophy: IGF-1 = 119.81 ± 60.34; focal segmental hyalinosis: IGF-1 170.98 ± 100.83, increased mesangial matrix and/or mesangial proliferation: IGF-1 117.73 ± 63.87). Statistically significant differences were observed between serum levels of IGF-1 and between the levels of SDS-IGF-1 by comparing the group without glomerular lesion with the group formed by patients with any type of glomerular injury. Logistic regression analysis was performed, with the dependent variable defined as the glomerular injury. In the multivariate analysis, only SDS-IGF-1 was associated with glomerular injury, and low levels of IGF-1 SDS were a risk factor for kidney injury. Conclusions: Our study demonstrates that low IGF-1 serum l…","author":[{"dropping-particle":"","family":"Bancu","given":"Ioana","non-dropping-particle":"","parse-names":false,"suffix":""},{"dropping-particle":"","family":"Navarro Díaz","given":"Maruja","non-dropping-particle":"","parse-names":false,"suffix":""},{"dropping-particle":"","family":"Serra","given":"Assumpta","non-dropping-particle":"","parse-names":false,"suffix":""},{"dropping-particle":"","family":"Granada","given":"Marisa","non-dropping-particle":"","parse-names":false,"suffix":""},{"dropping-particle":"","family":"Lopez","given":"Dolores","non-dropping-particle":"","parse-names":false,"suffix":""},{"dropping-particle":"","family":"Romero","given":"Ramon","non-dropping-particle":"","parse-names":false,"suffix":""},{"dropping-particle":"","family":"Bonet","given":"Josep","non-dropping-particle":"","parse-names":false,"suffix":""}],"container-title":"PLoS ONE","id":"ITEM-1","issue":"5","issued":{"date-parts":[["2016","5","1"]]},"page":"e0154451","publisher":"Public Library of Science","title":"Low insulin-like growth factor-1 level in obesity nephropathy: A new risk factor?","type":"article-journal","volume":"11"},"uris":["http://www.mendeley.com/documents/?uuid=ec47f506-cded-3dda-b5ac-0c8e903a6e68"]}],"mendeley":{"formattedCitation":"(Bancu &lt;i&gt;et al.&lt;/i&gt;, 2016)","plainTextFormattedCitation":"(Bancu et al., 2016)","previouslyFormattedCitation":"(Bancu &lt;i&gt;et al.&lt;/i&gt;, 2016)"},"properties":{"noteIndex":0},"schema":"https://github.com/citation-style-language/schema/raw/master/csl-citation.json"}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(Bancu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2016)</w:t>
      </w:r>
      <w:r w:rsidRPr="0035519F">
        <w:rPr>
          <w:rFonts w:ascii="Arial" w:eastAsia="Times New Roman" w:hAnsi="Arial" w:cs="Arial"/>
          <w:sz w:val="24"/>
          <w:szCs w:val="24"/>
        </w:rPr>
        <w:fldChar w:fldCharType="end"/>
      </w:r>
    </w:p>
    <w:p w14:paraId="4C7D5394" w14:textId="77777777" w:rsidR="00643449" w:rsidRPr="0035519F" w:rsidRDefault="00643449" w:rsidP="00B1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Penurunan kadar IGF-1 bersirkulasi secara independen terkait dengan hiperglikemia dan resistensi insulin pada orang dewasa Sebaliknya, kadar normal maupun peningkatan IGF-1 yang bersirkulasi berkorelasi dengan peningkatan kadar adiponektin dan ditem</w:t>
      </w:r>
      <w:r w:rsidR="001E4EB1" w:rsidRPr="0035519F">
        <w:rPr>
          <w:rFonts w:ascii="Arial" w:eastAsia="Times New Roman" w:hAnsi="Arial" w:cs="Arial"/>
          <w:sz w:val="24"/>
          <w:szCs w:val="24"/>
        </w:rPr>
        <w:t>ukan penurunan sindrom metabolik</w:t>
      </w:r>
      <w:r w:rsidRPr="0035519F">
        <w:rPr>
          <w:rFonts w:ascii="Arial" w:eastAsia="Times New Roman" w:hAnsi="Arial" w:cs="Arial"/>
          <w:sz w:val="24"/>
          <w:szCs w:val="24"/>
        </w:rPr>
        <w:t xml:space="preserve"> </w:t>
      </w:r>
      <w:r w:rsidRPr="0035519F">
        <w:rPr>
          <w:rFonts w:ascii="Arial" w:eastAsia="Times New Roman" w:hAnsi="Arial" w:cs="Arial"/>
          <w:sz w:val="24"/>
          <w:szCs w:val="24"/>
        </w:rPr>
        <w:fldChar w:fldCharType="begin" w:fldLock="1"/>
      </w:r>
      <w:r w:rsidRPr="0035519F">
        <w:rPr>
          <w:rFonts w:ascii="Arial" w:eastAsia="Times New Roman" w:hAnsi="Arial" w:cs="Arial"/>
          <w:sz w:val="24"/>
          <w:szCs w:val="24"/>
        </w:rPr>
        <w:instrText>ADDIN CSL_CITATION {"citationItems":[{"id":"ITEM-1","itemData":{"DOI":"10.1016/j.cca.2011.11.015","ISSN":"00098981","PMID":"22133783","abstract":"Background: Insulin-like growth factor-1 (IGF-1) is associated with obesity and aging, and was recently linked to metabolic syndrome (MetS) and insulin resistance. However, little is known about the relationship between IGF-1 and adiponectin (adiponectin), another marker of MetS. Methods: We measured the plasma IGF-1 and adiponectin levels of 3099 subjects (1869 males, 55.9. ± 10.8. y). We applied the Korean-modified International Diabetes Foundation (k-IDF) criteria for determination of, and risk assessment for, MetS. Results: K-IDF criteria-based MetS occurred in 37.0% (n = 1146) of patients. IGF-1 (91.5 vs. 97.3. ng/ml, p. &lt; 0.001) and adiponectin (3.95 vs. 4.23. μg/ml, p. &lt; 0.001) were significantly lower in MetS patients than without MetS. Lower IGF-1 was associated with increasing numbers of MetS abnormalities, independent of adiponectin (p for trend. &lt; 0.001, F = 12.615, p. &lt; 0.001 in ANCOVA). MetS prevalence in individuals with both high IGF-1 and adiponectin levels (6.7%, n = 206) was significantly lower than in other groups. Both high IGF-1 and adiponectin group was associated with reduced MetS risk after adjusting for other confounding factors (OR 0.694, 95% CI 0.493-0.977, p = 0.036). Conclusions: IGF-1 was associated with MetS independent of adiponectin in our study. The independent relationship between IGF-1 and MetS provides insight into the pathophysiologic mechanisms of MetS. © 2011 Elsevier B.V.","author":[{"dropping-particle":"","family":"Oh","given":"Jaewon","non-dropping-particle":"","parse-names":false,"suffix":""},{"dropping-particle":"","family":"Kim","given":"Jong Youn","non-dropping-particle":"","parse-names":false,"suffix":""},{"dropping-particle":"","family":"Park","given":"Sungha","non-dropping-particle":"","parse-names":false,"suffix":""},{"dropping-particle":"","family":"Youn","given":"Jong Chan","non-dropping-particle":"","parse-names":false,"suffix":""},{"dropping-particle":"","family":"Son","given":"Nak Hoon","non-dropping-particle":"","parse-names":false,"suffix":""},{"dropping-particle":"","family":"Shin","given":"Dong Jik","non-dropping-particle":"","parse-names":false,"suffix":""},{"dropping-particle":"","family":"Lee","given":"Sang Hak","non-dropping-particle":"","parse-names":false,"suffix":""},{"dropping-particle":"","family":"Kang","given":"Seok Min","non-dropping-particle":"","parse-names":false,"suffix":""},{"dropping-particle":"","family":"Jee","given":"Sun Ha","non-dropping-particle":"","parse-names":false,"suffix":""},{"dropping-particle":"","family":"Jang","given":"Yangsoo","non-dropping-particle":"","parse-names":false,"suffix":""}],"container-title":"Clinica Chimica Acta","id":"ITEM-1","issue":"3-4","issued":{"date-parts":[["2012","2","18"]]},"page":"506-510","publisher":"Elsevier","title":"The relationship between insulin-like growth factor-1 and metabolic syndrome, independent of adiponectin","type":"article-journal","volume":"413"},"uris":["http://www.mendeley.com/documents/?uuid=cdd2ab6b-41c5-34a1-b166-1b860946c8a6"]}],"mendeley":{"formattedCitation":"(Oh &lt;i&gt;et al.&lt;/i&gt;, 2012)","plainTextFormattedCitation":"(Oh et al., 2012)","previouslyFormattedCitation":"(Oh &lt;i&gt;et al.&lt;/i&gt;, 2012)"},"properties":{"noteIndex":0},"schema":"https://github.com/citation-style-language/schema/raw/master/csl-citation.json"}</w:instrText>
      </w:r>
      <w:r w:rsidRPr="0035519F">
        <w:rPr>
          <w:rFonts w:ascii="Arial" w:eastAsia="Times New Roman" w:hAnsi="Arial" w:cs="Arial"/>
          <w:sz w:val="24"/>
          <w:szCs w:val="24"/>
        </w:rPr>
        <w:fldChar w:fldCharType="separate"/>
      </w:r>
      <w:r w:rsidRPr="0035519F">
        <w:rPr>
          <w:rFonts w:ascii="Arial" w:eastAsia="Times New Roman" w:hAnsi="Arial" w:cs="Arial"/>
          <w:noProof/>
          <w:sz w:val="24"/>
          <w:szCs w:val="24"/>
        </w:rPr>
        <w:t xml:space="preserve">(Oh </w:t>
      </w:r>
      <w:r w:rsidRPr="0035519F">
        <w:rPr>
          <w:rFonts w:ascii="Arial" w:eastAsia="Times New Roman" w:hAnsi="Arial" w:cs="Arial"/>
          <w:i/>
          <w:noProof/>
          <w:sz w:val="24"/>
          <w:szCs w:val="24"/>
        </w:rPr>
        <w:t>et al.</w:t>
      </w:r>
      <w:r w:rsidRPr="0035519F">
        <w:rPr>
          <w:rFonts w:ascii="Arial" w:eastAsia="Times New Roman" w:hAnsi="Arial" w:cs="Arial"/>
          <w:noProof/>
          <w:sz w:val="24"/>
          <w:szCs w:val="24"/>
        </w:rPr>
        <w:t>, 2012)</w:t>
      </w:r>
      <w:r w:rsidRPr="0035519F">
        <w:rPr>
          <w:rFonts w:ascii="Arial" w:eastAsia="Times New Roman" w:hAnsi="Arial" w:cs="Arial"/>
          <w:sz w:val="24"/>
          <w:szCs w:val="24"/>
        </w:rPr>
        <w:fldChar w:fldCharType="end"/>
      </w:r>
      <w:r w:rsidRPr="0035519F">
        <w:rPr>
          <w:rFonts w:ascii="Arial" w:eastAsia="Times New Roman" w:hAnsi="Arial" w:cs="Arial"/>
          <w:sz w:val="24"/>
          <w:szCs w:val="24"/>
        </w:rPr>
        <w:t xml:space="preserve">. </w:t>
      </w:r>
    </w:p>
    <w:p w14:paraId="7EFC39D7" w14:textId="77777777" w:rsidR="00AC7C62" w:rsidRPr="0035519F" w:rsidRDefault="00AC7C62" w:rsidP="00B1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hAnsi="Arial" w:cs="Arial"/>
          <w:sz w:val="24"/>
          <w:szCs w:val="24"/>
        </w:rPr>
        <w:t xml:space="preserve">Pemberian kortikosteroid dapat menyebabkan penurunan sensitisasi insulin dan IGF-1 di otot sehingga menurunkan uptake glukosa, sedangkan di hepar kortikosteroid akan meningkatkan gluconeogenesis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{"citationItems":[{"id":"ITEM-1","itemData":{"DOI":"10.1016/j.ecl.2013.10.005","ISSN":"08898529","PMID":"24582093","abstract":"Glucocorticoids (GCs) are critical in the regulation of the stress response, inflammation and energy homeostasis. Excessive GC exposure results in whole-body insulin resistance, obesity, cardiovascular disease, and ultimately decreased survival, despite their potent anti-inflammatory effects. This apparent paradox may be explained by the complex actions of GCs on adipose tissue functionality. The wide prevalence of oral GC therapy makes their adverse systemic effects an important yet incompletely understood clinical problem. This article reviews the mechanisms by which supraphysiologic GC exposure promotes insulin resistance, focusing in particular on the effects on adipose tissue function and lipid metabolism. © 2014 Elsevier Inc.","author":[{"dropping-particle":"","family":"Geer","given":"Eliza B.","non-dropping-particle":"","parse-names":false,"suffix":""},{"dropping-particle":"","family":"Islam","given":"Julie","non-dropping-particle":"","parse-names":false,"suffix":""},{"dropping-particle":"","family":"Buettner","given":"Christoph","non-dropping-particle":"","parse-names":false,"suffix":""}],"container-title":"Endocrinology and Metabolism Clinics of North America","id":"ITEM-1","issue":"1","issued":{"date-parts":[["2014","3","1"]]},"page":"75-102","publisher":"Elsevier","title":"Mechanisms of glucocorticoid-induced insulin resistance: Focus on adipose tissue function and lipid metabolism","type":"article","volume":"43"},"uris":["http://www.mendeley.com/documents/?uuid=c808a1ed-c78b-3d92-8f66-ee0b5ade2729"]}],"mendeley":{"formattedCitation":"(Geer, Islam and Buettner, 2014)","plainTextFormattedCitation":"(Geer, Islam and Buettner, 2014)","previouslyFormattedCitation":"(Geer, Islam and Buettner, 2014)"},"properties":{"noteIndex":0},"schema":"https://github.com/citation-style-language/schema/raw/master/csl-citation.json"}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(Geer, Islam and Buettner, 2014)</w:t>
      </w:r>
      <w:r w:rsidRPr="0035519F">
        <w:rPr>
          <w:rFonts w:ascii="Arial" w:hAnsi="Arial" w:cs="Arial"/>
          <w:sz w:val="24"/>
          <w:szCs w:val="24"/>
        </w:rPr>
        <w:fldChar w:fldCharType="end"/>
      </w:r>
      <w:r w:rsidRPr="0035519F">
        <w:rPr>
          <w:rFonts w:ascii="Arial" w:hAnsi="Arial" w:cs="Arial"/>
          <w:sz w:val="24"/>
          <w:szCs w:val="24"/>
        </w:rPr>
        <w:t xml:space="preserve">. Peningkatan insulin dan IGF-1 dapat terlihat pada pasien dengan keganasan, keduanya berperan sebagai faktor mitogenik dan anti-apoptotik terhadap sel kanker </w:t>
      </w:r>
      <w:r w:rsidRPr="0035519F">
        <w:rPr>
          <w:rFonts w:ascii="Arial" w:hAnsi="Arial" w:cs="Arial"/>
          <w:sz w:val="24"/>
          <w:szCs w:val="24"/>
        </w:rPr>
        <w:fldChar w:fldCharType="begin" w:fldLock="1"/>
      </w:r>
      <w:r w:rsidR="00BA51F5" w:rsidRPr="0035519F">
        <w:rPr>
          <w:rFonts w:ascii="Arial" w:hAnsi="Arial" w:cs="Arial"/>
          <w:sz w:val="24"/>
          <w:szCs w:val="24"/>
        </w:rPr>
        <w:instrText>ADDIN CSL_CITATION {"citationItems":[{"id":"ITEM-1","itemData":{"DOI":"10.1530/ERC-12-0324","ISSN":"13510088","PMID":"23207292","abstract":"Insulin, IGF1, and IGF2 are the most studied insulin-like peptides (ILPs). These are evolutionary conserved factorswell known as key regulators of energymetabolismand growth,with crucial roles in insulin resistance-related metabolic disorders such as obesity, diseases like type 2 diabetes mellitus, as well as associated immune deregulations. A growing body of evidence suggests that insulin and IGF1 receptors mediate their effects on regulating cell proliferation, differentiation, apoptosis, glucose transport, and energy metabolism by signaling downstream through insulin receptor substrate molecules and thus play a pivotal role in cell fate determination. Despite the emerging evidence from epidemiological studies on the possible relationship between insulin resistance and cancer, our understanding on the cellular and molecular mechanisms that might account for this relationship remains incompletely understood. The involvement of IGFs in carcinogenesis is attributed to their role in linking high energy intake, increased cell proliferation, and suppression of apoptosis to cancer risks, which has been proposed as the key mechanism bridging insulin resistance and cancer. The present review summarizes and discusses evidence highlighting recent advances in our understanding on the role of ILPs as the link between insulin resistance and cancer and between immune deregulation and cancer in obesity, aswell as those areaswhere there remains a paucity of data. It is anticipated that issues discussed in this paperwill also recover newtherapeutic targets that can assist in diagnostic screening and novel approaches to controlling tumor development. © 2013 Society for Endocrinology.","author":[{"dropping-particle":"","family":"Djiogue","given":"Sefirin","non-dropping-particle":"","parse-names":false,"suffix":""},{"dropping-particle":"","family":"Kamdje","given":"Armel Hervé Nwabo","non-dropping-particle":"","parse-names":false,"suffix":""},{"dropping-particle":"","family":"Vecchio","given":"Lorella","non-dropping-particle":"","parse-names":false,"suffix":""},{"dropping-particle":"","family":"Kipanyula","given":"Maulilio John","non-dropping-particle":"","parse-names":false,"suffix":""},{"dropping-particle":"","family":"Farahna","given":"Mohammed","non-dropping-particle":"","parse-names":false,"suffix":""},{"dropping-particle":"","family":"Aldebasi","given":"Yousef","non-dropping-particle":"","parse-names":false,"suffix":""},{"dropping-particle":"","family":"Etet","given":"Paul Faustin Seke","non-dropping-particle":"","parse-names":false,"suffix":""}],"container-title":"Endocrine-Related Cancer","id":"ITEM-1","issue":"1","issued":{"date-parts":[["2013","2"]]},"publisher":"Endocr Relat Cancer","title":"Insulin resistance and cancer: The role of insulin and IGFs","type":"article","volume":"20"},"uris":["http://www.mendeley.com/documents/?uuid=7d4ebf73-a911-37c2-a998-9da7197472f7"]}],"mendeley":{"formattedCitation":"(Djiogue &lt;i&gt;et al.&lt;/i&gt;, 2013)","plainTextFormattedCitation":"(Djiogue et al., 2013)","previouslyFormattedCitation":"(Djiogue &lt;i&gt;et al.&lt;/i&gt;, 2013)"},"properties":{"noteIndex":0},"schema":"https://github.com/citation-style-language/schema/raw/master/csl-citation.json"}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(Djiogue </w:t>
      </w:r>
      <w:r w:rsidRPr="0035519F">
        <w:rPr>
          <w:rFonts w:ascii="Arial" w:hAnsi="Arial" w:cs="Arial"/>
          <w:i/>
          <w:noProof/>
          <w:sz w:val="24"/>
          <w:szCs w:val="24"/>
        </w:rPr>
        <w:t>et al.</w:t>
      </w:r>
      <w:r w:rsidRPr="0035519F">
        <w:rPr>
          <w:rFonts w:ascii="Arial" w:hAnsi="Arial" w:cs="Arial"/>
          <w:noProof/>
          <w:sz w:val="24"/>
          <w:szCs w:val="24"/>
        </w:rPr>
        <w:t>, 2013)</w:t>
      </w:r>
      <w:r w:rsidRPr="0035519F">
        <w:rPr>
          <w:rFonts w:ascii="Arial" w:hAnsi="Arial" w:cs="Arial"/>
          <w:sz w:val="24"/>
          <w:szCs w:val="24"/>
        </w:rPr>
        <w:fldChar w:fldCharType="end"/>
      </w:r>
    </w:p>
    <w:p w14:paraId="2D43EE95" w14:textId="77777777" w:rsidR="009E7672" w:rsidRPr="0035519F" w:rsidRDefault="00713F6B" w:rsidP="009E7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426"/>
        <w:jc w:val="both"/>
        <w:rPr>
          <w:rFonts w:ascii="Arial" w:eastAsia="Times New Roman" w:hAnsi="Arial" w:cs="Arial"/>
          <w:sz w:val="24"/>
          <w:szCs w:val="24"/>
        </w:rPr>
      </w:pPr>
      <w:r w:rsidRPr="0035519F">
        <w:rPr>
          <w:rFonts w:ascii="Arial" w:eastAsia="Times New Roman" w:hAnsi="Arial" w:cs="Arial"/>
          <w:sz w:val="24"/>
          <w:szCs w:val="24"/>
        </w:rPr>
        <w:t>.</w:t>
      </w:r>
    </w:p>
    <w:p w14:paraId="629CAA55" w14:textId="77777777" w:rsidR="007757AB" w:rsidRPr="0035519F" w:rsidRDefault="007757AB" w:rsidP="00304D34">
      <w:pPr>
        <w:pStyle w:val="Heading1"/>
        <w:rPr>
          <w:rFonts w:cs="Arial"/>
          <w:color w:val="auto"/>
          <w:sz w:val="28"/>
          <w:szCs w:val="28"/>
        </w:rPr>
      </w:pPr>
      <w:bookmarkStart w:id="52" w:name="_Toc111022769"/>
      <w:r w:rsidRPr="0035519F">
        <w:rPr>
          <w:rFonts w:cs="Arial"/>
          <w:color w:val="auto"/>
          <w:sz w:val="28"/>
          <w:szCs w:val="28"/>
        </w:rPr>
        <w:lastRenderedPageBreak/>
        <w:t>BAB III</w:t>
      </w:r>
      <w:bookmarkEnd w:id="52"/>
    </w:p>
    <w:p w14:paraId="2F3F6F46" w14:textId="77777777" w:rsidR="007757AB" w:rsidRPr="0035519F" w:rsidRDefault="007757AB" w:rsidP="00304D34">
      <w:pPr>
        <w:pStyle w:val="Heading1"/>
        <w:rPr>
          <w:color w:val="auto"/>
        </w:rPr>
      </w:pPr>
      <w:bookmarkStart w:id="53" w:name="_Toc111022770"/>
      <w:r w:rsidRPr="0035519F">
        <w:rPr>
          <w:rFonts w:cs="Arial"/>
          <w:color w:val="auto"/>
          <w:sz w:val="28"/>
          <w:szCs w:val="28"/>
        </w:rPr>
        <w:t>KERANGKA PENELITIAN</w:t>
      </w:r>
      <w:r w:rsidRPr="0035519F">
        <w:rPr>
          <w:color w:val="auto"/>
        </w:rPr>
        <w:t xml:space="preserve">  </w:t>
      </w:r>
      <w:bookmarkEnd w:id="53"/>
    </w:p>
    <w:p w14:paraId="2F9C9597" w14:textId="77777777" w:rsidR="00304D34" w:rsidRPr="0035519F" w:rsidRDefault="00304D34" w:rsidP="00304D34"/>
    <w:p w14:paraId="25238E6F" w14:textId="77777777" w:rsidR="007B3304" w:rsidRPr="0035519F" w:rsidRDefault="007B3304" w:rsidP="00304D34"/>
    <w:bookmarkStart w:id="54" w:name="_Toc111022771"/>
    <w:p w14:paraId="601C043A" w14:textId="77777777" w:rsidR="007B3304" w:rsidRPr="0035519F" w:rsidRDefault="007757AB" w:rsidP="007B3304">
      <w:pPr>
        <w:pStyle w:val="ListParagraph"/>
        <w:numPr>
          <w:ilvl w:val="0"/>
          <w:numId w:val="27"/>
        </w:numPr>
        <w:spacing w:after="0" w:line="480" w:lineRule="auto"/>
        <w:ind w:left="426" w:hanging="426"/>
        <w:jc w:val="center"/>
        <w:outlineLvl w:val="1"/>
        <w:rPr>
          <w:rFonts w:ascii="Arial" w:hAnsi="Arial" w:cs="Arial"/>
          <w:b/>
          <w:sz w:val="24"/>
          <w:szCs w:val="24"/>
        </w:rPr>
      </w:pPr>
      <w:r w:rsidRPr="0035519F">
        <w:rPr>
          <w:rFonts w:ascii="Arial" w:hAnsi="Arial" w:cs="Arial"/>
          <w:b/>
          <w:noProof/>
          <w:sz w:val="28"/>
          <w:szCs w:val="28"/>
        </w:rPr>
        <mc:AlternateContent>
          <mc:Choice Requires="wps">
            <w:drawing>
              <wp:anchor distT="0" distB="0" distL="114300" distR="114300" simplePos="0" relativeHeight="251673600" behindDoc="0" locked="0" layoutInCell="1" allowOverlap="1" wp14:anchorId="46D22889" wp14:editId="0769F899">
                <wp:simplePos x="0" y="0"/>
                <wp:positionH relativeFrom="column">
                  <wp:posOffset>-392430</wp:posOffset>
                </wp:positionH>
                <wp:positionV relativeFrom="paragraph">
                  <wp:posOffset>223520</wp:posOffset>
                </wp:positionV>
                <wp:extent cx="1743075" cy="2019300"/>
                <wp:effectExtent l="0" t="0" r="28575" b="19050"/>
                <wp:wrapNone/>
                <wp:docPr id="244" name="Rectangle 244"/>
                <wp:cNvGraphicFramePr/>
                <a:graphic xmlns:a="http://schemas.openxmlformats.org/drawingml/2006/main">
                  <a:graphicData uri="http://schemas.microsoft.com/office/word/2010/wordprocessingShape">
                    <wps:wsp>
                      <wps:cNvSpPr/>
                      <wps:spPr>
                        <a:xfrm>
                          <a:off x="0" y="0"/>
                          <a:ext cx="1743075" cy="20193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1A98D850" w14:textId="7323F598" w:rsidR="00CE38BD" w:rsidRPr="007B3304" w:rsidRDefault="00CE38BD" w:rsidP="007B3304">
                            <w:pPr>
                              <w:spacing w:after="0" w:line="240" w:lineRule="auto"/>
                              <w:rPr>
                                <w:rFonts w:ascii="Arial" w:hAnsi="Arial" w:cs="Arial"/>
                                <w:b/>
                              </w:rPr>
                            </w:pPr>
                            <w:r>
                              <w:rPr>
                                <w:rFonts w:ascii="Arial" w:hAnsi="Arial" w:cs="Arial"/>
                                <w:b/>
                              </w:rPr>
                              <w:t xml:space="preserve">Dewasa </w:t>
                            </w:r>
                            <w:r w:rsidRPr="007B3304">
                              <w:rPr>
                                <w:rFonts w:ascii="Arial" w:hAnsi="Arial" w:cs="Arial"/>
                                <w:b/>
                              </w:rPr>
                              <w:t>Non DM</w:t>
                            </w:r>
                          </w:p>
                          <w:p w14:paraId="74AF2B9B"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Usia Dewasa Muda</w:t>
                            </w:r>
                          </w:p>
                          <w:p w14:paraId="7F28E280" w14:textId="1311A6E8" w:rsidR="00CE38BD" w:rsidRPr="007B3304" w:rsidRDefault="00CE38BD" w:rsidP="002C5221">
                            <w:pPr>
                              <w:pStyle w:val="ListParagraph"/>
                              <w:numPr>
                                <w:ilvl w:val="0"/>
                                <w:numId w:val="44"/>
                              </w:numPr>
                              <w:spacing w:after="0" w:line="240" w:lineRule="auto"/>
                              <w:ind w:left="180" w:hanging="180"/>
                              <w:rPr>
                                <w:rFonts w:ascii="Arial" w:hAnsi="Arial" w:cs="Arial"/>
                              </w:rPr>
                            </w:pPr>
                            <w:r>
                              <w:rPr>
                                <w:rFonts w:ascii="Arial" w:hAnsi="Arial" w:cs="Arial"/>
                              </w:rPr>
                              <w:t xml:space="preserve">Jenis Kelamin </w:t>
                            </w:r>
                          </w:p>
                          <w:p w14:paraId="5E8638D1"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Gen obesitas </w:t>
                            </w:r>
                            <w:r w:rsidRPr="007B3304">
                              <w:rPr>
                                <w:rFonts w:ascii="Arial" w:hAnsi="Arial" w:cs="Arial"/>
                              </w:rPr>
                              <w:br/>
                              <w:t>Hormon seks (estradiol,  testosteron)</w:t>
                            </w:r>
                          </w:p>
                          <w:p w14:paraId="5E3E8E8E"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Pola Diet </w:t>
                            </w:r>
                          </w:p>
                          <w:p w14:paraId="20EFB541"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Gaya Hidup </w:t>
                            </w:r>
                            <w:r w:rsidRPr="007B3304">
                              <w:rPr>
                                <w:rFonts w:ascii="Arial" w:hAnsi="Arial" w:cs="Arial"/>
                                <w:i/>
                              </w:rPr>
                              <w:t>Sedentary</w:t>
                            </w:r>
                            <w:r w:rsidRPr="007B3304">
                              <w:rPr>
                                <w:rFonts w:ascii="Arial" w:hAnsi="Arial" w:cs="Arial"/>
                              </w:rPr>
                              <w:t xml:space="preserve"> </w:t>
                            </w:r>
                          </w:p>
                          <w:p w14:paraId="27094606"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Hormon lain (Tiroksin, GH &amp; Glukokortikoid</w:t>
                            </w:r>
                          </w:p>
                          <w:p w14:paraId="29D00BA1" w14:textId="77777777" w:rsidR="00CE38BD" w:rsidRDefault="00CE38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22889" id="Rectangle 244" o:spid="_x0000_s1026" style="position:absolute;left:0;text-align:left;margin-left:-30.9pt;margin-top:17.6pt;width:137.25pt;height:1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" filled="f" strokecolor="black [3200]" strokeweight="1pt">
                <v:textbox>
                  <w:txbxContent>
                    <w:p w14:paraId="1A98D850" w14:textId="7323F598" w:rsidR="00CE38BD" w:rsidRPr="007B3304" w:rsidRDefault="00CE38BD" w:rsidP="007B3304">
                      <w:pPr>
                        <w:spacing w:after="0" w:line="240" w:lineRule="auto"/>
                        <w:rPr>
                          <w:rFonts w:ascii="Arial" w:hAnsi="Arial" w:cs="Arial"/>
                          <w:b/>
                        </w:rPr>
                      </w:pPr>
                      <w:r>
                        <w:rPr>
                          <w:rFonts w:ascii="Arial" w:hAnsi="Arial" w:cs="Arial"/>
                          <w:b/>
                        </w:rPr>
                        <w:t xml:space="preserve">Dewasa </w:t>
                      </w:r>
                      <w:r w:rsidRPr="007B3304">
                        <w:rPr>
                          <w:rFonts w:ascii="Arial" w:hAnsi="Arial" w:cs="Arial"/>
                          <w:b/>
                        </w:rPr>
                        <w:t>Non DM</w:t>
                      </w:r>
                    </w:p>
                    <w:p w14:paraId="74AF2B9B"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Usia Dewasa Muda</w:t>
                      </w:r>
                    </w:p>
                    <w:p w14:paraId="7F28E280" w14:textId="1311A6E8" w:rsidR="00CE38BD" w:rsidRPr="007B3304" w:rsidRDefault="00CE38BD" w:rsidP="002C5221">
                      <w:pPr>
                        <w:pStyle w:val="ListParagraph"/>
                        <w:numPr>
                          <w:ilvl w:val="0"/>
                          <w:numId w:val="44"/>
                        </w:numPr>
                        <w:spacing w:after="0" w:line="240" w:lineRule="auto"/>
                        <w:ind w:left="180" w:hanging="180"/>
                        <w:rPr>
                          <w:rFonts w:ascii="Arial" w:hAnsi="Arial" w:cs="Arial"/>
                        </w:rPr>
                      </w:pPr>
                      <w:r>
                        <w:rPr>
                          <w:rFonts w:ascii="Arial" w:hAnsi="Arial" w:cs="Arial"/>
                        </w:rPr>
                        <w:t xml:space="preserve">Jenis Kelamin </w:t>
                      </w:r>
                    </w:p>
                    <w:p w14:paraId="5E8638D1"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Gen obesitas </w:t>
                      </w:r>
                      <w:r w:rsidRPr="007B3304">
                        <w:rPr>
                          <w:rFonts w:ascii="Arial" w:hAnsi="Arial" w:cs="Arial"/>
                        </w:rPr>
                        <w:br/>
                        <w:t>Hormon seks (estradiol,  testosteron)</w:t>
                      </w:r>
                    </w:p>
                    <w:p w14:paraId="5E3E8E8E"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Pola Diet </w:t>
                      </w:r>
                    </w:p>
                    <w:p w14:paraId="20EFB541"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 xml:space="preserve">Gaya Hidup </w:t>
                      </w:r>
                      <w:r w:rsidRPr="007B3304">
                        <w:rPr>
                          <w:rFonts w:ascii="Arial" w:hAnsi="Arial" w:cs="Arial"/>
                          <w:i/>
                        </w:rPr>
                        <w:t>Sedentary</w:t>
                      </w:r>
                      <w:r w:rsidRPr="007B3304">
                        <w:rPr>
                          <w:rFonts w:ascii="Arial" w:hAnsi="Arial" w:cs="Arial"/>
                        </w:rPr>
                        <w:t xml:space="preserve"> </w:t>
                      </w:r>
                    </w:p>
                    <w:p w14:paraId="27094606" w14:textId="77777777" w:rsidR="00CE38BD" w:rsidRPr="007B3304" w:rsidRDefault="00CE38BD" w:rsidP="002C5221">
                      <w:pPr>
                        <w:pStyle w:val="ListParagraph"/>
                        <w:numPr>
                          <w:ilvl w:val="0"/>
                          <w:numId w:val="44"/>
                        </w:numPr>
                        <w:spacing w:after="0" w:line="240" w:lineRule="auto"/>
                        <w:ind w:left="180" w:hanging="180"/>
                        <w:rPr>
                          <w:rFonts w:ascii="Arial" w:hAnsi="Arial" w:cs="Arial"/>
                        </w:rPr>
                      </w:pPr>
                      <w:r w:rsidRPr="007B3304">
                        <w:rPr>
                          <w:rFonts w:ascii="Arial" w:hAnsi="Arial" w:cs="Arial"/>
                        </w:rPr>
                        <w:t>Hormon lain (Tiroksin, GH &amp; Glukokortikoid</w:t>
                      </w:r>
                    </w:p>
                    <w:p w14:paraId="29D00BA1" w14:textId="77777777" w:rsidR="00CE38BD" w:rsidRDefault="00CE38BD"/>
                  </w:txbxContent>
                </v:textbox>
              </v:rect>
            </w:pict>
          </mc:Fallback>
        </mc:AlternateContent>
      </w:r>
      <w:r w:rsidRPr="0035519F">
        <w:rPr>
          <w:rFonts w:ascii="Arial" w:hAnsi="Arial" w:cs="Arial"/>
          <w:b/>
          <w:sz w:val="24"/>
          <w:szCs w:val="24"/>
        </w:rPr>
        <w:t>Kerangka Teori</w:t>
      </w:r>
      <w:bookmarkEnd w:id="54"/>
      <w:r w:rsidRPr="0035519F">
        <w:rPr>
          <w:rFonts w:ascii="Arial" w:hAnsi="Arial" w:cs="Arial"/>
          <w:b/>
          <w:sz w:val="24"/>
          <w:szCs w:val="24"/>
        </w:rPr>
        <w:t xml:space="preserve"> </w:t>
      </w:r>
    </w:p>
    <w:p w14:paraId="2DDAFEFC" w14:textId="77777777" w:rsidR="007757AB" w:rsidRPr="0035519F" w:rsidRDefault="007226C6" w:rsidP="007757AB">
      <w:pPr>
        <w:spacing w:after="0" w:line="480" w:lineRule="auto"/>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959296" behindDoc="0" locked="0" layoutInCell="1" allowOverlap="1" wp14:anchorId="33BA1B1F" wp14:editId="05AF5021">
                <wp:simplePos x="0" y="0"/>
                <wp:positionH relativeFrom="column">
                  <wp:posOffset>1350645</wp:posOffset>
                </wp:positionH>
                <wp:positionV relativeFrom="paragraph">
                  <wp:posOffset>273050</wp:posOffset>
                </wp:positionV>
                <wp:extent cx="314325" cy="0"/>
                <wp:effectExtent l="0" t="76200" r="9525" b="95250"/>
                <wp:wrapNone/>
                <wp:docPr id="53" name="Straight Arrow Connector 53"/>
                <wp:cNvGraphicFramePr/>
                <a:graphic xmlns:a="http://schemas.openxmlformats.org/drawingml/2006/main">
                  <a:graphicData uri="http://schemas.microsoft.com/office/word/2010/wordprocessingShape">
                    <wps:wsp>
                      <wps:cNvCnPr/>
                      <wps:spPr>
                        <a:xfrm>
                          <a:off x="0" y="0"/>
                          <a:ext cx="3143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EB05AC" id="_x0000_t32" coordsize="21600,21600" o:spt="32" o:oned="t" path="m,l21600,21600e" filled="f">
                <v:path arrowok="t" fillok="f" o:connecttype="none"/>
                <o:lock v:ext="edit" shapetype="t"/>
              </v:shapetype>
              <v:shape id="Straight Arrow Connector 53" o:spid="_x0000_s1026" type="#_x0000_t32" style="position:absolute;margin-left:106.35pt;margin-top:21.5pt;width:24.75pt;height:0;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" strokecolor="black [3200]" strokeweight=".5pt">
                <v:stroke endarrow="block" joinstyle="miter"/>
              </v:shape>
            </w:pict>
          </mc:Fallback>
        </mc:AlternateContent>
      </w:r>
      <w:r w:rsidR="005E7122" w:rsidRPr="0035519F">
        <w:rPr>
          <w:rFonts w:ascii="Arial" w:hAnsi="Arial" w:cs="Arial"/>
          <w:b/>
          <w:noProof/>
          <w:sz w:val="24"/>
          <w:szCs w:val="24"/>
        </w:rPr>
        <mc:AlternateContent>
          <mc:Choice Requires="wps">
            <w:drawing>
              <wp:anchor distT="0" distB="0" distL="114300" distR="114300" simplePos="0" relativeHeight="251675648" behindDoc="0" locked="0" layoutInCell="1" allowOverlap="1" wp14:anchorId="3A696431" wp14:editId="78357F58">
                <wp:simplePos x="0" y="0"/>
                <wp:positionH relativeFrom="column">
                  <wp:posOffset>1660525</wp:posOffset>
                </wp:positionH>
                <wp:positionV relativeFrom="paragraph">
                  <wp:posOffset>83185</wp:posOffset>
                </wp:positionV>
                <wp:extent cx="1828800" cy="435935"/>
                <wp:effectExtent l="0" t="0" r="19050" b="21590"/>
                <wp:wrapNone/>
                <wp:docPr id="246" name="Rectangle 246"/>
                <wp:cNvGraphicFramePr/>
                <a:graphic xmlns:a="http://schemas.openxmlformats.org/drawingml/2006/main">
                  <a:graphicData uri="http://schemas.microsoft.com/office/word/2010/wordprocessingShape">
                    <wps:wsp>
                      <wps:cNvSpPr/>
                      <wps:spPr>
                        <a:xfrm>
                          <a:off x="0" y="0"/>
                          <a:ext cx="1828800" cy="4359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12BD83FD" w14:textId="77777777" w:rsidR="00CE38BD" w:rsidRPr="009A64C7" w:rsidRDefault="00CE38BD" w:rsidP="009A64C7">
                            <w:pPr>
                              <w:spacing w:after="0" w:line="240" w:lineRule="auto"/>
                              <w:jc w:val="center"/>
                              <w:rPr>
                                <w:rFonts w:ascii="Arial" w:hAnsi="Arial" w:cs="Arial"/>
                              </w:rPr>
                            </w:pPr>
                            <w:r>
                              <w:rPr>
                                <w:rFonts w:ascii="Arial" w:hAnsi="Arial" w:cs="Arial"/>
                              </w:rPr>
                              <w:t>Hipertrofi a</w:t>
                            </w:r>
                            <w:r w:rsidRPr="009A64C7">
                              <w:rPr>
                                <w:rFonts w:ascii="Arial" w:hAnsi="Arial" w:cs="Arial"/>
                              </w:rPr>
                              <w:t>di</w:t>
                            </w:r>
                            <w:r>
                              <w:rPr>
                                <w:rFonts w:ascii="Arial" w:hAnsi="Arial" w:cs="Arial"/>
                              </w:rPr>
                              <w:t>posit, A</w:t>
                            </w:r>
                            <w:r w:rsidRPr="009A64C7">
                              <w:rPr>
                                <w:rFonts w:ascii="Arial" w:hAnsi="Arial" w:cs="Arial"/>
                              </w:rPr>
                              <w:t xml:space="preserve">kumulasi lemak visceral </w:t>
                            </w:r>
                          </w:p>
                          <w:p w14:paraId="0B7D3CA2" w14:textId="77777777" w:rsidR="00CE38BD" w:rsidRPr="00FD623A" w:rsidRDefault="00CE38BD" w:rsidP="009A64C7">
                            <w:pPr>
                              <w:spacing w:after="0" w:line="240" w:lineRule="auto"/>
                              <w:jc w:val="center"/>
                              <w:rPr>
                                <w:rFonts w:ascii="Arial" w:hAnsi="Arial" w:cs="Arial"/>
                              </w:rPr>
                            </w:pPr>
                            <w:r w:rsidRPr="009A64C7">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96431" id="Rectangle 246" o:spid="_x0000_s1027" style="position:absolute;margin-left:130.75pt;margin-top:6.55pt;width:2in;height:3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" filled="f" strokecolor="black [3200]" strokeweight="1pt">
                <v:textbox>
                  <w:txbxContent>
                    <w:p w14:paraId="12BD83FD" w14:textId="77777777" w:rsidR="00CE38BD" w:rsidRPr="009A64C7" w:rsidRDefault="00CE38BD" w:rsidP="009A64C7">
                      <w:pPr>
                        <w:spacing w:after="0" w:line="240" w:lineRule="auto"/>
                        <w:jc w:val="center"/>
                        <w:rPr>
                          <w:rFonts w:ascii="Arial" w:hAnsi="Arial" w:cs="Arial"/>
                        </w:rPr>
                      </w:pPr>
                      <w:r>
                        <w:rPr>
                          <w:rFonts w:ascii="Arial" w:hAnsi="Arial" w:cs="Arial"/>
                        </w:rPr>
                        <w:t>Hipertrofi a</w:t>
                      </w:r>
                      <w:r w:rsidRPr="009A64C7">
                        <w:rPr>
                          <w:rFonts w:ascii="Arial" w:hAnsi="Arial" w:cs="Arial"/>
                        </w:rPr>
                        <w:t>di</w:t>
                      </w:r>
                      <w:r>
                        <w:rPr>
                          <w:rFonts w:ascii="Arial" w:hAnsi="Arial" w:cs="Arial"/>
                        </w:rPr>
                        <w:t>posit, A</w:t>
                      </w:r>
                      <w:r w:rsidRPr="009A64C7">
                        <w:rPr>
                          <w:rFonts w:ascii="Arial" w:hAnsi="Arial" w:cs="Arial"/>
                        </w:rPr>
                        <w:t xml:space="preserve">kumulasi lemak visceral </w:t>
                      </w:r>
                    </w:p>
                    <w:p w14:paraId="0B7D3CA2" w14:textId="77777777" w:rsidR="00CE38BD" w:rsidRPr="00FD623A" w:rsidRDefault="00CE38BD" w:rsidP="009A64C7">
                      <w:pPr>
                        <w:spacing w:after="0" w:line="240" w:lineRule="auto"/>
                        <w:jc w:val="center"/>
                        <w:rPr>
                          <w:rFonts w:ascii="Arial" w:hAnsi="Arial" w:cs="Arial"/>
                        </w:rPr>
                      </w:pPr>
                      <w:r w:rsidRPr="009A64C7">
                        <w:rPr>
                          <w:rFonts w:ascii="Arial" w:hAnsi="Arial" w:cs="Arial"/>
                        </w:rPr>
                        <w:t xml:space="preserve"> </w:t>
                      </w:r>
                    </w:p>
                  </w:txbxContent>
                </v:textbox>
              </v:rect>
            </w:pict>
          </mc:Fallback>
        </mc:AlternateContent>
      </w:r>
    </w:p>
    <w:p w14:paraId="4574E230" w14:textId="77777777" w:rsidR="007757AB" w:rsidRPr="0035519F" w:rsidRDefault="005E7122"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867136" behindDoc="0" locked="0" layoutInCell="1" allowOverlap="1" wp14:anchorId="13AFF119" wp14:editId="5FC11B34">
                <wp:simplePos x="0" y="0"/>
                <wp:positionH relativeFrom="column">
                  <wp:posOffset>2584450</wp:posOffset>
                </wp:positionH>
                <wp:positionV relativeFrom="paragraph">
                  <wp:posOffset>177800</wp:posOffset>
                </wp:positionV>
                <wp:extent cx="0" cy="250825"/>
                <wp:effectExtent l="76200" t="0" r="57150" b="53975"/>
                <wp:wrapNone/>
                <wp:docPr id="231" name="Straight Arrow Connector 231"/>
                <wp:cNvGraphicFramePr/>
                <a:graphic xmlns:a="http://schemas.openxmlformats.org/drawingml/2006/main">
                  <a:graphicData uri="http://schemas.microsoft.com/office/word/2010/wordprocessingShape">
                    <wps:wsp>
                      <wps:cNvCnPr/>
                      <wps:spPr>
                        <a:xfrm>
                          <a:off x="0" y="0"/>
                          <a:ext cx="0" cy="250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53E9A5" id="Straight Arrow Connector 231" o:spid="_x0000_s1026" type="#_x0000_t32" style="position:absolute;margin-left:203.5pt;margin-top:14pt;width:0;height:19.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" strokecolor="black [3200]" strokeweight=".5pt">
                <v:stroke endarrow="block" joinstyle="miter"/>
              </v:shape>
            </w:pict>
          </mc:Fallback>
        </mc:AlternateContent>
      </w:r>
    </w:p>
    <w:p w14:paraId="301620B5" w14:textId="77777777" w:rsidR="00F066BC" w:rsidRPr="0035519F" w:rsidRDefault="003A41D3"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674624" behindDoc="0" locked="0" layoutInCell="1" allowOverlap="1" wp14:anchorId="0E3D92E7" wp14:editId="6B3968CE">
                <wp:simplePos x="0" y="0"/>
                <wp:positionH relativeFrom="column">
                  <wp:posOffset>1946275</wp:posOffset>
                </wp:positionH>
                <wp:positionV relativeFrom="paragraph">
                  <wp:posOffset>106045</wp:posOffset>
                </wp:positionV>
                <wp:extent cx="1257300" cy="276225"/>
                <wp:effectExtent l="0" t="0" r="19050" b="28575"/>
                <wp:wrapNone/>
                <wp:docPr id="245" name="Rectangle 245"/>
                <wp:cNvGraphicFramePr/>
                <a:graphic xmlns:a="http://schemas.openxmlformats.org/drawingml/2006/main">
                  <a:graphicData uri="http://schemas.microsoft.com/office/word/2010/wordprocessingShape">
                    <wps:wsp>
                      <wps:cNvSpPr/>
                      <wps:spPr>
                        <a:xfrm>
                          <a:off x="0" y="0"/>
                          <a:ext cx="1257300" cy="276225"/>
                        </a:xfrm>
                        <a:prstGeom prst="rect">
                          <a:avLst/>
                        </a:prstGeom>
                        <a:noFill/>
                      </wps:spPr>
                      <wps:style>
                        <a:lnRef idx="2">
                          <a:schemeClr val="dk1"/>
                        </a:lnRef>
                        <a:fillRef idx="1">
                          <a:schemeClr val="lt1"/>
                        </a:fillRef>
                        <a:effectRef idx="0">
                          <a:schemeClr val="dk1"/>
                        </a:effectRef>
                        <a:fontRef idx="minor">
                          <a:schemeClr val="dk1"/>
                        </a:fontRef>
                      </wps:style>
                      <wps:txbx>
                        <w:txbxContent>
                          <w:p w14:paraId="31EE4594" w14:textId="77777777" w:rsidR="00CE38BD" w:rsidRPr="00FD623A" w:rsidRDefault="00CE38BD" w:rsidP="007757AB">
                            <w:pPr>
                              <w:spacing w:after="0" w:line="240" w:lineRule="auto"/>
                              <w:jc w:val="center"/>
                              <w:rPr>
                                <w:rFonts w:ascii="Arial" w:hAnsi="Arial" w:cs="Arial"/>
                              </w:rPr>
                            </w:pPr>
                            <w:r w:rsidRPr="00FD623A">
                              <w:rPr>
                                <w:rFonts w:ascii="Arial" w:hAnsi="Arial" w:cs="Arial"/>
                              </w:rPr>
                              <w:t>Obesitas</w:t>
                            </w:r>
                            <w:r>
                              <w:rPr>
                                <w:rFonts w:ascii="Arial" w:hAnsi="Arial" w:cs="Arial"/>
                              </w:rPr>
                              <w:t xml:space="preserve"> Sentral</w:t>
                            </w:r>
                            <w:r w:rsidRPr="00FD623A">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D92E7" id="Rectangle 245" o:spid="_x0000_s1028" style="position:absolute;left:0;text-align:left;margin-left:153.25pt;margin-top:8.35pt;width:99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" filled="f" strokecolor="black [3200]" strokeweight="1pt">
                <v:textbox>
                  <w:txbxContent>
                    <w:p w14:paraId="31EE4594" w14:textId="77777777" w:rsidR="00CE38BD" w:rsidRPr="00FD623A" w:rsidRDefault="00CE38BD" w:rsidP="007757AB">
                      <w:pPr>
                        <w:spacing w:after="0" w:line="240" w:lineRule="auto"/>
                        <w:jc w:val="center"/>
                        <w:rPr>
                          <w:rFonts w:ascii="Arial" w:hAnsi="Arial" w:cs="Arial"/>
                        </w:rPr>
                      </w:pPr>
                      <w:r w:rsidRPr="00FD623A">
                        <w:rPr>
                          <w:rFonts w:ascii="Arial" w:hAnsi="Arial" w:cs="Arial"/>
                        </w:rPr>
                        <w:t>Obesitas</w:t>
                      </w:r>
                      <w:r>
                        <w:rPr>
                          <w:rFonts w:ascii="Arial" w:hAnsi="Arial" w:cs="Arial"/>
                        </w:rPr>
                        <w:t xml:space="preserve"> Sentral</w:t>
                      </w:r>
                      <w:r w:rsidRPr="00FD623A">
                        <w:rPr>
                          <w:rFonts w:ascii="Arial" w:hAnsi="Arial" w:cs="Arial"/>
                        </w:rPr>
                        <w:t xml:space="preserve"> </w:t>
                      </w:r>
                    </w:p>
                  </w:txbxContent>
                </v:textbox>
              </v:rect>
            </w:pict>
          </mc:Fallback>
        </mc:AlternateContent>
      </w:r>
    </w:p>
    <w:p w14:paraId="5BF18E5A" w14:textId="77777777" w:rsidR="00FD5E33" w:rsidRPr="0035519F" w:rsidRDefault="005E7122"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684864" behindDoc="0" locked="0" layoutInCell="1" allowOverlap="1" wp14:anchorId="14768C38" wp14:editId="22EDEAAE">
                <wp:simplePos x="0" y="0"/>
                <wp:positionH relativeFrom="column">
                  <wp:posOffset>1807845</wp:posOffset>
                </wp:positionH>
                <wp:positionV relativeFrom="paragraph">
                  <wp:posOffset>317500</wp:posOffset>
                </wp:positionV>
                <wp:extent cx="1581150" cy="523875"/>
                <wp:effectExtent l="0" t="0" r="19050" b="28575"/>
                <wp:wrapNone/>
                <wp:docPr id="248" name="Rectangle 248"/>
                <wp:cNvGraphicFramePr/>
                <a:graphic xmlns:a="http://schemas.openxmlformats.org/drawingml/2006/main">
                  <a:graphicData uri="http://schemas.microsoft.com/office/word/2010/wordprocessingShape">
                    <wps:wsp>
                      <wps:cNvSpPr/>
                      <wps:spPr>
                        <a:xfrm>
                          <a:off x="0" y="0"/>
                          <a:ext cx="1581150" cy="523875"/>
                        </a:xfrm>
                        <a:prstGeom prst="rect">
                          <a:avLst/>
                        </a:prstGeom>
                        <a:noFill/>
                      </wps:spPr>
                      <wps:style>
                        <a:lnRef idx="2">
                          <a:schemeClr val="dk1"/>
                        </a:lnRef>
                        <a:fillRef idx="1">
                          <a:schemeClr val="lt1"/>
                        </a:fillRef>
                        <a:effectRef idx="0">
                          <a:schemeClr val="dk1"/>
                        </a:effectRef>
                        <a:fontRef idx="minor">
                          <a:schemeClr val="dk1"/>
                        </a:fontRef>
                      </wps:style>
                      <wps:txbx>
                        <w:txbxContent>
                          <w:p w14:paraId="409C731D" w14:textId="77777777" w:rsidR="00CE38BD" w:rsidRPr="00FD623A" w:rsidRDefault="00CE38BD" w:rsidP="007757AB">
                            <w:pPr>
                              <w:spacing w:after="0" w:line="240" w:lineRule="auto"/>
                              <w:jc w:val="center"/>
                              <w:rPr>
                                <w:rFonts w:ascii="Arial" w:hAnsi="Arial" w:cs="Arial"/>
                              </w:rPr>
                            </w:pPr>
                            <w:r>
                              <w:rPr>
                                <w:rFonts w:ascii="Arial" w:hAnsi="Arial" w:cs="Arial"/>
                              </w:rPr>
                              <w:t>Mekanisme inflamasi pada adiposit viseral</w:t>
                            </w:r>
                            <w:r w:rsidRPr="00FD623A">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68C38" id="Rectangle 248" o:spid="_x0000_s1029" style="position:absolute;left:0;text-align:left;margin-left:142.35pt;margin-top:25pt;width:124.5pt;height:4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" filled="f" strokecolor="black [3200]" strokeweight="1pt">
                <v:textbox>
                  <w:txbxContent>
                    <w:p w14:paraId="409C731D" w14:textId="77777777" w:rsidR="00CE38BD" w:rsidRPr="00FD623A" w:rsidRDefault="00CE38BD" w:rsidP="007757AB">
                      <w:pPr>
                        <w:spacing w:after="0" w:line="240" w:lineRule="auto"/>
                        <w:jc w:val="center"/>
                        <w:rPr>
                          <w:rFonts w:ascii="Arial" w:hAnsi="Arial" w:cs="Arial"/>
                        </w:rPr>
                      </w:pPr>
                      <w:r>
                        <w:rPr>
                          <w:rFonts w:ascii="Arial" w:hAnsi="Arial" w:cs="Arial"/>
                        </w:rPr>
                        <w:t>Mekanisme inflamasi pada adiposit viseral</w:t>
                      </w:r>
                      <w:r w:rsidRPr="00FD623A">
                        <w:rPr>
                          <w:rFonts w:ascii="Arial" w:hAnsi="Arial" w:cs="Arial"/>
                        </w:rPr>
                        <w:t xml:space="preserve"> </w:t>
                      </w:r>
                    </w:p>
                  </w:txbxContent>
                </v:textbox>
              </v:rect>
            </w:pict>
          </mc:Fallback>
        </mc:AlternateContent>
      </w:r>
      <w:r w:rsidRPr="0035519F">
        <w:rPr>
          <w:rFonts w:ascii="Arial" w:hAnsi="Arial" w:cs="Arial"/>
          <w:b/>
          <w:noProof/>
          <w:sz w:val="24"/>
          <w:szCs w:val="24"/>
        </w:rPr>
        <mc:AlternateContent>
          <mc:Choice Requires="wps">
            <w:drawing>
              <wp:anchor distT="0" distB="0" distL="114300" distR="114300" simplePos="0" relativeHeight="251869184" behindDoc="0" locked="0" layoutInCell="1" allowOverlap="1" wp14:anchorId="1C50E0BE" wp14:editId="65CA9018">
                <wp:simplePos x="0" y="0"/>
                <wp:positionH relativeFrom="column">
                  <wp:posOffset>2584450</wp:posOffset>
                </wp:positionH>
                <wp:positionV relativeFrom="paragraph">
                  <wp:posOffset>42545</wp:posOffset>
                </wp:positionV>
                <wp:extent cx="0" cy="250825"/>
                <wp:effectExtent l="76200" t="0" r="57150" b="53975"/>
                <wp:wrapNone/>
                <wp:docPr id="235" name="Straight Arrow Connector 235"/>
                <wp:cNvGraphicFramePr/>
                <a:graphic xmlns:a="http://schemas.openxmlformats.org/drawingml/2006/main">
                  <a:graphicData uri="http://schemas.microsoft.com/office/word/2010/wordprocessingShape">
                    <wps:wsp>
                      <wps:cNvCnPr/>
                      <wps:spPr>
                        <a:xfrm>
                          <a:off x="0" y="0"/>
                          <a:ext cx="0" cy="250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6D0934" id="Straight Arrow Connector 235" o:spid="_x0000_s1026" type="#_x0000_t32" style="position:absolute;margin-left:203.5pt;margin-top:3.35pt;width:0;height:19.7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" strokecolor="black [3200]" strokeweight=".5pt">
                <v:stroke endarrow="block" joinstyle="miter"/>
              </v:shape>
            </w:pict>
          </mc:Fallback>
        </mc:AlternateContent>
      </w:r>
    </w:p>
    <w:p w14:paraId="5CEF014A" w14:textId="77777777" w:rsidR="007757AB" w:rsidRPr="0035519F" w:rsidRDefault="00D15B61" w:rsidP="00D15B61">
      <w:pPr>
        <w:tabs>
          <w:tab w:val="center" w:pos="3967"/>
          <w:tab w:val="left" w:pos="5745"/>
        </w:tabs>
        <w:spacing w:after="0" w:line="480" w:lineRule="auto"/>
        <w:rPr>
          <w:rFonts w:ascii="Arial" w:hAnsi="Arial" w:cs="Arial"/>
          <w:b/>
          <w:sz w:val="24"/>
          <w:szCs w:val="24"/>
        </w:rPr>
      </w:pPr>
      <w:r w:rsidRPr="0035519F">
        <w:rPr>
          <w:rFonts w:ascii="Arial" w:hAnsi="Arial" w:cs="Arial"/>
          <w:b/>
          <w:sz w:val="24"/>
          <w:szCs w:val="24"/>
        </w:rPr>
        <w:tab/>
      </w:r>
      <w:r w:rsidRPr="0035519F">
        <w:rPr>
          <w:rFonts w:ascii="Arial" w:hAnsi="Arial" w:cs="Arial"/>
          <w:b/>
          <w:sz w:val="24"/>
          <w:szCs w:val="24"/>
        </w:rPr>
        <w:tab/>
      </w:r>
    </w:p>
    <w:p w14:paraId="5811519E" w14:textId="77777777" w:rsidR="007B3304" w:rsidRPr="0035519F" w:rsidRDefault="007B330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960320" behindDoc="0" locked="0" layoutInCell="1" allowOverlap="1" wp14:anchorId="587A0EE0" wp14:editId="5D9999CA">
                <wp:simplePos x="0" y="0"/>
                <wp:positionH relativeFrom="column">
                  <wp:posOffset>2598420</wp:posOffset>
                </wp:positionH>
                <wp:positionV relativeFrom="paragraph">
                  <wp:posOffset>140335</wp:posOffset>
                </wp:positionV>
                <wp:extent cx="0" cy="409575"/>
                <wp:effectExtent l="76200" t="0" r="57150" b="47625"/>
                <wp:wrapNone/>
                <wp:docPr id="55" name="Straight Arrow Connector 55"/>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A17538" id="Straight Arrow Connector 55" o:spid="_x0000_s1026" type="#_x0000_t32" style="position:absolute;margin-left:204.6pt;margin-top:11.05pt;width:0;height:32.2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" strokecolor="black [3200]" strokeweight=".5pt">
                <v:stroke endarrow="block" joinstyle="miter"/>
              </v:shape>
            </w:pict>
          </mc:Fallback>
        </mc:AlternateContent>
      </w:r>
    </w:p>
    <w:p w14:paraId="2B74FD28" w14:textId="77777777" w:rsidR="007757AB" w:rsidRPr="0035519F" w:rsidRDefault="002825CA"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737088" behindDoc="0" locked="0" layoutInCell="1" allowOverlap="1" wp14:anchorId="49A8CD77" wp14:editId="6BDF2DFD">
                <wp:simplePos x="0" y="0"/>
                <wp:positionH relativeFrom="column">
                  <wp:posOffset>-330200</wp:posOffset>
                </wp:positionH>
                <wp:positionV relativeFrom="paragraph">
                  <wp:posOffset>197485</wp:posOffset>
                </wp:positionV>
                <wp:extent cx="1504950" cy="266700"/>
                <wp:effectExtent l="0" t="0" r="19050" b="19050"/>
                <wp:wrapNone/>
                <wp:docPr id="201" name="Rectangle 201"/>
                <wp:cNvGraphicFramePr/>
                <a:graphic xmlns:a="http://schemas.openxmlformats.org/drawingml/2006/main">
                  <a:graphicData uri="http://schemas.microsoft.com/office/word/2010/wordprocessingShape">
                    <wps:wsp>
                      <wps:cNvSpPr/>
                      <wps:spPr>
                        <a:xfrm>
                          <a:off x="0" y="0"/>
                          <a:ext cx="1504950" cy="2667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03F726E8" w14:textId="77777777" w:rsidR="00CE38BD" w:rsidRPr="00F066BC" w:rsidRDefault="00CE38BD" w:rsidP="00F066BC">
                            <w:pPr>
                              <w:spacing w:after="0" w:line="240" w:lineRule="auto"/>
                              <w:jc w:val="center"/>
                              <w:rPr>
                                <w:rFonts w:ascii="Arial" w:hAnsi="Arial" w:cs="Arial"/>
                              </w:rPr>
                            </w:pPr>
                            <w:r>
                              <w:rPr>
                                <w:rFonts w:ascii="Arial" w:hAnsi="Arial" w:cs="Arial"/>
                              </w:rPr>
                              <w:t>H</w:t>
                            </w:r>
                            <w:r w:rsidRPr="00F066BC">
                              <w:rPr>
                                <w:rFonts w:ascii="Arial" w:hAnsi="Arial" w:cs="Arial"/>
                              </w:rPr>
                              <w:t xml:space="preserve">ipoksia </w:t>
                            </w:r>
                            <w:r>
                              <w:rPr>
                                <w:rFonts w:ascii="Arial" w:hAnsi="Arial" w:cs="Arial"/>
                              </w:rPr>
                              <w:t>RE adiposit</w:t>
                            </w:r>
                            <w:r w:rsidRPr="00F066BC">
                              <w:rPr>
                                <w:rFonts w:ascii="Arial" w:hAnsi="Arial" w:cs="Arial"/>
                              </w:rPr>
                              <w:t xml:space="preserve"> </w:t>
                            </w:r>
                          </w:p>
                          <w:p w14:paraId="3B9C5412" w14:textId="77777777" w:rsidR="00CE38BD" w:rsidRPr="00FD623A" w:rsidRDefault="00CE38BD" w:rsidP="00F066BC">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8CD77" id="Rectangle 201" o:spid="_x0000_s1030" style="position:absolute;left:0;text-align:left;margin-left:-26pt;margin-top:15.55pt;width:118.5pt;height:2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" filled="f" strokecolor="black [3200]" strokeweight="1pt">
                <v:textbox>
                  <w:txbxContent>
                    <w:p w14:paraId="03F726E8" w14:textId="77777777" w:rsidR="00CE38BD" w:rsidRPr="00F066BC" w:rsidRDefault="00CE38BD" w:rsidP="00F066BC">
                      <w:pPr>
                        <w:spacing w:after="0" w:line="240" w:lineRule="auto"/>
                        <w:jc w:val="center"/>
                        <w:rPr>
                          <w:rFonts w:ascii="Arial" w:hAnsi="Arial" w:cs="Arial"/>
                        </w:rPr>
                      </w:pPr>
                      <w:r>
                        <w:rPr>
                          <w:rFonts w:ascii="Arial" w:hAnsi="Arial" w:cs="Arial"/>
                        </w:rPr>
                        <w:t>H</w:t>
                      </w:r>
                      <w:r w:rsidRPr="00F066BC">
                        <w:rPr>
                          <w:rFonts w:ascii="Arial" w:hAnsi="Arial" w:cs="Arial"/>
                        </w:rPr>
                        <w:t xml:space="preserve">ipoksia </w:t>
                      </w:r>
                      <w:r>
                        <w:rPr>
                          <w:rFonts w:ascii="Arial" w:hAnsi="Arial" w:cs="Arial"/>
                        </w:rPr>
                        <w:t>RE adiposit</w:t>
                      </w:r>
                      <w:r w:rsidRPr="00F066BC">
                        <w:rPr>
                          <w:rFonts w:ascii="Arial" w:hAnsi="Arial" w:cs="Arial"/>
                        </w:rPr>
                        <w:t xml:space="preserve"> </w:t>
                      </w:r>
                    </w:p>
                    <w:p w14:paraId="3B9C5412" w14:textId="77777777" w:rsidR="00CE38BD" w:rsidRPr="00FD623A" w:rsidRDefault="00CE38BD" w:rsidP="00F066BC">
                      <w:pPr>
                        <w:spacing w:after="0" w:line="240" w:lineRule="auto"/>
                        <w:jc w:val="center"/>
                        <w:rPr>
                          <w:rFonts w:ascii="Arial" w:hAnsi="Arial" w:cs="Arial"/>
                        </w:rPr>
                      </w:pPr>
                    </w:p>
                  </w:txbxContent>
                </v:textbox>
              </v:rect>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872256" behindDoc="0" locked="0" layoutInCell="1" allowOverlap="1" wp14:anchorId="6BF421FE" wp14:editId="0FC8FA72">
                <wp:simplePos x="0" y="0"/>
                <wp:positionH relativeFrom="column">
                  <wp:posOffset>4784725</wp:posOffset>
                </wp:positionH>
                <wp:positionV relativeFrom="paragraph">
                  <wp:posOffset>45085</wp:posOffset>
                </wp:positionV>
                <wp:extent cx="0" cy="152400"/>
                <wp:effectExtent l="76200" t="0" r="57150" b="57150"/>
                <wp:wrapNone/>
                <wp:docPr id="237" name="Straight Arrow Connector 237"/>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343F38" id="Straight Arrow Connector 237" o:spid="_x0000_s1026" type="#_x0000_t32" style="position:absolute;margin-left:376.75pt;margin-top:3.55pt;width:0;height:12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" strokecolor="black [3200]" strokeweight=".5pt">
                <v:stroke endarrow="block" joinstyle="miter"/>
              </v:shap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870208" behindDoc="0" locked="0" layoutInCell="1" allowOverlap="1" wp14:anchorId="2C3CB3EB" wp14:editId="2FCF034E">
                <wp:simplePos x="0" y="0"/>
                <wp:positionH relativeFrom="column">
                  <wp:posOffset>403225</wp:posOffset>
                </wp:positionH>
                <wp:positionV relativeFrom="paragraph">
                  <wp:posOffset>45085</wp:posOffset>
                </wp:positionV>
                <wp:extent cx="0" cy="152400"/>
                <wp:effectExtent l="76200" t="0" r="57150" b="57150"/>
                <wp:wrapNone/>
                <wp:docPr id="236" name="Straight Arrow Connector 236"/>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E429A8" id="Straight Arrow Connector 236" o:spid="_x0000_s1026" type="#_x0000_t32" style="position:absolute;margin-left:31.75pt;margin-top:3.55pt;width:0;height:12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" strokecolor="black [3200]" strokeweight=".5pt">
                <v:stroke endarrow="block" joinstyle="miter"/>
              </v:shap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730944" behindDoc="0" locked="0" layoutInCell="1" allowOverlap="1" wp14:anchorId="33BEA55F" wp14:editId="33DB05C7">
                <wp:simplePos x="0" y="0"/>
                <wp:positionH relativeFrom="column">
                  <wp:posOffset>403225</wp:posOffset>
                </wp:positionH>
                <wp:positionV relativeFrom="paragraph">
                  <wp:posOffset>45085</wp:posOffset>
                </wp:positionV>
                <wp:extent cx="4381500" cy="0"/>
                <wp:effectExtent l="0" t="0" r="19050" b="19050"/>
                <wp:wrapNone/>
                <wp:docPr id="197" name="Straight Connector 197"/>
                <wp:cNvGraphicFramePr/>
                <a:graphic xmlns:a="http://schemas.openxmlformats.org/drawingml/2006/main">
                  <a:graphicData uri="http://schemas.microsoft.com/office/word/2010/wordprocessingShape">
                    <wps:wsp>
                      <wps:cNvCnPr/>
                      <wps:spPr>
                        <a:xfrm flipV="1">
                          <a:off x="0" y="0"/>
                          <a:ext cx="4381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B62A70" id="Straight Connector 197"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5pt,3.55pt" to="376.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" strokecolor="black [3200]" strokeweight=".5pt">
                <v:stroke joinstyle="miter"/>
              </v:lin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741184" behindDoc="0" locked="0" layoutInCell="1" allowOverlap="1" wp14:anchorId="74797C15" wp14:editId="739A14D5">
                <wp:simplePos x="0" y="0"/>
                <wp:positionH relativeFrom="column">
                  <wp:posOffset>4031615</wp:posOffset>
                </wp:positionH>
                <wp:positionV relativeFrom="paragraph">
                  <wp:posOffset>197485</wp:posOffset>
                </wp:positionV>
                <wp:extent cx="1409065" cy="257175"/>
                <wp:effectExtent l="0" t="0" r="19685" b="28575"/>
                <wp:wrapNone/>
                <wp:docPr id="203" name="Rectangle 203"/>
                <wp:cNvGraphicFramePr/>
                <a:graphic xmlns:a="http://schemas.openxmlformats.org/drawingml/2006/main">
                  <a:graphicData uri="http://schemas.microsoft.com/office/word/2010/wordprocessingShape">
                    <wps:wsp>
                      <wps:cNvSpPr/>
                      <wps:spPr>
                        <a:xfrm>
                          <a:off x="0" y="0"/>
                          <a:ext cx="1409065" cy="257175"/>
                        </a:xfrm>
                        <a:prstGeom prst="rect">
                          <a:avLst/>
                        </a:prstGeom>
                        <a:noFill/>
                      </wps:spPr>
                      <wps:style>
                        <a:lnRef idx="2">
                          <a:schemeClr val="dk1"/>
                        </a:lnRef>
                        <a:fillRef idx="1">
                          <a:schemeClr val="lt1"/>
                        </a:fillRef>
                        <a:effectRef idx="0">
                          <a:schemeClr val="dk1"/>
                        </a:effectRef>
                        <a:fontRef idx="minor">
                          <a:schemeClr val="dk1"/>
                        </a:fontRef>
                      </wps:style>
                      <wps:txbx>
                        <w:txbxContent>
                          <w:p w14:paraId="1F4E8D50" w14:textId="77777777" w:rsidR="00CE38BD" w:rsidRPr="00FD623A" w:rsidRDefault="00CE38BD" w:rsidP="0039132F">
                            <w:pPr>
                              <w:spacing w:after="0" w:line="240" w:lineRule="auto"/>
                              <w:jc w:val="center"/>
                              <w:rPr>
                                <w:rFonts w:ascii="Arial" w:hAnsi="Arial" w:cs="Arial"/>
                              </w:rPr>
                            </w:pPr>
                            <w:r>
                              <w:rPr>
                                <w:rFonts w:ascii="Arial" w:hAnsi="Arial" w:cs="Arial"/>
                              </w:rPr>
                              <w:t>Infiltrasi makrofag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97C15" id="Rectangle 203" o:spid="_x0000_s1031" style="position:absolute;left:0;text-align:left;margin-left:317.45pt;margin-top:15.55pt;width:110.9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" filled="f" strokecolor="black [3200]" strokeweight="1pt">
                <v:textbox>
                  <w:txbxContent>
                    <w:p w14:paraId="1F4E8D50" w14:textId="77777777" w:rsidR="00CE38BD" w:rsidRPr="00FD623A" w:rsidRDefault="00CE38BD" w:rsidP="0039132F">
                      <w:pPr>
                        <w:spacing w:after="0" w:line="240" w:lineRule="auto"/>
                        <w:jc w:val="center"/>
                        <w:rPr>
                          <w:rFonts w:ascii="Arial" w:hAnsi="Arial" w:cs="Arial"/>
                        </w:rPr>
                      </w:pPr>
                      <w:r>
                        <w:rPr>
                          <w:rFonts w:ascii="Arial" w:hAnsi="Arial" w:cs="Arial"/>
                        </w:rPr>
                        <w:t>Infiltrasi makrofag</w:t>
                      </w:r>
                    </w:p>
                  </w:txbxContent>
                </v:textbox>
              </v:rect>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739136" behindDoc="0" locked="0" layoutInCell="1" allowOverlap="1" wp14:anchorId="791E1C19" wp14:editId="1328DA81">
                <wp:simplePos x="0" y="0"/>
                <wp:positionH relativeFrom="column">
                  <wp:posOffset>1895475</wp:posOffset>
                </wp:positionH>
                <wp:positionV relativeFrom="paragraph">
                  <wp:posOffset>197485</wp:posOffset>
                </wp:positionV>
                <wp:extent cx="1397000" cy="266700"/>
                <wp:effectExtent l="0" t="0" r="12700" b="19050"/>
                <wp:wrapNone/>
                <wp:docPr id="202" name="Rectangle 202"/>
                <wp:cNvGraphicFramePr/>
                <a:graphic xmlns:a="http://schemas.openxmlformats.org/drawingml/2006/main">
                  <a:graphicData uri="http://schemas.microsoft.com/office/word/2010/wordprocessingShape">
                    <wps:wsp>
                      <wps:cNvSpPr/>
                      <wps:spPr>
                        <a:xfrm>
                          <a:off x="0" y="0"/>
                          <a:ext cx="1397000" cy="2667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663AFF8F" w14:textId="77777777" w:rsidR="00CE38BD" w:rsidRPr="00FD623A" w:rsidRDefault="00CE38BD" w:rsidP="0039132F">
                            <w:pPr>
                              <w:spacing w:after="0" w:line="240" w:lineRule="auto"/>
                              <w:jc w:val="center"/>
                              <w:rPr>
                                <w:rFonts w:ascii="Arial" w:hAnsi="Arial" w:cs="Arial"/>
                              </w:rPr>
                            </w:pPr>
                            <w:r>
                              <w:rPr>
                                <w:rFonts w:ascii="Arial" w:hAnsi="Arial" w:cs="Arial"/>
                              </w:rPr>
                              <w:t>K</w:t>
                            </w:r>
                            <w:r w:rsidRPr="0039132F">
                              <w:rPr>
                                <w:rFonts w:ascii="Arial" w:hAnsi="Arial" w:cs="Arial"/>
                              </w:rPr>
                              <w:t>ematian adiposit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E1C19" id="Rectangle 202" o:spid="_x0000_s1032" style="position:absolute;left:0;text-align:left;margin-left:149.25pt;margin-top:15.55pt;width:110pt;height:2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" filled="f" strokecolor="black [3200]" strokeweight="1pt">
                <v:textbox>
                  <w:txbxContent>
                    <w:p w14:paraId="663AFF8F" w14:textId="77777777" w:rsidR="00CE38BD" w:rsidRPr="00FD623A" w:rsidRDefault="00CE38BD" w:rsidP="0039132F">
                      <w:pPr>
                        <w:spacing w:after="0" w:line="240" w:lineRule="auto"/>
                        <w:jc w:val="center"/>
                        <w:rPr>
                          <w:rFonts w:ascii="Arial" w:hAnsi="Arial" w:cs="Arial"/>
                        </w:rPr>
                      </w:pPr>
                      <w:r>
                        <w:rPr>
                          <w:rFonts w:ascii="Arial" w:hAnsi="Arial" w:cs="Arial"/>
                        </w:rPr>
                        <w:t>K</w:t>
                      </w:r>
                      <w:r w:rsidRPr="0039132F">
                        <w:rPr>
                          <w:rFonts w:ascii="Arial" w:hAnsi="Arial" w:cs="Arial"/>
                        </w:rPr>
                        <w:t>ematian adiposit</w:t>
                      </w:r>
                    </w:p>
                  </w:txbxContent>
                </v:textbox>
              </v:rect>
            </w:pict>
          </mc:Fallback>
        </mc:AlternateContent>
      </w:r>
    </w:p>
    <w:p w14:paraId="4220AA71" w14:textId="77777777" w:rsidR="00D15B61" w:rsidRPr="0035519F" w:rsidRDefault="002F2019" w:rsidP="00D15B61">
      <w:pPr>
        <w:tabs>
          <w:tab w:val="left" w:pos="2370"/>
          <w:tab w:val="center" w:pos="3967"/>
        </w:tabs>
        <w:spacing w:after="0" w:line="480" w:lineRule="auto"/>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891712" behindDoc="0" locked="0" layoutInCell="1" allowOverlap="1" wp14:anchorId="12761880" wp14:editId="5796A1D8">
                <wp:simplePos x="0" y="0"/>
                <wp:positionH relativeFrom="column">
                  <wp:posOffset>2584450</wp:posOffset>
                </wp:positionH>
                <wp:positionV relativeFrom="paragraph">
                  <wp:posOffset>113665</wp:posOffset>
                </wp:positionV>
                <wp:extent cx="0" cy="323850"/>
                <wp:effectExtent l="76200" t="0" r="76200" b="57150"/>
                <wp:wrapNone/>
                <wp:docPr id="286" name="Straight Arrow Connector 286"/>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E12CCC" id="Straight Arrow Connector 286" o:spid="_x0000_s1026" type="#_x0000_t32" style="position:absolute;margin-left:203.5pt;margin-top:8.95pt;width:0;height:25.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" strokecolor="black [3200]" strokeweight=".5pt">
                <v:stroke endarrow="block" joinstyle="miter"/>
              </v:shap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878400" behindDoc="0" locked="0" layoutInCell="1" allowOverlap="1" wp14:anchorId="48CBAFEA" wp14:editId="492872AF">
                <wp:simplePos x="0" y="0"/>
                <wp:positionH relativeFrom="column">
                  <wp:posOffset>4765675</wp:posOffset>
                </wp:positionH>
                <wp:positionV relativeFrom="paragraph">
                  <wp:posOffset>104140</wp:posOffset>
                </wp:positionV>
                <wp:extent cx="0" cy="200025"/>
                <wp:effectExtent l="0" t="0" r="19050" b="28575"/>
                <wp:wrapNone/>
                <wp:docPr id="257" name="Straight Connector 257"/>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32984C" id="Straight Connector 257" o:spid="_x0000_s1026" style="position:absolute;z-index:251878400;visibility:visible;mso-wrap-style:square;mso-wrap-distance-left:9pt;mso-wrap-distance-top:0;mso-wrap-distance-right:9pt;mso-wrap-distance-bottom:0;mso-position-horizontal:absolute;mso-position-horizontal-relative:text;mso-position-vertical:absolute;mso-position-vertical-relative:text" from="375.25pt,8.2pt" to="375.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" strokecolor="black [3200]" strokeweight=".5pt">
                <v:stroke joinstyle="miter"/>
              </v:lin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876352" behindDoc="0" locked="0" layoutInCell="1" allowOverlap="1" wp14:anchorId="2FC472C6" wp14:editId="1E73EF8C">
                <wp:simplePos x="0" y="0"/>
                <wp:positionH relativeFrom="column">
                  <wp:posOffset>384175</wp:posOffset>
                </wp:positionH>
                <wp:positionV relativeFrom="paragraph">
                  <wp:posOffset>113665</wp:posOffset>
                </wp:positionV>
                <wp:extent cx="0" cy="200025"/>
                <wp:effectExtent l="0" t="0" r="19050" b="28575"/>
                <wp:wrapNone/>
                <wp:docPr id="256" name="Straight Connector 256"/>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29B0EE" id="Straight Connector 256" o:spid="_x0000_s1026" style="position:absolute;z-index:251876352;visibility:visible;mso-wrap-style:square;mso-wrap-distance-left:9pt;mso-wrap-distance-top:0;mso-wrap-distance-right:9pt;mso-wrap-distance-bottom:0;mso-position-horizontal:absolute;mso-position-horizontal-relative:text;mso-position-vertical:absolute;mso-position-vertical-relative:text" from="30.25pt,8.95pt" to="30.2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" strokecolor="black [3200]" strokeweight=".5pt">
                <v:stroke joinstyle="miter"/>
              </v:line>
            </w:pict>
          </mc:Fallback>
        </mc:AlternateContent>
      </w:r>
      <w:r w:rsidR="00D15B61" w:rsidRPr="0035519F">
        <w:rPr>
          <w:rFonts w:ascii="Arial" w:hAnsi="Arial" w:cs="Arial"/>
          <w:b/>
          <w:noProof/>
          <w:sz w:val="24"/>
          <w:szCs w:val="24"/>
        </w:rPr>
        <mc:AlternateContent>
          <mc:Choice Requires="wps">
            <w:drawing>
              <wp:anchor distT="0" distB="0" distL="114300" distR="114300" simplePos="0" relativeHeight="251875328" behindDoc="0" locked="0" layoutInCell="1" allowOverlap="1" wp14:anchorId="60B98AA0" wp14:editId="490801E1">
                <wp:simplePos x="0" y="0"/>
                <wp:positionH relativeFrom="column">
                  <wp:posOffset>381000</wp:posOffset>
                </wp:positionH>
                <wp:positionV relativeFrom="paragraph">
                  <wp:posOffset>313690</wp:posOffset>
                </wp:positionV>
                <wp:extent cx="4381500" cy="0"/>
                <wp:effectExtent l="0" t="0" r="19050" b="19050"/>
                <wp:wrapNone/>
                <wp:docPr id="242" name="Straight Connector 242"/>
                <wp:cNvGraphicFramePr/>
                <a:graphic xmlns:a="http://schemas.openxmlformats.org/drawingml/2006/main">
                  <a:graphicData uri="http://schemas.microsoft.com/office/word/2010/wordprocessingShape">
                    <wps:wsp>
                      <wps:cNvCnPr/>
                      <wps:spPr>
                        <a:xfrm flipV="1">
                          <a:off x="0" y="0"/>
                          <a:ext cx="4381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28F0B2" id="Straight Connector 242" o:spid="_x0000_s1026" style="position:absolute;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24.7pt" to="37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" strokecolor="black [3200]" strokeweight=".5pt">
                <v:stroke joinstyle="miter"/>
              </v:line>
            </w:pict>
          </mc:Fallback>
        </mc:AlternateContent>
      </w:r>
      <w:r w:rsidR="00D15B61" w:rsidRPr="0035519F">
        <w:rPr>
          <w:rFonts w:ascii="Arial" w:hAnsi="Arial" w:cs="Arial"/>
          <w:b/>
          <w:sz w:val="24"/>
          <w:szCs w:val="24"/>
        </w:rPr>
        <w:tab/>
      </w:r>
    </w:p>
    <w:p w14:paraId="7A3792C1" w14:textId="77777777" w:rsidR="00D15B61" w:rsidRPr="0035519F" w:rsidRDefault="008E0FCD" w:rsidP="00D15B61">
      <w:pPr>
        <w:tabs>
          <w:tab w:val="left" w:pos="2370"/>
          <w:tab w:val="center" w:pos="3967"/>
        </w:tabs>
        <w:spacing w:after="0" w:line="480" w:lineRule="auto"/>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934720" behindDoc="0" locked="0" layoutInCell="1" allowOverlap="1" wp14:anchorId="5678D1AA" wp14:editId="74104205">
                <wp:simplePos x="0" y="0"/>
                <wp:positionH relativeFrom="column">
                  <wp:posOffset>398145</wp:posOffset>
                </wp:positionH>
                <wp:positionV relativeFrom="paragraph">
                  <wp:posOffset>203200</wp:posOffset>
                </wp:positionV>
                <wp:extent cx="514350" cy="609600"/>
                <wp:effectExtent l="76200" t="0" r="19050" b="57150"/>
                <wp:wrapNone/>
                <wp:docPr id="340" name="Elbow Connector 340"/>
                <wp:cNvGraphicFramePr/>
                <a:graphic xmlns:a="http://schemas.openxmlformats.org/drawingml/2006/main">
                  <a:graphicData uri="http://schemas.microsoft.com/office/word/2010/wordprocessingShape">
                    <wps:wsp>
                      <wps:cNvCnPr/>
                      <wps:spPr>
                        <a:xfrm flipH="1">
                          <a:off x="0" y="0"/>
                          <a:ext cx="514350" cy="609600"/>
                        </a:xfrm>
                        <a:prstGeom prst="bentConnector3">
                          <a:avLst>
                            <a:gd name="adj1" fmla="val 100476"/>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50F7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40" o:spid="_x0000_s1026" type="#_x0000_t34" style="position:absolute;margin-left:31.35pt;margin-top:16pt;width:40.5pt;height:48pt;flip:x;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" adj="21703" strokecolor="black [3200]" strokeweight=".5pt">
                <v:stroke endarrow="block"/>
              </v:shape>
            </w:pict>
          </mc:Fallback>
        </mc:AlternateContent>
      </w:r>
      <w:r w:rsidR="007B3304" w:rsidRPr="0035519F">
        <w:rPr>
          <w:rFonts w:ascii="Arial" w:hAnsi="Arial" w:cs="Arial"/>
          <w:b/>
          <w:noProof/>
          <w:sz w:val="24"/>
          <w:szCs w:val="24"/>
        </w:rPr>
        <mc:AlternateContent>
          <mc:Choice Requires="wps">
            <w:drawing>
              <wp:anchor distT="0" distB="0" distL="114300" distR="114300" simplePos="0" relativeHeight="251771904" behindDoc="0" locked="0" layoutInCell="1" allowOverlap="1" wp14:anchorId="2EC19CCC" wp14:editId="54A91600">
                <wp:simplePos x="0" y="0"/>
                <wp:positionH relativeFrom="column">
                  <wp:posOffset>912495</wp:posOffset>
                </wp:positionH>
                <wp:positionV relativeFrom="paragraph">
                  <wp:posOffset>88900</wp:posOffset>
                </wp:positionV>
                <wp:extent cx="3381375" cy="323850"/>
                <wp:effectExtent l="0" t="0" r="28575" b="19050"/>
                <wp:wrapNone/>
                <wp:docPr id="223" name="Rectangle 223"/>
                <wp:cNvGraphicFramePr/>
                <a:graphic xmlns:a="http://schemas.openxmlformats.org/drawingml/2006/main">
                  <a:graphicData uri="http://schemas.microsoft.com/office/word/2010/wordprocessingShape">
                    <wps:wsp>
                      <wps:cNvSpPr/>
                      <wps:spPr>
                        <a:xfrm>
                          <a:off x="0" y="0"/>
                          <a:ext cx="3381375" cy="323850"/>
                        </a:xfrm>
                        <a:prstGeom prst="rect">
                          <a:avLst/>
                        </a:prstGeom>
                        <a:noFill/>
                      </wps:spPr>
                      <wps:style>
                        <a:lnRef idx="2">
                          <a:schemeClr val="dk1"/>
                        </a:lnRef>
                        <a:fillRef idx="1">
                          <a:schemeClr val="lt1"/>
                        </a:fillRef>
                        <a:effectRef idx="0">
                          <a:schemeClr val="dk1"/>
                        </a:effectRef>
                        <a:fontRef idx="minor">
                          <a:schemeClr val="dk1"/>
                        </a:fontRef>
                      </wps:style>
                      <wps:txbx>
                        <w:txbxContent>
                          <w:p w14:paraId="2108D5B2" w14:textId="77777777" w:rsidR="00CE38BD" w:rsidRPr="005960FF" w:rsidRDefault="00CE38BD" w:rsidP="005960FF">
                            <w:pPr>
                              <w:spacing w:after="0" w:line="240" w:lineRule="auto"/>
                              <w:jc w:val="center"/>
                              <w:rPr>
                                <w:rFonts w:ascii="Arial" w:hAnsi="Arial" w:cs="Arial"/>
                              </w:rPr>
                            </w:pPr>
                            <w:r w:rsidRPr="005960FF">
                              <w:rPr>
                                <w:rFonts w:ascii="Arial" w:hAnsi="Arial" w:cs="Arial"/>
                              </w:rPr>
                              <w:t xml:space="preserve">Peningkatan </w:t>
                            </w:r>
                            <w:r>
                              <w:rPr>
                                <w:rFonts w:ascii="Arial" w:hAnsi="Arial" w:cs="Arial"/>
                              </w:rPr>
                              <w:t>sitokin</w:t>
                            </w:r>
                            <w:r w:rsidRPr="005960FF">
                              <w:rPr>
                                <w:rFonts w:ascii="Arial" w:hAnsi="Arial" w:cs="Arial"/>
                              </w:rPr>
                              <w:t xml:space="preserve"> Proinflamasi</w:t>
                            </w:r>
                            <w:r>
                              <w:rPr>
                                <w:rFonts w:ascii="Arial" w:hAnsi="Arial" w:cs="Arial"/>
                              </w:rPr>
                              <w:t xml:space="preserve"> lokal dan sistemik</w:t>
                            </w:r>
                            <w:r w:rsidRPr="005960FF">
                              <w:rPr>
                                <w:rFonts w:ascii="Arial" w:hAnsi="Arial" w:cs="Arial"/>
                              </w:rPr>
                              <w:t xml:space="preserve"> </w:t>
                            </w:r>
                          </w:p>
                          <w:p w14:paraId="6AFAC8A2" w14:textId="77777777" w:rsidR="00CE38BD" w:rsidRPr="00FD623A" w:rsidRDefault="00CE38BD" w:rsidP="000E361F">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19CCC" id="Rectangle 223" o:spid="_x0000_s1033" style="position:absolute;margin-left:71.85pt;margin-top:7pt;width:266.25pt;height:2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" filled="f" strokecolor="black [3200]" strokeweight="1pt">
                <v:textbox>
                  <w:txbxContent>
                    <w:p w14:paraId="2108D5B2" w14:textId="77777777" w:rsidR="00CE38BD" w:rsidRPr="005960FF" w:rsidRDefault="00CE38BD" w:rsidP="005960FF">
                      <w:pPr>
                        <w:spacing w:after="0" w:line="240" w:lineRule="auto"/>
                        <w:jc w:val="center"/>
                        <w:rPr>
                          <w:rFonts w:ascii="Arial" w:hAnsi="Arial" w:cs="Arial"/>
                        </w:rPr>
                      </w:pPr>
                      <w:r w:rsidRPr="005960FF">
                        <w:rPr>
                          <w:rFonts w:ascii="Arial" w:hAnsi="Arial" w:cs="Arial"/>
                        </w:rPr>
                        <w:t xml:space="preserve">Peningkatan </w:t>
                      </w:r>
                      <w:r>
                        <w:rPr>
                          <w:rFonts w:ascii="Arial" w:hAnsi="Arial" w:cs="Arial"/>
                        </w:rPr>
                        <w:t>sitokin</w:t>
                      </w:r>
                      <w:r w:rsidRPr="005960FF">
                        <w:rPr>
                          <w:rFonts w:ascii="Arial" w:hAnsi="Arial" w:cs="Arial"/>
                        </w:rPr>
                        <w:t xml:space="preserve"> Proinflamasi</w:t>
                      </w:r>
                      <w:r>
                        <w:rPr>
                          <w:rFonts w:ascii="Arial" w:hAnsi="Arial" w:cs="Arial"/>
                        </w:rPr>
                        <w:t xml:space="preserve"> lokal dan sistemik</w:t>
                      </w:r>
                      <w:r w:rsidRPr="005960FF">
                        <w:rPr>
                          <w:rFonts w:ascii="Arial" w:hAnsi="Arial" w:cs="Arial"/>
                        </w:rPr>
                        <w:t xml:space="preserve"> </w:t>
                      </w:r>
                    </w:p>
                    <w:p w14:paraId="6AFAC8A2" w14:textId="77777777" w:rsidR="00CE38BD" w:rsidRPr="00FD623A" w:rsidRDefault="00CE38BD" w:rsidP="000E361F">
                      <w:pPr>
                        <w:spacing w:after="0" w:line="240" w:lineRule="auto"/>
                        <w:jc w:val="center"/>
                        <w:rPr>
                          <w:rFonts w:ascii="Arial" w:hAnsi="Arial" w:cs="Arial"/>
                        </w:rPr>
                      </w:pPr>
                    </w:p>
                  </w:txbxContent>
                </v:textbox>
              </v:rect>
            </w:pict>
          </mc:Fallback>
        </mc:AlternateContent>
      </w:r>
    </w:p>
    <w:p w14:paraId="4105F0EC" w14:textId="77777777" w:rsidR="007757AB" w:rsidRPr="0035519F" w:rsidRDefault="008E0FCD" w:rsidP="00D15B61">
      <w:pPr>
        <w:tabs>
          <w:tab w:val="left" w:pos="2370"/>
          <w:tab w:val="center" w:pos="3967"/>
        </w:tabs>
        <w:spacing w:after="0" w:line="480" w:lineRule="auto"/>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773952" behindDoc="0" locked="0" layoutInCell="1" allowOverlap="1" wp14:anchorId="63B96626" wp14:editId="5A90A15C">
                <wp:simplePos x="0" y="0"/>
                <wp:positionH relativeFrom="column">
                  <wp:posOffset>1074420</wp:posOffset>
                </wp:positionH>
                <wp:positionV relativeFrom="paragraph">
                  <wp:posOffset>195581</wp:posOffset>
                </wp:positionV>
                <wp:extent cx="3009900" cy="457200"/>
                <wp:effectExtent l="0" t="0" r="19050" b="19050"/>
                <wp:wrapNone/>
                <wp:docPr id="224" name="Rectangle 224"/>
                <wp:cNvGraphicFramePr/>
                <a:graphic xmlns:a="http://schemas.openxmlformats.org/drawingml/2006/main">
                  <a:graphicData uri="http://schemas.microsoft.com/office/word/2010/wordprocessingShape">
                    <wps:wsp>
                      <wps:cNvSpPr/>
                      <wps:spPr>
                        <a:xfrm>
                          <a:off x="0" y="0"/>
                          <a:ext cx="3009900" cy="4572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58645F64" w14:textId="77777777" w:rsidR="00CE38BD" w:rsidRDefault="00CE38BD" w:rsidP="005960FF">
                            <w:pPr>
                              <w:spacing w:after="0" w:line="240" w:lineRule="auto"/>
                              <w:jc w:val="center"/>
                              <w:rPr>
                                <w:rFonts w:ascii="Arial" w:hAnsi="Arial" w:cs="Arial"/>
                              </w:rPr>
                            </w:pPr>
                            <w:r>
                              <w:rPr>
                                <w:rFonts w:ascii="Arial" w:hAnsi="Arial" w:cs="Arial"/>
                              </w:rPr>
                              <w:t>Gangguan pensinyalan insulin (Inhibisi IRS)</w:t>
                            </w:r>
                          </w:p>
                          <w:p w14:paraId="1DAC63BC" w14:textId="77777777" w:rsidR="00CE38BD" w:rsidRPr="005960FF" w:rsidRDefault="00CE38BD" w:rsidP="005960FF">
                            <w:pPr>
                              <w:spacing w:after="0" w:line="240" w:lineRule="auto"/>
                              <w:jc w:val="center"/>
                              <w:rPr>
                                <w:rFonts w:ascii="Arial" w:hAnsi="Arial" w:cs="Arial"/>
                              </w:rPr>
                            </w:pPr>
                            <w:r>
                              <w:rPr>
                                <w:rFonts w:ascii="Arial" w:hAnsi="Arial" w:cs="Arial"/>
                              </w:rPr>
                              <w:t xml:space="preserve">pada organ target </w:t>
                            </w:r>
                          </w:p>
                          <w:p w14:paraId="797AE60E" w14:textId="77777777" w:rsidR="00CE38BD" w:rsidRPr="00FD623A" w:rsidRDefault="00CE38BD" w:rsidP="005960FF">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96626" id="Rectangle 224" o:spid="_x0000_s1034" style="position:absolute;margin-left:84.6pt;margin-top:15.4pt;width:237pt;height:3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" filled="f" strokecolor="black [3200]" strokeweight="1pt">
                <v:textbox>
                  <w:txbxContent>
                    <w:p w14:paraId="58645F64" w14:textId="77777777" w:rsidR="00CE38BD" w:rsidRDefault="00CE38BD" w:rsidP="005960FF">
                      <w:pPr>
                        <w:spacing w:after="0" w:line="240" w:lineRule="auto"/>
                        <w:jc w:val="center"/>
                        <w:rPr>
                          <w:rFonts w:ascii="Arial" w:hAnsi="Arial" w:cs="Arial"/>
                        </w:rPr>
                      </w:pPr>
                      <w:r>
                        <w:rPr>
                          <w:rFonts w:ascii="Arial" w:hAnsi="Arial" w:cs="Arial"/>
                        </w:rPr>
                        <w:t>Gangguan pensinyalan insulin (Inhibisi IRS)</w:t>
                      </w:r>
                    </w:p>
                    <w:p w14:paraId="1DAC63BC" w14:textId="77777777" w:rsidR="00CE38BD" w:rsidRPr="005960FF" w:rsidRDefault="00CE38BD" w:rsidP="005960FF">
                      <w:pPr>
                        <w:spacing w:after="0" w:line="240" w:lineRule="auto"/>
                        <w:jc w:val="center"/>
                        <w:rPr>
                          <w:rFonts w:ascii="Arial" w:hAnsi="Arial" w:cs="Arial"/>
                        </w:rPr>
                      </w:pPr>
                      <w:r>
                        <w:rPr>
                          <w:rFonts w:ascii="Arial" w:hAnsi="Arial" w:cs="Arial"/>
                        </w:rPr>
                        <w:t xml:space="preserve">pada organ target </w:t>
                      </w:r>
                    </w:p>
                    <w:p w14:paraId="797AE60E" w14:textId="77777777" w:rsidR="00CE38BD" w:rsidRPr="00FD623A" w:rsidRDefault="00CE38BD" w:rsidP="005960FF">
                      <w:pPr>
                        <w:spacing w:after="0" w:line="240" w:lineRule="auto"/>
                        <w:jc w:val="center"/>
                        <w:rPr>
                          <w:rFonts w:ascii="Arial" w:hAnsi="Arial" w:cs="Arial"/>
                        </w:rPr>
                      </w:pPr>
                    </w:p>
                  </w:txbxContent>
                </v:textbox>
              </v:rect>
            </w:pict>
          </mc:Fallback>
        </mc:AlternateContent>
      </w:r>
      <w:r w:rsidRPr="0035519F">
        <w:rPr>
          <w:rFonts w:ascii="Arial" w:hAnsi="Arial" w:cs="Arial"/>
          <w:b/>
          <w:noProof/>
          <w:sz w:val="24"/>
          <w:szCs w:val="24"/>
        </w:rPr>
        <mc:AlternateContent>
          <mc:Choice Requires="wps">
            <w:drawing>
              <wp:anchor distT="0" distB="0" distL="114300" distR="114300" simplePos="0" relativeHeight="251961344" behindDoc="0" locked="0" layoutInCell="1" allowOverlap="1" wp14:anchorId="798B334A" wp14:editId="6C3B9B29">
                <wp:simplePos x="0" y="0"/>
                <wp:positionH relativeFrom="column">
                  <wp:posOffset>2598420</wp:posOffset>
                </wp:positionH>
                <wp:positionV relativeFrom="paragraph">
                  <wp:posOffset>62230</wp:posOffset>
                </wp:positionV>
                <wp:extent cx="0" cy="133350"/>
                <wp:effectExtent l="76200" t="0" r="57150" b="57150"/>
                <wp:wrapNone/>
                <wp:docPr id="57" name="Straight Arrow Connector 57"/>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39DD7B" id="Straight Arrow Connector 57" o:spid="_x0000_s1026" type="#_x0000_t32" style="position:absolute;margin-left:204.6pt;margin-top:4.9pt;width:0;height:10.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" strokecolor="black [3200]" strokeweight=".5pt">
                <v:stroke endarrow="block" joinstyle="miter"/>
              </v:shape>
            </w:pict>
          </mc:Fallback>
        </mc:AlternateContent>
      </w:r>
      <w:r w:rsidR="00D15B61" w:rsidRPr="0035519F">
        <w:rPr>
          <w:rFonts w:ascii="Arial" w:hAnsi="Arial" w:cs="Arial"/>
          <w:b/>
          <w:sz w:val="24"/>
          <w:szCs w:val="24"/>
        </w:rPr>
        <w:tab/>
      </w:r>
    </w:p>
    <w:p w14:paraId="1BF85C7D" w14:textId="77777777" w:rsidR="00B97E6B" w:rsidRPr="0035519F" w:rsidRDefault="0009290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894784" behindDoc="0" locked="0" layoutInCell="1" allowOverlap="1" wp14:anchorId="06AD86FB" wp14:editId="4A1FFE6F">
                <wp:simplePos x="0" y="0"/>
                <wp:positionH relativeFrom="column">
                  <wp:posOffset>-230505</wp:posOffset>
                </wp:positionH>
                <wp:positionV relativeFrom="paragraph">
                  <wp:posOffset>107950</wp:posOffset>
                </wp:positionV>
                <wp:extent cx="1171575" cy="1092835"/>
                <wp:effectExtent l="0" t="0" r="28575" b="12065"/>
                <wp:wrapNone/>
                <wp:docPr id="289" name="Rectangle 289"/>
                <wp:cNvGraphicFramePr/>
                <a:graphic xmlns:a="http://schemas.openxmlformats.org/drawingml/2006/main">
                  <a:graphicData uri="http://schemas.microsoft.com/office/word/2010/wordprocessingShape">
                    <wps:wsp>
                      <wps:cNvSpPr/>
                      <wps:spPr>
                        <a:xfrm>
                          <a:off x="0" y="0"/>
                          <a:ext cx="1171575" cy="10928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63ADBE2E" w14:textId="77777777" w:rsidR="00CE38BD" w:rsidRDefault="00CE38BD" w:rsidP="008C3FF3">
                            <w:pPr>
                              <w:spacing w:after="0" w:line="240" w:lineRule="auto"/>
                              <w:jc w:val="center"/>
                              <w:rPr>
                                <w:rFonts w:ascii="Arial" w:hAnsi="Arial" w:cs="Arial"/>
                              </w:rPr>
                            </w:pPr>
                            <w:r>
                              <w:rPr>
                                <w:rFonts w:ascii="Arial" w:hAnsi="Arial" w:cs="Arial"/>
                              </w:rPr>
                              <w:t>Gangguan pensinyalan insulin (Inhibisi IGF-R)</w:t>
                            </w:r>
                          </w:p>
                          <w:p w14:paraId="1B65C6A7" w14:textId="77777777" w:rsidR="00CE38BD" w:rsidRPr="005960FF" w:rsidRDefault="00CE38BD" w:rsidP="008C3FF3">
                            <w:pPr>
                              <w:spacing w:after="0" w:line="240" w:lineRule="auto"/>
                              <w:jc w:val="center"/>
                              <w:rPr>
                                <w:rFonts w:ascii="Arial" w:hAnsi="Arial" w:cs="Arial"/>
                              </w:rPr>
                            </w:pPr>
                            <w:r>
                              <w:rPr>
                                <w:rFonts w:ascii="Arial" w:hAnsi="Arial" w:cs="Arial"/>
                              </w:rPr>
                              <w:t>pada organ target</w:t>
                            </w:r>
                          </w:p>
                          <w:p w14:paraId="2A82A346" w14:textId="77777777" w:rsidR="00CE38BD" w:rsidRPr="00FD623A" w:rsidRDefault="00CE38BD" w:rsidP="005306D1">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D86FB" id="Rectangle 289" o:spid="_x0000_s1035" style="position:absolute;left:0;text-align:left;margin-left:-18.15pt;margin-top:8.5pt;width:92.25pt;height:86.0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" filled="f" strokecolor="black [3200]" strokeweight="1pt">
                <v:textbox>
                  <w:txbxContent>
                    <w:p w14:paraId="63ADBE2E" w14:textId="77777777" w:rsidR="00CE38BD" w:rsidRDefault="00CE38BD" w:rsidP="008C3FF3">
                      <w:pPr>
                        <w:spacing w:after="0" w:line="240" w:lineRule="auto"/>
                        <w:jc w:val="center"/>
                        <w:rPr>
                          <w:rFonts w:ascii="Arial" w:hAnsi="Arial" w:cs="Arial"/>
                        </w:rPr>
                      </w:pPr>
                      <w:r>
                        <w:rPr>
                          <w:rFonts w:ascii="Arial" w:hAnsi="Arial" w:cs="Arial"/>
                        </w:rPr>
                        <w:t>Gangguan pensinyalan insulin (Inhibisi IGF-R)</w:t>
                      </w:r>
                    </w:p>
                    <w:p w14:paraId="1B65C6A7" w14:textId="77777777" w:rsidR="00CE38BD" w:rsidRPr="005960FF" w:rsidRDefault="00CE38BD" w:rsidP="008C3FF3">
                      <w:pPr>
                        <w:spacing w:after="0" w:line="240" w:lineRule="auto"/>
                        <w:jc w:val="center"/>
                        <w:rPr>
                          <w:rFonts w:ascii="Arial" w:hAnsi="Arial" w:cs="Arial"/>
                        </w:rPr>
                      </w:pPr>
                      <w:r>
                        <w:rPr>
                          <w:rFonts w:ascii="Arial" w:hAnsi="Arial" w:cs="Arial"/>
                        </w:rPr>
                        <w:t>pada organ target</w:t>
                      </w:r>
                    </w:p>
                    <w:p w14:paraId="2A82A346" w14:textId="77777777" w:rsidR="00CE38BD" w:rsidRPr="00FD623A" w:rsidRDefault="00CE38BD" w:rsidP="005306D1">
                      <w:pPr>
                        <w:spacing w:after="0" w:line="240" w:lineRule="auto"/>
                        <w:jc w:val="center"/>
                        <w:rPr>
                          <w:rFonts w:ascii="Arial" w:hAnsi="Arial" w:cs="Arial"/>
                        </w:rPr>
                      </w:pPr>
                    </w:p>
                  </w:txbxContent>
                </v:textbox>
              </v:rect>
            </w:pict>
          </mc:Fallback>
        </mc:AlternateContent>
      </w:r>
      <w:r w:rsidR="00B97E6B" w:rsidRPr="0035519F">
        <w:rPr>
          <w:rFonts w:ascii="Arial" w:hAnsi="Arial" w:cs="Arial"/>
          <w:b/>
          <w:noProof/>
          <w:sz w:val="24"/>
          <w:szCs w:val="24"/>
        </w:rPr>
        <mc:AlternateContent>
          <mc:Choice Requires="wps">
            <w:drawing>
              <wp:anchor distT="0" distB="0" distL="114300" distR="114300" simplePos="0" relativeHeight="251984896" behindDoc="0" locked="0" layoutInCell="1" allowOverlap="1" wp14:anchorId="4870CB74" wp14:editId="2A3A06E5">
                <wp:simplePos x="0" y="0"/>
                <wp:positionH relativeFrom="column">
                  <wp:posOffset>2579370</wp:posOffset>
                </wp:positionH>
                <wp:positionV relativeFrom="paragraph">
                  <wp:posOffset>302260</wp:posOffset>
                </wp:positionV>
                <wp:extent cx="0" cy="133350"/>
                <wp:effectExtent l="76200" t="0" r="57150" b="57150"/>
                <wp:wrapNone/>
                <wp:docPr id="204" name="Straight Arrow Connector 204"/>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27F01C" id="Straight Arrow Connector 204" o:spid="_x0000_s1026" type="#_x0000_t32" style="position:absolute;margin-left:203.1pt;margin-top:23.8pt;width:0;height:10.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" strokecolor="black [3200]" strokeweight=".5pt">
                <v:stroke endarrow="block" joinstyle="miter"/>
              </v:shape>
            </w:pict>
          </mc:Fallback>
        </mc:AlternateContent>
      </w:r>
    </w:p>
    <w:p w14:paraId="2200D737" w14:textId="77777777" w:rsidR="00B97E6B" w:rsidRPr="0035519F" w:rsidRDefault="00624F5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12544" behindDoc="0" locked="0" layoutInCell="1" allowOverlap="1" wp14:anchorId="4931A682" wp14:editId="10CDB6C6">
                <wp:simplePos x="0" y="0"/>
                <wp:positionH relativeFrom="column">
                  <wp:posOffset>5103495</wp:posOffset>
                </wp:positionH>
                <wp:positionV relativeFrom="paragraph">
                  <wp:posOffset>263525</wp:posOffset>
                </wp:positionV>
                <wp:extent cx="9525" cy="935990"/>
                <wp:effectExtent l="38100" t="0" r="66675" b="54610"/>
                <wp:wrapNone/>
                <wp:docPr id="238" name="Straight Arrow Connector 238"/>
                <wp:cNvGraphicFramePr/>
                <a:graphic xmlns:a="http://schemas.openxmlformats.org/drawingml/2006/main">
                  <a:graphicData uri="http://schemas.microsoft.com/office/word/2010/wordprocessingShape">
                    <wps:wsp>
                      <wps:cNvCnPr/>
                      <wps:spPr>
                        <a:xfrm>
                          <a:off x="0" y="0"/>
                          <a:ext cx="9525" cy="9359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CC966A1" id="Straight Arrow Connector 238" o:spid="_x0000_s1026" type="#_x0000_t32" style="position:absolute;margin-left:401.85pt;margin-top:20.75pt;width:.75pt;height:73.7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" strokecolor="black [3200]" strokeweight=".5pt">
                <v:stroke endarrow="block" joinstyle="miter"/>
              </v:shape>
            </w:pict>
          </mc:Fallback>
        </mc:AlternateContent>
      </w:r>
      <w:r w:rsidRPr="0035519F">
        <w:rPr>
          <w:rFonts w:ascii="Arial" w:hAnsi="Arial" w:cs="Arial"/>
          <w:b/>
          <w:noProof/>
          <w:sz w:val="24"/>
          <w:szCs w:val="24"/>
        </w:rPr>
        <mc:AlternateContent>
          <mc:Choice Requires="wps">
            <w:drawing>
              <wp:anchor distT="0" distB="0" distL="114300" distR="114300" simplePos="0" relativeHeight="251999232" behindDoc="0" locked="0" layoutInCell="1" allowOverlap="1" wp14:anchorId="527A115F" wp14:editId="2FF93D5C">
                <wp:simplePos x="0" y="0"/>
                <wp:positionH relativeFrom="column">
                  <wp:posOffset>4046219</wp:posOffset>
                </wp:positionH>
                <wp:positionV relativeFrom="paragraph">
                  <wp:posOffset>151764</wp:posOffset>
                </wp:positionV>
                <wp:extent cx="561975" cy="200025"/>
                <wp:effectExtent l="0" t="76200" r="0" b="28575"/>
                <wp:wrapNone/>
                <wp:docPr id="216" name="Elbow Connector 216"/>
                <wp:cNvGraphicFramePr/>
                <a:graphic xmlns:a="http://schemas.openxmlformats.org/drawingml/2006/main">
                  <a:graphicData uri="http://schemas.microsoft.com/office/word/2010/wordprocessingShape">
                    <wps:wsp>
                      <wps:cNvCnPr/>
                      <wps:spPr>
                        <a:xfrm flipV="1">
                          <a:off x="0" y="0"/>
                          <a:ext cx="561975" cy="200025"/>
                        </a:xfrm>
                        <a:prstGeom prst="bentConnector3">
                          <a:avLst/>
                        </a:prstGeom>
                        <a:ln>
                          <a:prstDash val="sys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212253" id="Elbow Connector 216" o:spid="_x0000_s1026" type="#_x0000_t34" style="position:absolute;margin-left:318.6pt;margin-top:11.95pt;width:44.25pt;height:15.75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" strokecolor="black [3200]" strokeweight=".5pt">
                <v:stroke dashstyle="3 1" endarrow="block"/>
              </v:shape>
            </w:pict>
          </mc:Fallback>
        </mc:AlternateContent>
      </w:r>
      <w:r w:rsidRPr="0035519F">
        <w:rPr>
          <w:rFonts w:ascii="Arial" w:hAnsi="Arial" w:cs="Arial"/>
          <w:b/>
          <w:noProof/>
          <w:sz w:val="24"/>
          <w:szCs w:val="24"/>
        </w:rPr>
        <mc:AlternateContent>
          <mc:Choice Requires="wps">
            <w:drawing>
              <wp:anchor distT="0" distB="0" distL="114300" distR="114300" simplePos="0" relativeHeight="251998208" behindDoc="0" locked="0" layoutInCell="1" allowOverlap="1" wp14:anchorId="0F274C4C" wp14:editId="71A6AF90">
                <wp:simplePos x="0" y="0"/>
                <wp:positionH relativeFrom="column">
                  <wp:posOffset>4608830</wp:posOffset>
                </wp:positionH>
                <wp:positionV relativeFrom="paragraph">
                  <wp:posOffset>8890</wp:posOffset>
                </wp:positionV>
                <wp:extent cx="1075690" cy="254635"/>
                <wp:effectExtent l="0" t="0" r="10160" b="12065"/>
                <wp:wrapNone/>
                <wp:docPr id="214" name="Rectangle 214"/>
                <wp:cNvGraphicFramePr/>
                <a:graphic xmlns:a="http://schemas.openxmlformats.org/drawingml/2006/main">
                  <a:graphicData uri="http://schemas.microsoft.com/office/word/2010/wordprocessingShape">
                    <wps:wsp>
                      <wps:cNvSpPr/>
                      <wps:spPr>
                        <a:xfrm>
                          <a:off x="0" y="0"/>
                          <a:ext cx="1075690" cy="2546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4A3AA1B3" w14:textId="77777777" w:rsidR="00CE38BD" w:rsidRPr="005960FF" w:rsidRDefault="00CE38BD" w:rsidP="00092904">
                            <w:pPr>
                              <w:spacing w:after="0" w:line="240" w:lineRule="auto"/>
                              <w:jc w:val="center"/>
                              <w:rPr>
                                <w:rFonts w:ascii="Arial" w:hAnsi="Arial" w:cs="Arial"/>
                              </w:rPr>
                            </w:pPr>
                            <w:r>
                              <w:rPr>
                                <w:rFonts w:ascii="Arial" w:hAnsi="Arial" w:cs="Arial"/>
                              </w:rPr>
                              <w:t>Steatosis Hati</w:t>
                            </w:r>
                          </w:p>
                          <w:p w14:paraId="465A2DFD" w14:textId="77777777" w:rsidR="00CE38BD" w:rsidRPr="00FD623A" w:rsidRDefault="00CE38BD" w:rsidP="00092904">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74C4C" id="Rectangle 214" o:spid="_x0000_s1036" style="position:absolute;left:0;text-align:left;margin-left:362.9pt;margin-top:.7pt;width:84.7pt;height:20.0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" filled="f" strokecolor="black [3200]" strokeweight="1pt">
                <v:textbox>
                  <w:txbxContent>
                    <w:p w14:paraId="4A3AA1B3" w14:textId="77777777" w:rsidR="00CE38BD" w:rsidRPr="005960FF" w:rsidRDefault="00CE38BD" w:rsidP="00092904">
                      <w:pPr>
                        <w:spacing w:after="0" w:line="240" w:lineRule="auto"/>
                        <w:jc w:val="center"/>
                        <w:rPr>
                          <w:rFonts w:ascii="Arial" w:hAnsi="Arial" w:cs="Arial"/>
                        </w:rPr>
                      </w:pPr>
                      <w:r>
                        <w:rPr>
                          <w:rFonts w:ascii="Arial" w:hAnsi="Arial" w:cs="Arial"/>
                        </w:rPr>
                        <w:t>Steatosis Hati</w:t>
                      </w:r>
                    </w:p>
                    <w:p w14:paraId="465A2DFD" w14:textId="77777777" w:rsidR="00CE38BD" w:rsidRPr="00FD623A" w:rsidRDefault="00CE38BD" w:rsidP="00092904">
                      <w:pPr>
                        <w:spacing w:after="0" w:line="240" w:lineRule="auto"/>
                        <w:jc w:val="center"/>
                        <w:rPr>
                          <w:rFonts w:ascii="Arial" w:hAnsi="Arial" w:cs="Arial"/>
                        </w:rPr>
                      </w:pPr>
                    </w:p>
                  </w:txbxContent>
                </v:textbox>
              </v:rect>
            </w:pict>
          </mc:Fallback>
        </mc:AlternateContent>
      </w:r>
      <w:r w:rsidR="004717A3" w:rsidRPr="0035519F">
        <w:rPr>
          <w:rFonts w:ascii="Arial" w:hAnsi="Arial" w:cs="Arial"/>
          <w:b/>
          <w:noProof/>
          <w:sz w:val="24"/>
          <w:szCs w:val="24"/>
        </w:rPr>
        <mc:AlternateContent>
          <mc:Choice Requires="wps">
            <w:drawing>
              <wp:anchor distT="0" distB="0" distL="114300" distR="114300" simplePos="0" relativeHeight="251978752" behindDoc="0" locked="0" layoutInCell="1" allowOverlap="1" wp14:anchorId="22AA0ABF" wp14:editId="706AF65C">
                <wp:simplePos x="0" y="0"/>
                <wp:positionH relativeFrom="column">
                  <wp:posOffset>2322195</wp:posOffset>
                </wp:positionH>
                <wp:positionV relativeFrom="paragraph">
                  <wp:posOffset>208915</wp:posOffset>
                </wp:positionV>
                <wp:extent cx="1724025" cy="254635"/>
                <wp:effectExtent l="0" t="0" r="28575" b="12065"/>
                <wp:wrapNone/>
                <wp:docPr id="198" name="Rectangle 198"/>
                <wp:cNvGraphicFramePr/>
                <a:graphic xmlns:a="http://schemas.openxmlformats.org/drawingml/2006/main">
                  <a:graphicData uri="http://schemas.microsoft.com/office/word/2010/wordprocessingShape">
                    <wps:wsp>
                      <wps:cNvSpPr/>
                      <wps:spPr>
                        <a:xfrm>
                          <a:off x="0" y="0"/>
                          <a:ext cx="1724025" cy="2546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22481CED" w14:textId="77777777" w:rsidR="00CE38BD" w:rsidRPr="005960FF" w:rsidRDefault="00CE38BD" w:rsidP="00B97E6B">
                            <w:pPr>
                              <w:spacing w:after="0" w:line="240" w:lineRule="auto"/>
                              <w:jc w:val="center"/>
                              <w:rPr>
                                <w:rFonts w:ascii="Arial" w:hAnsi="Arial" w:cs="Arial"/>
                              </w:rPr>
                            </w:pPr>
                            <w:r>
                              <w:rPr>
                                <w:rFonts w:ascii="Arial" w:hAnsi="Arial" w:cs="Arial"/>
                              </w:rPr>
                              <w:t>Hati (Produksi IGF-1)</w:t>
                            </w:r>
                          </w:p>
                          <w:p w14:paraId="438A66B8" w14:textId="77777777" w:rsidR="00CE38BD" w:rsidRPr="00FD623A" w:rsidRDefault="00CE38BD" w:rsidP="00B97E6B">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A0ABF" id="Rectangle 198" o:spid="_x0000_s1037" style="position:absolute;left:0;text-align:left;margin-left:182.85pt;margin-top:16.45pt;width:135.75pt;height:20.0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" filled="f" strokecolor="black [3200]" strokeweight="1pt">
                <v:textbox>
                  <w:txbxContent>
                    <w:p w14:paraId="22481CED" w14:textId="77777777" w:rsidR="00CE38BD" w:rsidRPr="005960FF" w:rsidRDefault="00CE38BD" w:rsidP="00B97E6B">
                      <w:pPr>
                        <w:spacing w:after="0" w:line="240" w:lineRule="auto"/>
                        <w:jc w:val="center"/>
                        <w:rPr>
                          <w:rFonts w:ascii="Arial" w:hAnsi="Arial" w:cs="Arial"/>
                        </w:rPr>
                      </w:pPr>
                      <w:r>
                        <w:rPr>
                          <w:rFonts w:ascii="Arial" w:hAnsi="Arial" w:cs="Arial"/>
                        </w:rPr>
                        <w:t>Hati (Produksi IGF-1)</w:t>
                      </w:r>
                    </w:p>
                    <w:p w14:paraId="438A66B8" w14:textId="77777777" w:rsidR="00CE38BD" w:rsidRPr="00FD623A" w:rsidRDefault="00CE38BD" w:rsidP="00B97E6B">
                      <w:pPr>
                        <w:spacing w:after="0" w:line="240" w:lineRule="auto"/>
                        <w:jc w:val="center"/>
                        <w:rPr>
                          <w:rFonts w:ascii="Arial" w:hAnsi="Arial" w:cs="Arial"/>
                        </w:rPr>
                      </w:pPr>
                    </w:p>
                  </w:txbxContent>
                </v:textbox>
              </v:rect>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76704" behindDoc="0" locked="0" layoutInCell="1" allowOverlap="1" wp14:anchorId="6030999F" wp14:editId="43825509">
                <wp:simplePos x="0" y="0"/>
                <wp:positionH relativeFrom="column">
                  <wp:posOffset>1017270</wp:posOffset>
                </wp:positionH>
                <wp:positionV relativeFrom="paragraph">
                  <wp:posOffset>212090</wp:posOffset>
                </wp:positionV>
                <wp:extent cx="828675" cy="254635"/>
                <wp:effectExtent l="0" t="0" r="28575" b="12065"/>
                <wp:wrapNone/>
                <wp:docPr id="196" name="Rectangle 196"/>
                <wp:cNvGraphicFramePr/>
                <a:graphic xmlns:a="http://schemas.openxmlformats.org/drawingml/2006/main">
                  <a:graphicData uri="http://schemas.microsoft.com/office/word/2010/wordprocessingShape">
                    <wps:wsp>
                      <wps:cNvSpPr/>
                      <wps:spPr>
                        <a:xfrm>
                          <a:off x="0" y="0"/>
                          <a:ext cx="828675" cy="2546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57CCC212" w14:textId="77777777" w:rsidR="00CE38BD" w:rsidRPr="005960FF" w:rsidRDefault="00CE38BD" w:rsidP="00B97E6B">
                            <w:pPr>
                              <w:spacing w:after="0" w:line="240" w:lineRule="auto"/>
                              <w:jc w:val="center"/>
                              <w:rPr>
                                <w:rFonts w:ascii="Arial" w:hAnsi="Arial" w:cs="Arial"/>
                              </w:rPr>
                            </w:pPr>
                            <w:r>
                              <w:rPr>
                                <w:rFonts w:ascii="Arial" w:hAnsi="Arial" w:cs="Arial"/>
                              </w:rPr>
                              <w:t>Adiposit</w:t>
                            </w:r>
                          </w:p>
                          <w:p w14:paraId="653E01A8" w14:textId="77777777" w:rsidR="00CE38BD" w:rsidRPr="00FD623A" w:rsidRDefault="00CE38BD" w:rsidP="00B97E6B">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0999F" id="Rectangle 196" o:spid="_x0000_s1038" style="position:absolute;left:0;text-align:left;margin-left:80.1pt;margin-top:16.7pt;width:65.25pt;height:20.0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" filled="f" strokecolor="black [3200]" strokeweight="1pt">
                <v:textbox>
                  <w:txbxContent>
                    <w:p w14:paraId="57CCC212" w14:textId="77777777" w:rsidR="00CE38BD" w:rsidRPr="005960FF" w:rsidRDefault="00CE38BD" w:rsidP="00B97E6B">
                      <w:pPr>
                        <w:spacing w:after="0" w:line="240" w:lineRule="auto"/>
                        <w:jc w:val="center"/>
                        <w:rPr>
                          <w:rFonts w:ascii="Arial" w:hAnsi="Arial" w:cs="Arial"/>
                        </w:rPr>
                      </w:pPr>
                      <w:r>
                        <w:rPr>
                          <w:rFonts w:ascii="Arial" w:hAnsi="Arial" w:cs="Arial"/>
                        </w:rPr>
                        <w:t>Adiposit</w:t>
                      </w:r>
                    </w:p>
                    <w:p w14:paraId="653E01A8" w14:textId="77777777" w:rsidR="00CE38BD" w:rsidRPr="00FD623A" w:rsidRDefault="00CE38BD" w:rsidP="00B97E6B">
                      <w:pPr>
                        <w:spacing w:after="0" w:line="240" w:lineRule="auto"/>
                        <w:jc w:val="center"/>
                        <w:rPr>
                          <w:rFonts w:ascii="Arial" w:hAnsi="Arial" w:cs="Arial"/>
                        </w:rPr>
                      </w:pPr>
                    </w:p>
                  </w:txbxContent>
                </v:textbox>
              </v:rect>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88992" behindDoc="0" locked="0" layoutInCell="1" allowOverlap="1" wp14:anchorId="7A04FFCD" wp14:editId="2CD64AE4">
                <wp:simplePos x="0" y="0"/>
                <wp:positionH relativeFrom="column">
                  <wp:posOffset>1426845</wp:posOffset>
                </wp:positionH>
                <wp:positionV relativeFrom="paragraph">
                  <wp:posOffset>66040</wp:posOffset>
                </wp:positionV>
                <wp:extent cx="0" cy="133350"/>
                <wp:effectExtent l="76200" t="0" r="57150" b="57150"/>
                <wp:wrapNone/>
                <wp:docPr id="207" name="Straight Arrow Connector 207"/>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87B664" id="Straight Arrow Connector 207" o:spid="_x0000_s1026" type="#_x0000_t32" style="position:absolute;margin-left:112.35pt;margin-top:5.2pt;width:0;height:10.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" strokecolor="black [3200]" strokeweight=".5pt">
                <v:stroke endarrow="block" joinstyle="miter"/>
              </v:shape>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86944" behindDoc="0" locked="0" layoutInCell="1" allowOverlap="1" wp14:anchorId="3403EA91" wp14:editId="154A7912">
                <wp:simplePos x="0" y="0"/>
                <wp:positionH relativeFrom="column">
                  <wp:posOffset>3646170</wp:posOffset>
                </wp:positionH>
                <wp:positionV relativeFrom="paragraph">
                  <wp:posOffset>66040</wp:posOffset>
                </wp:positionV>
                <wp:extent cx="0" cy="133350"/>
                <wp:effectExtent l="76200" t="0" r="57150" b="57150"/>
                <wp:wrapNone/>
                <wp:docPr id="205" name="Straight Arrow Connector 205"/>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54C6E1" id="Straight Arrow Connector 205" o:spid="_x0000_s1026" type="#_x0000_t32" style="position:absolute;margin-left:287.1pt;margin-top:5.2pt;width:0;height:10.5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" strokecolor="black [3200]" strokeweight=".5pt">
                <v:stroke endarrow="block" joinstyle="miter"/>
              </v:shape>
            </w:pict>
          </mc:Fallback>
        </mc:AlternateContent>
      </w:r>
      <w:r w:rsidR="00B97E6B" w:rsidRPr="0035519F">
        <w:rPr>
          <w:rFonts w:ascii="Arial" w:hAnsi="Arial" w:cs="Arial"/>
          <w:b/>
          <w:noProof/>
          <w:sz w:val="24"/>
          <w:szCs w:val="24"/>
        </w:rPr>
        <mc:AlternateContent>
          <mc:Choice Requires="wps">
            <w:drawing>
              <wp:anchor distT="0" distB="0" distL="114300" distR="114300" simplePos="0" relativeHeight="251982848" behindDoc="0" locked="0" layoutInCell="1" allowOverlap="1" wp14:anchorId="65136A73" wp14:editId="34E79F7C">
                <wp:simplePos x="0" y="0"/>
                <wp:positionH relativeFrom="column">
                  <wp:posOffset>1426844</wp:posOffset>
                </wp:positionH>
                <wp:positionV relativeFrom="paragraph">
                  <wp:posOffset>66040</wp:posOffset>
                </wp:positionV>
                <wp:extent cx="2219325" cy="0"/>
                <wp:effectExtent l="0" t="0" r="28575" b="19050"/>
                <wp:wrapNone/>
                <wp:docPr id="200" name="Straight Connector 200"/>
                <wp:cNvGraphicFramePr/>
                <a:graphic xmlns:a="http://schemas.openxmlformats.org/drawingml/2006/main">
                  <a:graphicData uri="http://schemas.microsoft.com/office/word/2010/wordprocessingShape">
                    <wps:wsp>
                      <wps:cNvCnPr/>
                      <wps:spPr>
                        <a:xfrm flipV="1">
                          <a:off x="0" y="0"/>
                          <a:ext cx="2219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01B1AB" id="Straight Connector 200" o:spid="_x0000_s1026" style="position:absolute;flip:y;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35pt,5.2pt" to="287.1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" strokecolor="black [3200]" strokeweight=".5pt">
                <v:stroke joinstyle="miter"/>
              </v:line>
            </w:pict>
          </mc:Fallback>
        </mc:AlternateContent>
      </w:r>
    </w:p>
    <w:p w14:paraId="154D2E7A" w14:textId="77777777" w:rsidR="008E0FCD" w:rsidRPr="0035519F" w:rsidRDefault="00624F5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13568" behindDoc="0" locked="0" layoutInCell="1" allowOverlap="1" wp14:anchorId="23C7C832" wp14:editId="4257E029">
                <wp:simplePos x="0" y="0"/>
                <wp:positionH relativeFrom="column">
                  <wp:posOffset>941070</wp:posOffset>
                </wp:positionH>
                <wp:positionV relativeFrom="paragraph">
                  <wp:posOffset>251460</wp:posOffset>
                </wp:positionV>
                <wp:extent cx="628650" cy="1204595"/>
                <wp:effectExtent l="38100" t="76200" r="19050" b="33655"/>
                <wp:wrapNone/>
                <wp:docPr id="243" name="Elbow Connector 243"/>
                <wp:cNvGraphicFramePr/>
                <a:graphic xmlns:a="http://schemas.openxmlformats.org/drawingml/2006/main">
                  <a:graphicData uri="http://schemas.microsoft.com/office/word/2010/wordprocessingShape">
                    <wps:wsp>
                      <wps:cNvCnPr/>
                      <wps:spPr>
                        <a:xfrm flipH="1" flipV="1">
                          <a:off x="0" y="0"/>
                          <a:ext cx="628650" cy="120459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14BC5E" id="Elbow Connector 243" o:spid="_x0000_s1026" type="#_x0000_t34" style="position:absolute;margin-left:74.1pt;margin-top:19.8pt;width:49.5pt;height:94.85pt;flip:x y;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" strokecolor="black [3200]" strokeweight=".5pt">
                <v:stroke endarrow="block"/>
              </v:shape>
            </w:pict>
          </mc:Fallback>
        </mc:AlternateContent>
      </w:r>
      <w:r w:rsidRPr="0035519F">
        <w:rPr>
          <w:rFonts w:ascii="Arial" w:hAnsi="Arial" w:cs="Arial"/>
          <w:b/>
          <w:noProof/>
          <w:sz w:val="24"/>
          <w:szCs w:val="24"/>
        </w:rPr>
        <mc:AlternateContent>
          <mc:Choice Requires="wps">
            <w:drawing>
              <wp:anchor distT="0" distB="0" distL="114300" distR="114300" simplePos="0" relativeHeight="252011520" behindDoc="0" locked="0" layoutInCell="1" allowOverlap="1" wp14:anchorId="00032292" wp14:editId="1351DE55">
                <wp:simplePos x="0" y="0"/>
                <wp:positionH relativeFrom="column">
                  <wp:posOffset>4055745</wp:posOffset>
                </wp:positionH>
                <wp:positionV relativeFrom="paragraph">
                  <wp:posOffset>48895</wp:posOffset>
                </wp:positionV>
                <wp:extent cx="419100" cy="1028700"/>
                <wp:effectExtent l="0" t="0" r="57150" b="95250"/>
                <wp:wrapNone/>
                <wp:docPr id="232" name="Elbow Connector 232"/>
                <wp:cNvGraphicFramePr/>
                <a:graphic xmlns:a="http://schemas.openxmlformats.org/drawingml/2006/main">
                  <a:graphicData uri="http://schemas.microsoft.com/office/word/2010/wordprocessingShape">
                    <wps:wsp>
                      <wps:cNvCnPr/>
                      <wps:spPr>
                        <a:xfrm>
                          <a:off x="0" y="0"/>
                          <a:ext cx="419100" cy="1028700"/>
                        </a:xfrm>
                        <a:prstGeom prst="bentConnector3">
                          <a:avLst>
                            <a:gd name="adj1" fmla="val 58784"/>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EEC19" id="Elbow Connector 232" o:spid="_x0000_s1026" type="#_x0000_t34" style="position:absolute;margin-left:319.35pt;margin-top:3.85pt;width:33pt;height:81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" adj="12697" strokecolor="black [3200]" strokeweight=".5pt">
                <v:stroke dashstyle="dash" endarrow="block"/>
              </v:shape>
            </w:pict>
          </mc:Fallback>
        </mc:AlternateContent>
      </w:r>
      <w:r w:rsidRPr="0035519F">
        <w:rPr>
          <w:rFonts w:ascii="Arial" w:hAnsi="Arial" w:cs="Arial"/>
          <w:b/>
          <w:noProof/>
          <w:sz w:val="24"/>
          <w:szCs w:val="24"/>
        </w:rPr>
        <mc:AlternateContent>
          <mc:Choice Requires="wps">
            <w:drawing>
              <wp:anchor distT="0" distB="0" distL="114300" distR="114300" simplePos="0" relativeHeight="252008448" behindDoc="0" locked="0" layoutInCell="1" allowOverlap="1" wp14:anchorId="4A02DD91" wp14:editId="6AFADF16">
                <wp:simplePos x="0" y="0"/>
                <wp:positionH relativeFrom="column">
                  <wp:posOffset>3503295</wp:posOffset>
                </wp:positionH>
                <wp:positionV relativeFrom="paragraph">
                  <wp:posOffset>163195</wp:posOffset>
                </wp:positionV>
                <wp:extent cx="476250" cy="2169160"/>
                <wp:effectExtent l="0" t="38100" r="76200" b="21590"/>
                <wp:wrapNone/>
                <wp:docPr id="225" name="Elbow Connector 225"/>
                <wp:cNvGraphicFramePr/>
                <a:graphic xmlns:a="http://schemas.openxmlformats.org/drawingml/2006/main">
                  <a:graphicData uri="http://schemas.microsoft.com/office/word/2010/wordprocessingShape">
                    <wps:wsp>
                      <wps:cNvCnPr/>
                      <wps:spPr>
                        <a:xfrm flipV="1">
                          <a:off x="0" y="0"/>
                          <a:ext cx="476250" cy="2169160"/>
                        </a:xfrm>
                        <a:prstGeom prst="bentConnector3">
                          <a:avLst>
                            <a:gd name="adj1" fmla="val 100000"/>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81842" id="Elbow Connector 225" o:spid="_x0000_s1026" type="#_x0000_t34" style="position:absolute;margin-left:275.85pt;margin-top:12.85pt;width:37.5pt;height:170.8pt;flip: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" adj="21600" strokecolor="black [3200]" strokeweight=".5pt">
                <v:stroke dashstyle="dash" endarrow="block"/>
              </v:shape>
            </w:pict>
          </mc:Fallback>
        </mc:AlternateContent>
      </w:r>
      <w:r w:rsidR="004717A3" w:rsidRPr="0035519F">
        <w:rPr>
          <w:rFonts w:ascii="Arial" w:hAnsi="Arial" w:cs="Arial"/>
          <w:b/>
          <w:noProof/>
          <w:sz w:val="24"/>
          <w:szCs w:val="24"/>
        </w:rPr>
        <mc:AlternateContent>
          <mc:Choice Requires="wps">
            <w:drawing>
              <wp:anchor distT="0" distB="0" distL="114300" distR="114300" simplePos="0" relativeHeight="252000256" behindDoc="0" locked="0" layoutInCell="1" allowOverlap="1" wp14:anchorId="354D3FE9" wp14:editId="6F999D4A">
                <wp:simplePos x="0" y="0"/>
                <wp:positionH relativeFrom="column">
                  <wp:posOffset>3598545</wp:posOffset>
                </wp:positionH>
                <wp:positionV relativeFrom="paragraph">
                  <wp:posOffset>163195</wp:posOffset>
                </wp:positionV>
                <wp:extent cx="285750" cy="1292860"/>
                <wp:effectExtent l="0" t="38100" r="76200" b="21590"/>
                <wp:wrapNone/>
                <wp:docPr id="218" name="Elbow Connector 218"/>
                <wp:cNvGraphicFramePr/>
                <a:graphic xmlns:a="http://schemas.openxmlformats.org/drawingml/2006/main">
                  <a:graphicData uri="http://schemas.microsoft.com/office/word/2010/wordprocessingShape">
                    <wps:wsp>
                      <wps:cNvCnPr/>
                      <wps:spPr>
                        <a:xfrm flipV="1">
                          <a:off x="0" y="0"/>
                          <a:ext cx="285750" cy="1292860"/>
                        </a:xfrm>
                        <a:prstGeom prst="bentConnector3">
                          <a:avLst>
                            <a:gd name="adj1" fmla="val 100000"/>
                          </a:avLst>
                        </a:prstGeom>
                        <a:ln>
                          <a:prstDash val="sys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F8FA9" id="Elbow Connector 218" o:spid="_x0000_s1026" type="#_x0000_t34" style="position:absolute;margin-left:283.35pt;margin-top:12.85pt;width:22.5pt;height:101.8pt;flip:y;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" adj="21600" strokecolor="black [3200]" strokeweight=".5pt">
                <v:stroke dashstyle="3 1" endarrow="block"/>
              </v:shape>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94112" behindDoc="0" locked="0" layoutInCell="1" allowOverlap="1" wp14:anchorId="7334234E" wp14:editId="323B5841">
                <wp:simplePos x="0" y="0"/>
                <wp:positionH relativeFrom="column">
                  <wp:posOffset>3693795</wp:posOffset>
                </wp:positionH>
                <wp:positionV relativeFrom="paragraph">
                  <wp:posOffset>115570</wp:posOffset>
                </wp:positionV>
                <wp:extent cx="0" cy="135890"/>
                <wp:effectExtent l="0" t="0" r="19050" b="16510"/>
                <wp:wrapNone/>
                <wp:docPr id="212" name="Straight Connector 212"/>
                <wp:cNvGraphicFramePr/>
                <a:graphic xmlns:a="http://schemas.openxmlformats.org/drawingml/2006/main">
                  <a:graphicData uri="http://schemas.microsoft.com/office/word/2010/wordprocessingShape">
                    <wps:wsp>
                      <wps:cNvCnPr/>
                      <wps:spPr>
                        <a:xfrm flipV="1">
                          <a:off x="0" y="0"/>
                          <a:ext cx="0" cy="1358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A5FB96" id="Straight Connector 212" o:spid="_x0000_s1026" style="position:absolute;flip:y;z-index:251994112;visibility:visible;mso-wrap-style:square;mso-wrap-distance-left:9pt;mso-wrap-distance-top:0;mso-wrap-distance-right:9pt;mso-wrap-distance-bottom:0;mso-position-horizontal:absolute;mso-position-horizontal-relative:text;mso-position-vertical:absolute;mso-position-vertical-relative:text" from="290.85pt,9.1pt" to="290.8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" strokecolor="black [3200]" strokeweight=".5pt">
                <v:stroke joinstyle="miter"/>
              </v:line>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92064" behindDoc="0" locked="0" layoutInCell="1" allowOverlap="1" wp14:anchorId="29B58544" wp14:editId="33C63867">
                <wp:simplePos x="0" y="0"/>
                <wp:positionH relativeFrom="column">
                  <wp:posOffset>1474470</wp:posOffset>
                </wp:positionH>
                <wp:positionV relativeFrom="paragraph">
                  <wp:posOffset>113030</wp:posOffset>
                </wp:positionV>
                <wp:extent cx="0" cy="135890"/>
                <wp:effectExtent l="0" t="0" r="19050" b="16510"/>
                <wp:wrapNone/>
                <wp:docPr id="211" name="Straight Connector 211"/>
                <wp:cNvGraphicFramePr/>
                <a:graphic xmlns:a="http://schemas.openxmlformats.org/drawingml/2006/main">
                  <a:graphicData uri="http://schemas.microsoft.com/office/word/2010/wordprocessingShape">
                    <wps:wsp>
                      <wps:cNvCnPr/>
                      <wps:spPr>
                        <a:xfrm flipV="1">
                          <a:off x="0" y="0"/>
                          <a:ext cx="0" cy="1358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241554" id="Straight Connector 211" o:spid="_x0000_s1026" style="position:absolute;flip:y;z-index:251992064;visibility:visible;mso-wrap-style:square;mso-wrap-distance-left:9pt;mso-wrap-distance-top:0;mso-wrap-distance-right:9pt;mso-wrap-distance-bottom:0;mso-position-horizontal:absolute;mso-position-horizontal-relative:text;mso-position-vertical:absolute;mso-position-vertical-relative:text" from="116.1pt,8.9pt" to="116.1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" strokecolor="black [3200]" strokeweight=".5pt">
                <v:stroke joinstyle="miter"/>
              </v:line>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66464" behindDoc="0" locked="0" layoutInCell="1" allowOverlap="1" wp14:anchorId="566E91D2" wp14:editId="6ADD0D4A">
                <wp:simplePos x="0" y="0"/>
                <wp:positionH relativeFrom="column">
                  <wp:posOffset>2569845</wp:posOffset>
                </wp:positionH>
                <wp:positionV relativeFrom="paragraph">
                  <wp:posOffset>245110</wp:posOffset>
                </wp:positionV>
                <wp:extent cx="0" cy="133350"/>
                <wp:effectExtent l="76200" t="0" r="57150" b="57150"/>
                <wp:wrapNone/>
                <wp:docPr id="61" name="Straight Arrow Connector 61"/>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5D4FA6" id="Straight Arrow Connector 61" o:spid="_x0000_s1026" type="#_x0000_t32" style="position:absolute;margin-left:202.35pt;margin-top:19.3pt;width:0;height:10.5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" strokecolor="black [3200]" strokeweight=".5pt">
                <v:stroke endarrow="block" joinstyle="miter"/>
              </v:shape>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91040" behindDoc="0" locked="0" layoutInCell="1" allowOverlap="1" wp14:anchorId="3D53AE38" wp14:editId="4E4F6832">
                <wp:simplePos x="0" y="0"/>
                <wp:positionH relativeFrom="column">
                  <wp:posOffset>1474470</wp:posOffset>
                </wp:positionH>
                <wp:positionV relativeFrom="paragraph">
                  <wp:posOffset>248920</wp:posOffset>
                </wp:positionV>
                <wp:extent cx="2219325" cy="0"/>
                <wp:effectExtent l="0" t="0" r="28575" b="19050"/>
                <wp:wrapNone/>
                <wp:docPr id="208" name="Straight Connector 208"/>
                <wp:cNvGraphicFramePr/>
                <a:graphic xmlns:a="http://schemas.openxmlformats.org/drawingml/2006/main">
                  <a:graphicData uri="http://schemas.microsoft.com/office/word/2010/wordprocessingShape">
                    <wps:wsp>
                      <wps:cNvCnPr/>
                      <wps:spPr>
                        <a:xfrm flipV="1">
                          <a:off x="0" y="0"/>
                          <a:ext cx="2219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CFF90" id="Straight Connector 208" o:spid="_x0000_s1026" style="position:absolute;flip:y;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pt,19.6pt" to="290.8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" strokecolor="black [3200]" strokeweight=".5pt">
                <v:stroke joinstyle="miter"/>
              </v:line>
            </w:pict>
          </mc:Fallback>
        </mc:AlternateContent>
      </w:r>
    </w:p>
    <w:p w14:paraId="4CFCBB76" w14:textId="77777777" w:rsidR="007757AB" w:rsidRPr="0035519F" w:rsidRDefault="004717A3"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830272" behindDoc="0" locked="0" layoutInCell="1" allowOverlap="1" wp14:anchorId="575D1570" wp14:editId="290C4A46">
                <wp:simplePos x="0" y="0"/>
                <wp:positionH relativeFrom="column">
                  <wp:posOffset>-573405</wp:posOffset>
                </wp:positionH>
                <wp:positionV relativeFrom="paragraph">
                  <wp:posOffset>302260</wp:posOffset>
                </wp:positionV>
                <wp:extent cx="1714500" cy="628650"/>
                <wp:effectExtent l="0" t="0" r="19050" b="19050"/>
                <wp:wrapNone/>
                <wp:docPr id="193" name="Rectangle 193"/>
                <wp:cNvGraphicFramePr/>
                <a:graphic xmlns:a="http://schemas.openxmlformats.org/drawingml/2006/main">
                  <a:graphicData uri="http://schemas.microsoft.com/office/word/2010/wordprocessingShape">
                    <wps:wsp>
                      <wps:cNvSpPr/>
                      <wps:spPr>
                        <a:xfrm>
                          <a:off x="0" y="0"/>
                          <a:ext cx="1714500" cy="628650"/>
                        </a:xfrm>
                        <a:prstGeom prst="rect">
                          <a:avLst/>
                        </a:prstGeom>
                        <a:noFill/>
                      </wps:spPr>
                      <wps:style>
                        <a:lnRef idx="2">
                          <a:schemeClr val="dk1"/>
                        </a:lnRef>
                        <a:fillRef idx="1">
                          <a:schemeClr val="lt1"/>
                        </a:fillRef>
                        <a:effectRef idx="0">
                          <a:schemeClr val="dk1"/>
                        </a:effectRef>
                        <a:fontRef idx="minor">
                          <a:schemeClr val="dk1"/>
                        </a:fontRef>
                      </wps:style>
                      <wps:txbx>
                        <w:txbxContent>
                          <w:p w14:paraId="77FBCE56" w14:textId="77777777" w:rsidR="00CE38BD" w:rsidRDefault="00CE38BD" w:rsidP="002825CA">
                            <w:pPr>
                              <w:spacing w:after="0" w:line="240" w:lineRule="auto"/>
                              <w:jc w:val="center"/>
                              <w:rPr>
                                <w:rFonts w:ascii="Arial" w:hAnsi="Arial" w:cs="Arial"/>
                              </w:rPr>
                            </w:pPr>
                            <w:r>
                              <w:rPr>
                                <w:rFonts w:ascii="Arial" w:hAnsi="Arial" w:cs="Arial"/>
                              </w:rPr>
                              <w:t xml:space="preserve">Peningkatan </w:t>
                            </w:r>
                            <w:r w:rsidRPr="00624F54">
                              <w:rPr>
                                <w:rFonts w:ascii="Arial" w:hAnsi="Arial" w:cs="Arial"/>
                                <w:i/>
                              </w:rPr>
                              <w:t>Free IGF-1</w:t>
                            </w:r>
                            <w:r>
                              <w:rPr>
                                <w:rFonts w:ascii="Arial" w:hAnsi="Arial" w:cs="Arial"/>
                              </w:rPr>
                              <w:t xml:space="preserve"> bersirkulasi</w:t>
                            </w:r>
                          </w:p>
                          <w:p w14:paraId="1227B9D2" w14:textId="77777777" w:rsidR="00CE38BD" w:rsidRPr="00F066BC" w:rsidRDefault="00CE38BD" w:rsidP="002825CA">
                            <w:pPr>
                              <w:spacing w:after="0" w:line="240" w:lineRule="auto"/>
                              <w:jc w:val="center"/>
                              <w:rPr>
                                <w:rFonts w:ascii="Arial" w:hAnsi="Arial" w:cs="Arial"/>
                              </w:rPr>
                            </w:pPr>
                            <w:r>
                              <w:rPr>
                                <w:rFonts w:ascii="Arial" w:hAnsi="Arial" w:cs="Arial"/>
                              </w:rPr>
                              <w:t xml:space="preserve"> (</w:t>
                            </w:r>
                            <w:r w:rsidRPr="002825CA">
                              <w:rPr>
                                <w:rFonts w:ascii="Arial" w:hAnsi="Arial" w:cs="Arial"/>
                                <w:i/>
                              </w:rPr>
                              <w:t>false impression</w:t>
                            </w:r>
                            <w:r>
                              <w:rPr>
                                <w:rFonts w:ascii="Arial" w:hAnsi="Arial" w:cs="Arial"/>
                              </w:rPr>
                              <w:t>)</w:t>
                            </w:r>
                          </w:p>
                          <w:p w14:paraId="19107B71" w14:textId="77777777" w:rsidR="00CE38BD" w:rsidRPr="00FD623A" w:rsidRDefault="00CE38BD" w:rsidP="006B2737">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D1570" id="Rectangle 193" o:spid="_x0000_s1039" style="position:absolute;left:0;text-align:left;margin-left:-45.15pt;margin-top:23.8pt;width:135pt;height:4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" filled="f" strokecolor="black [3200]" strokeweight="1pt">
                <v:textbox>
                  <w:txbxContent>
                    <w:p w14:paraId="77FBCE56" w14:textId="77777777" w:rsidR="00CE38BD" w:rsidRDefault="00CE38BD" w:rsidP="002825CA">
                      <w:pPr>
                        <w:spacing w:after="0" w:line="240" w:lineRule="auto"/>
                        <w:jc w:val="center"/>
                        <w:rPr>
                          <w:rFonts w:ascii="Arial" w:hAnsi="Arial" w:cs="Arial"/>
                        </w:rPr>
                      </w:pPr>
                      <w:r>
                        <w:rPr>
                          <w:rFonts w:ascii="Arial" w:hAnsi="Arial" w:cs="Arial"/>
                        </w:rPr>
                        <w:t xml:space="preserve">Peningkatan </w:t>
                      </w:r>
                      <w:r w:rsidRPr="00624F54">
                        <w:rPr>
                          <w:rFonts w:ascii="Arial" w:hAnsi="Arial" w:cs="Arial"/>
                          <w:i/>
                        </w:rPr>
                        <w:t>Free IGF-1</w:t>
                      </w:r>
                      <w:r>
                        <w:rPr>
                          <w:rFonts w:ascii="Arial" w:hAnsi="Arial" w:cs="Arial"/>
                        </w:rPr>
                        <w:t xml:space="preserve"> bersirkulasi</w:t>
                      </w:r>
                    </w:p>
                    <w:p w14:paraId="1227B9D2" w14:textId="77777777" w:rsidR="00CE38BD" w:rsidRPr="00F066BC" w:rsidRDefault="00CE38BD" w:rsidP="002825CA">
                      <w:pPr>
                        <w:spacing w:after="0" w:line="240" w:lineRule="auto"/>
                        <w:jc w:val="center"/>
                        <w:rPr>
                          <w:rFonts w:ascii="Arial" w:hAnsi="Arial" w:cs="Arial"/>
                        </w:rPr>
                      </w:pPr>
                      <w:r>
                        <w:rPr>
                          <w:rFonts w:ascii="Arial" w:hAnsi="Arial" w:cs="Arial"/>
                        </w:rPr>
                        <w:t xml:space="preserve"> (</w:t>
                      </w:r>
                      <w:r w:rsidRPr="002825CA">
                        <w:rPr>
                          <w:rFonts w:ascii="Arial" w:hAnsi="Arial" w:cs="Arial"/>
                          <w:i/>
                        </w:rPr>
                        <w:t>false impression</w:t>
                      </w:r>
                      <w:r>
                        <w:rPr>
                          <w:rFonts w:ascii="Arial" w:hAnsi="Arial" w:cs="Arial"/>
                        </w:rPr>
                        <w:t>)</w:t>
                      </w:r>
                    </w:p>
                    <w:p w14:paraId="19107B71" w14:textId="77777777" w:rsidR="00CE38BD" w:rsidRPr="00FD623A" w:rsidRDefault="00CE38BD" w:rsidP="006B2737">
                      <w:pPr>
                        <w:spacing w:after="0" w:line="240" w:lineRule="auto"/>
                        <w:jc w:val="center"/>
                        <w:rPr>
                          <w:rFonts w:ascii="Arial" w:hAnsi="Arial" w:cs="Arial"/>
                        </w:rPr>
                      </w:pPr>
                    </w:p>
                  </w:txbxContent>
                </v:textbox>
              </v:rect>
            </w:pict>
          </mc:Fallback>
        </mc:AlternateContent>
      </w:r>
      <w:r w:rsidRPr="0035519F">
        <w:rPr>
          <w:rFonts w:ascii="Arial" w:hAnsi="Arial" w:cs="Arial"/>
          <w:b/>
          <w:noProof/>
          <w:sz w:val="24"/>
          <w:szCs w:val="24"/>
        </w:rPr>
        <mc:AlternateContent>
          <mc:Choice Requires="wps">
            <w:drawing>
              <wp:anchor distT="0" distB="0" distL="114300" distR="114300" simplePos="0" relativeHeight="251972608" behindDoc="0" locked="0" layoutInCell="1" allowOverlap="1" wp14:anchorId="578A1813" wp14:editId="67CA7707">
                <wp:simplePos x="0" y="0"/>
                <wp:positionH relativeFrom="column">
                  <wp:posOffset>283845</wp:posOffset>
                </wp:positionH>
                <wp:positionV relativeFrom="paragraph">
                  <wp:posOffset>156845</wp:posOffset>
                </wp:positionV>
                <wp:extent cx="0" cy="133350"/>
                <wp:effectExtent l="76200" t="0" r="57150" b="57150"/>
                <wp:wrapNone/>
                <wp:docPr id="192" name="Straight Arrow Connector 19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57FEF1" id="Straight Arrow Connector 192" o:spid="_x0000_s1026" type="#_x0000_t32" style="position:absolute;margin-left:22.35pt;margin-top:12.35pt;width:0;height:10.5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" strokecolor="black [3200]" strokeweight=".5pt">
                <v:stroke endarrow="block" joinstyle="miter"/>
              </v:shape>
            </w:pict>
          </mc:Fallback>
        </mc:AlternateContent>
      </w:r>
      <w:r w:rsidR="00B97E6B" w:rsidRPr="0035519F">
        <w:rPr>
          <w:rFonts w:ascii="Arial" w:hAnsi="Arial" w:cs="Arial"/>
          <w:b/>
          <w:noProof/>
          <w:sz w:val="24"/>
          <w:szCs w:val="24"/>
        </w:rPr>
        <mc:AlternateContent>
          <mc:Choice Requires="wps">
            <w:drawing>
              <wp:anchor distT="0" distB="0" distL="114300" distR="114300" simplePos="0" relativeHeight="251778048" behindDoc="0" locked="0" layoutInCell="1" allowOverlap="1" wp14:anchorId="5D45377C" wp14:editId="436E781F">
                <wp:simplePos x="0" y="0"/>
                <wp:positionH relativeFrom="column">
                  <wp:posOffset>1864995</wp:posOffset>
                </wp:positionH>
                <wp:positionV relativeFrom="paragraph">
                  <wp:posOffset>86360</wp:posOffset>
                </wp:positionV>
                <wp:extent cx="1390650" cy="254635"/>
                <wp:effectExtent l="0" t="0" r="19050" b="12065"/>
                <wp:wrapNone/>
                <wp:docPr id="230" name="Rectangle 230"/>
                <wp:cNvGraphicFramePr/>
                <a:graphic xmlns:a="http://schemas.openxmlformats.org/drawingml/2006/main">
                  <a:graphicData uri="http://schemas.microsoft.com/office/word/2010/wordprocessingShape">
                    <wps:wsp>
                      <wps:cNvSpPr/>
                      <wps:spPr>
                        <a:xfrm>
                          <a:off x="0" y="0"/>
                          <a:ext cx="1390650" cy="254635"/>
                        </a:xfrm>
                        <a:prstGeom prst="rect">
                          <a:avLst/>
                        </a:prstGeom>
                        <a:noFill/>
                      </wps:spPr>
                      <wps:style>
                        <a:lnRef idx="2">
                          <a:schemeClr val="dk1"/>
                        </a:lnRef>
                        <a:fillRef idx="1">
                          <a:schemeClr val="lt1"/>
                        </a:fillRef>
                        <a:effectRef idx="0">
                          <a:schemeClr val="dk1"/>
                        </a:effectRef>
                        <a:fontRef idx="minor">
                          <a:schemeClr val="dk1"/>
                        </a:fontRef>
                      </wps:style>
                      <wps:txbx>
                        <w:txbxContent>
                          <w:p w14:paraId="59480008" w14:textId="77777777" w:rsidR="00CE38BD" w:rsidRPr="005960FF" w:rsidRDefault="00CE38BD" w:rsidP="005960FF">
                            <w:pPr>
                              <w:spacing w:after="0" w:line="240" w:lineRule="auto"/>
                              <w:jc w:val="center"/>
                              <w:rPr>
                                <w:rFonts w:ascii="Arial" w:hAnsi="Arial" w:cs="Arial"/>
                              </w:rPr>
                            </w:pPr>
                            <w:r w:rsidRPr="005960FF">
                              <w:rPr>
                                <w:rFonts w:ascii="Arial" w:hAnsi="Arial" w:cs="Arial"/>
                              </w:rPr>
                              <w:t xml:space="preserve">Resistensi Insulin </w:t>
                            </w:r>
                          </w:p>
                          <w:p w14:paraId="3A360F25" w14:textId="77777777" w:rsidR="00CE38BD" w:rsidRPr="00FD623A" w:rsidRDefault="00CE38BD" w:rsidP="005960FF">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5377C" id="Rectangle 230" o:spid="_x0000_s1040" style="position:absolute;left:0;text-align:left;margin-left:146.85pt;margin-top:6.8pt;width:109.5pt;height:20.0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" filled="f" strokecolor="black [3200]" strokeweight="1pt">
                <v:textbox>
                  <w:txbxContent>
                    <w:p w14:paraId="59480008" w14:textId="77777777" w:rsidR="00CE38BD" w:rsidRPr="005960FF" w:rsidRDefault="00CE38BD" w:rsidP="005960FF">
                      <w:pPr>
                        <w:spacing w:after="0" w:line="240" w:lineRule="auto"/>
                        <w:jc w:val="center"/>
                        <w:rPr>
                          <w:rFonts w:ascii="Arial" w:hAnsi="Arial" w:cs="Arial"/>
                        </w:rPr>
                      </w:pPr>
                      <w:r w:rsidRPr="005960FF">
                        <w:rPr>
                          <w:rFonts w:ascii="Arial" w:hAnsi="Arial" w:cs="Arial"/>
                        </w:rPr>
                        <w:t xml:space="preserve">Resistensi Insulin </w:t>
                      </w:r>
                    </w:p>
                    <w:p w14:paraId="3A360F25" w14:textId="77777777" w:rsidR="00CE38BD" w:rsidRPr="00FD623A" w:rsidRDefault="00CE38BD" w:rsidP="005960FF">
                      <w:pPr>
                        <w:spacing w:after="0" w:line="240" w:lineRule="auto"/>
                        <w:jc w:val="center"/>
                        <w:rPr>
                          <w:rFonts w:ascii="Arial" w:hAnsi="Arial" w:cs="Arial"/>
                        </w:rPr>
                      </w:pPr>
                    </w:p>
                  </w:txbxContent>
                </v:textbox>
              </v:rect>
            </w:pict>
          </mc:Fallback>
        </mc:AlternateContent>
      </w:r>
    </w:p>
    <w:p w14:paraId="16B0801A" w14:textId="77777777" w:rsidR="007757AB" w:rsidRPr="0035519F" w:rsidRDefault="00624F5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10496" behindDoc="0" locked="0" layoutInCell="1" allowOverlap="1" wp14:anchorId="5E842CB2" wp14:editId="0FB39085">
                <wp:simplePos x="0" y="0"/>
                <wp:positionH relativeFrom="column">
                  <wp:posOffset>4474845</wp:posOffset>
                </wp:positionH>
                <wp:positionV relativeFrom="paragraph">
                  <wp:posOffset>176530</wp:posOffset>
                </wp:positionV>
                <wp:extent cx="1209675" cy="419100"/>
                <wp:effectExtent l="0" t="0" r="28575" b="19050"/>
                <wp:wrapNone/>
                <wp:docPr id="229" name="Rectangle 229"/>
                <wp:cNvGraphicFramePr/>
                <a:graphic xmlns:a="http://schemas.openxmlformats.org/drawingml/2006/main">
                  <a:graphicData uri="http://schemas.microsoft.com/office/word/2010/wordprocessingShape">
                    <wps:wsp>
                      <wps:cNvSpPr/>
                      <wps:spPr>
                        <a:xfrm>
                          <a:off x="0" y="0"/>
                          <a:ext cx="1209675" cy="4191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674B122A" w14:textId="77777777" w:rsidR="00CE38BD" w:rsidRPr="005960FF" w:rsidRDefault="00CE38BD" w:rsidP="00624F54">
                            <w:pPr>
                              <w:spacing w:after="0" w:line="240" w:lineRule="auto"/>
                              <w:jc w:val="center"/>
                              <w:rPr>
                                <w:rFonts w:ascii="Arial" w:hAnsi="Arial" w:cs="Arial"/>
                              </w:rPr>
                            </w:pPr>
                            <w:r>
                              <w:rPr>
                                <w:rFonts w:ascii="Arial" w:hAnsi="Arial" w:cs="Arial"/>
                              </w:rPr>
                              <w:t>Penurunan Produksi IGF-1</w:t>
                            </w:r>
                          </w:p>
                          <w:p w14:paraId="4604B817" w14:textId="77777777" w:rsidR="00CE38BD" w:rsidRPr="00FD623A" w:rsidRDefault="00CE38BD" w:rsidP="00624F54">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42CB2" id="Rectangle 229" o:spid="_x0000_s1041" style="position:absolute;left:0;text-align:left;margin-left:352.35pt;margin-top:13.9pt;width:95.25pt;height:33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" filled="f" strokecolor="black [3200]" strokeweight="1pt">
                <v:textbox>
                  <w:txbxContent>
                    <w:p w14:paraId="674B122A" w14:textId="77777777" w:rsidR="00CE38BD" w:rsidRPr="005960FF" w:rsidRDefault="00CE38BD" w:rsidP="00624F54">
                      <w:pPr>
                        <w:spacing w:after="0" w:line="240" w:lineRule="auto"/>
                        <w:jc w:val="center"/>
                        <w:rPr>
                          <w:rFonts w:ascii="Arial" w:hAnsi="Arial" w:cs="Arial"/>
                        </w:rPr>
                      </w:pPr>
                      <w:r>
                        <w:rPr>
                          <w:rFonts w:ascii="Arial" w:hAnsi="Arial" w:cs="Arial"/>
                        </w:rPr>
                        <w:t>Penurunan Produksi IGF-1</w:t>
                      </w:r>
                    </w:p>
                    <w:p w14:paraId="4604B817" w14:textId="77777777" w:rsidR="00CE38BD" w:rsidRPr="00FD623A" w:rsidRDefault="00CE38BD" w:rsidP="00624F54">
                      <w:pPr>
                        <w:spacing w:after="0" w:line="240" w:lineRule="auto"/>
                        <w:jc w:val="center"/>
                        <w:rPr>
                          <w:rFonts w:ascii="Arial" w:hAnsi="Arial" w:cs="Arial"/>
                        </w:rPr>
                      </w:pPr>
                    </w:p>
                  </w:txbxContent>
                </v:textbox>
              </v:rect>
            </w:pict>
          </mc:Fallback>
        </mc:AlternateContent>
      </w:r>
      <w:r w:rsidR="004717A3" w:rsidRPr="0035519F">
        <w:rPr>
          <w:rFonts w:ascii="Arial" w:hAnsi="Arial" w:cs="Arial"/>
          <w:b/>
          <w:noProof/>
          <w:sz w:val="24"/>
          <w:szCs w:val="24"/>
        </w:rPr>
        <mc:AlternateContent>
          <mc:Choice Requires="wps">
            <w:drawing>
              <wp:anchor distT="0" distB="0" distL="114300" distR="114300" simplePos="0" relativeHeight="251795456" behindDoc="0" locked="0" layoutInCell="1" allowOverlap="1" wp14:anchorId="33188941" wp14:editId="4F565C74">
                <wp:simplePos x="0" y="0"/>
                <wp:positionH relativeFrom="column">
                  <wp:posOffset>1722120</wp:posOffset>
                </wp:positionH>
                <wp:positionV relativeFrom="paragraph">
                  <wp:posOffset>176531</wp:posOffset>
                </wp:positionV>
                <wp:extent cx="1790700" cy="266700"/>
                <wp:effectExtent l="0" t="0" r="19050" b="19050"/>
                <wp:wrapNone/>
                <wp:docPr id="262" name="Rectangle 262"/>
                <wp:cNvGraphicFramePr/>
                <a:graphic xmlns:a="http://schemas.openxmlformats.org/drawingml/2006/main">
                  <a:graphicData uri="http://schemas.microsoft.com/office/word/2010/wordprocessingShape">
                    <wps:wsp>
                      <wps:cNvSpPr/>
                      <wps:spPr>
                        <a:xfrm>
                          <a:off x="0" y="0"/>
                          <a:ext cx="1790700" cy="2667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7B487BD6" w14:textId="77777777" w:rsidR="00CE38BD" w:rsidRPr="00FD623A" w:rsidRDefault="00CE38BD" w:rsidP="001B24FD">
                            <w:pPr>
                              <w:spacing w:after="0" w:line="240" w:lineRule="auto"/>
                              <w:jc w:val="center"/>
                              <w:rPr>
                                <w:rFonts w:ascii="Arial" w:hAnsi="Arial" w:cs="Arial"/>
                              </w:rPr>
                            </w:pPr>
                            <w:r>
                              <w:rPr>
                                <w:rFonts w:ascii="Arial" w:hAnsi="Arial" w:cs="Arial"/>
                              </w:rPr>
                              <w:t xml:space="preserve">Peningkatan lipolisis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88941" id="Rectangle 262" o:spid="_x0000_s1042" style="position:absolute;left:0;text-align:left;margin-left:135.6pt;margin-top:13.9pt;width:141pt;height:21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" filled="f" strokecolor="black [3200]" strokeweight="1pt">
                <v:textbox>
                  <w:txbxContent>
                    <w:p w14:paraId="7B487BD6" w14:textId="77777777" w:rsidR="00CE38BD" w:rsidRPr="00FD623A" w:rsidRDefault="00CE38BD" w:rsidP="001B24FD">
                      <w:pPr>
                        <w:spacing w:after="0" w:line="240" w:lineRule="auto"/>
                        <w:jc w:val="center"/>
                        <w:rPr>
                          <w:rFonts w:ascii="Arial" w:hAnsi="Arial" w:cs="Arial"/>
                        </w:rPr>
                      </w:pPr>
                      <w:r>
                        <w:rPr>
                          <w:rFonts w:ascii="Arial" w:hAnsi="Arial" w:cs="Arial"/>
                        </w:rPr>
                        <w:t xml:space="preserve">Peningkatan lipolisis </w:t>
                      </w:r>
                    </w:p>
                  </w:txbxContent>
                </v:textbox>
              </v:rect>
            </w:pict>
          </mc:Fallback>
        </mc:AlternateContent>
      </w:r>
      <w:r w:rsidR="00092904" w:rsidRPr="0035519F">
        <w:rPr>
          <w:rFonts w:ascii="Arial" w:hAnsi="Arial" w:cs="Arial"/>
          <w:b/>
          <w:noProof/>
          <w:sz w:val="24"/>
          <w:szCs w:val="24"/>
        </w:rPr>
        <mc:AlternateContent>
          <mc:Choice Requires="wps">
            <w:drawing>
              <wp:anchor distT="0" distB="0" distL="114300" distR="114300" simplePos="0" relativeHeight="251968512" behindDoc="0" locked="0" layoutInCell="1" allowOverlap="1" wp14:anchorId="7688CEF8" wp14:editId="79790743">
                <wp:simplePos x="0" y="0"/>
                <wp:positionH relativeFrom="column">
                  <wp:posOffset>2569845</wp:posOffset>
                </wp:positionH>
                <wp:positionV relativeFrom="paragraph">
                  <wp:posOffset>10795</wp:posOffset>
                </wp:positionV>
                <wp:extent cx="0" cy="133350"/>
                <wp:effectExtent l="76200" t="0" r="57150" b="57150"/>
                <wp:wrapNone/>
                <wp:docPr id="62" name="Straight Arrow Connector 6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5B5826" id="Straight Arrow Connector 62" o:spid="_x0000_s1026" type="#_x0000_t32" style="position:absolute;margin-left:202.35pt;margin-top:.85pt;width:0;height:10.5pt;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" strokecolor="black [3200]" strokeweight=".5pt">
                <v:stroke endarrow="block" joinstyle="miter"/>
              </v:shape>
            </w:pict>
          </mc:Fallback>
        </mc:AlternateContent>
      </w:r>
    </w:p>
    <w:p w14:paraId="0C2F1DF2" w14:textId="77777777" w:rsidR="00092904" w:rsidRPr="0035519F" w:rsidRDefault="00624F54"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1933696" behindDoc="0" locked="0" layoutInCell="1" allowOverlap="1" wp14:anchorId="0A7FAC9A" wp14:editId="5F0D3B7A">
                <wp:simplePos x="0" y="0"/>
                <wp:positionH relativeFrom="column">
                  <wp:posOffset>283845</wp:posOffset>
                </wp:positionH>
                <wp:positionV relativeFrom="paragraph">
                  <wp:posOffset>226059</wp:posOffset>
                </wp:positionV>
                <wp:extent cx="1381125" cy="1057275"/>
                <wp:effectExtent l="0" t="0" r="66675" b="85725"/>
                <wp:wrapNone/>
                <wp:docPr id="339" name="Elbow Connector 339"/>
                <wp:cNvGraphicFramePr/>
                <a:graphic xmlns:a="http://schemas.openxmlformats.org/drawingml/2006/main">
                  <a:graphicData uri="http://schemas.microsoft.com/office/word/2010/wordprocessingShape">
                    <wps:wsp>
                      <wps:cNvCnPr/>
                      <wps:spPr>
                        <a:xfrm>
                          <a:off x="0" y="0"/>
                          <a:ext cx="1381125" cy="1057275"/>
                        </a:xfrm>
                        <a:prstGeom prst="bentConnector3">
                          <a:avLst>
                            <a:gd name="adj1" fmla="val 76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F0463" id="Elbow Connector 339" o:spid="_x0000_s1026" type="#_x0000_t34" style="position:absolute;margin-left:22.35pt;margin-top:17.8pt;width:108.75pt;height:83.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" adj="166" strokecolor="black [3200]" strokeweight=".5pt">
                <v:stroke endarrow="block"/>
              </v:shape>
            </w:pict>
          </mc:Fallback>
        </mc:AlternateContent>
      </w:r>
      <w:r w:rsidR="004717A3" w:rsidRPr="0035519F">
        <w:rPr>
          <w:rFonts w:ascii="Arial" w:hAnsi="Arial" w:cs="Arial"/>
          <w:b/>
          <w:noProof/>
          <w:sz w:val="24"/>
          <w:szCs w:val="24"/>
        </w:rPr>
        <mc:AlternateContent>
          <mc:Choice Requires="wps">
            <w:drawing>
              <wp:anchor distT="0" distB="0" distL="114300" distR="114300" simplePos="0" relativeHeight="251964416" behindDoc="0" locked="0" layoutInCell="1" allowOverlap="1" wp14:anchorId="065CC20E" wp14:editId="2F8D40B8">
                <wp:simplePos x="0" y="0"/>
                <wp:positionH relativeFrom="column">
                  <wp:posOffset>1569085</wp:posOffset>
                </wp:positionH>
                <wp:positionV relativeFrom="paragraph">
                  <wp:posOffset>258445</wp:posOffset>
                </wp:positionV>
                <wp:extent cx="2028825" cy="266700"/>
                <wp:effectExtent l="0" t="0" r="28575" b="19050"/>
                <wp:wrapNone/>
                <wp:docPr id="59" name="Rectangle 59"/>
                <wp:cNvGraphicFramePr/>
                <a:graphic xmlns:a="http://schemas.openxmlformats.org/drawingml/2006/main">
                  <a:graphicData uri="http://schemas.microsoft.com/office/word/2010/wordprocessingShape">
                    <wps:wsp>
                      <wps:cNvSpPr/>
                      <wps:spPr>
                        <a:xfrm>
                          <a:off x="0" y="0"/>
                          <a:ext cx="2028825" cy="266700"/>
                        </a:xfrm>
                        <a:prstGeom prst="rect">
                          <a:avLst/>
                        </a:prstGeom>
                        <a:noFill/>
                      </wps:spPr>
                      <wps:style>
                        <a:lnRef idx="2">
                          <a:schemeClr val="dk1"/>
                        </a:lnRef>
                        <a:fillRef idx="1">
                          <a:schemeClr val="lt1"/>
                        </a:fillRef>
                        <a:effectRef idx="0">
                          <a:schemeClr val="dk1"/>
                        </a:effectRef>
                        <a:fontRef idx="minor">
                          <a:schemeClr val="dk1"/>
                        </a:fontRef>
                      </wps:style>
                      <wps:txbx>
                        <w:txbxContent>
                          <w:p w14:paraId="64D05F6E" w14:textId="77777777" w:rsidR="00CE38BD" w:rsidRPr="00FD623A" w:rsidRDefault="00CE38BD" w:rsidP="008C3FF3">
                            <w:pPr>
                              <w:spacing w:after="0" w:line="240" w:lineRule="auto"/>
                              <w:jc w:val="center"/>
                              <w:rPr>
                                <w:rFonts w:ascii="Arial" w:hAnsi="Arial" w:cs="Arial"/>
                              </w:rPr>
                            </w:pPr>
                            <w:r>
                              <w:rPr>
                                <w:rFonts w:ascii="Arial" w:hAnsi="Arial" w:cs="Arial"/>
                              </w:rPr>
                              <w:t>Peningkatan FFA bersirkulasi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CC20E" id="Rectangle 59" o:spid="_x0000_s1043" style="position:absolute;left:0;text-align:left;margin-left:123.55pt;margin-top:20.35pt;width:159.75pt;height:21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" filled="f" strokecolor="black [3200]" strokeweight="1pt">
                <v:textbox>
                  <w:txbxContent>
                    <w:p w14:paraId="64D05F6E" w14:textId="77777777" w:rsidR="00CE38BD" w:rsidRPr="00FD623A" w:rsidRDefault="00CE38BD" w:rsidP="008C3FF3">
                      <w:pPr>
                        <w:spacing w:after="0" w:line="240" w:lineRule="auto"/>
                        <w:jc w:val="center"/>
                        <w:rPr>
                          <w:rFonts w:ascii="Arial" w:hAnsi="Arial" w:cs="Arial"/>
                        </w:rPr>
                      </w:pPr>
                      <w:r>
                        <w:rPr>
                          <w:rFonts w:ascii="Arial" w:hAnsi="Arial" w:cs="Arial"/>
                        </w:rPr>
                        <w:t>Peningkatan FFA bersirkulasi</w:t>
                      </w:r>
                    </w:p>
                  </w:txbxContent>
                </v:textbox>
              </v:rect>
            </w:pict>
          </mc:Fallback>
        </mc:AlternateContent>
      </w:r>
      <w:r w:rsidR="004717A3" w:rsidRPr="0035519F">
        <w:rPr>
          <w:rFonts w:ascii="Arial" w:hAnsi="Arial" w:cs="Arial"/>
          <w:b/>
          <w:noProof/>
          <w:sz w:val="24"/>
          <w:szCs w:val="24"/>
        </w:rPr>
        <mc:AlternateContent>
          <mc:Choice Requires="wps">
            <w:drawing>
              <wp:anchor distT="0" distB="0" distL="114300" distR="114300" simplePos="0" relativeHeight="251970560" behindDoc="0" locked="0" layoutInCell="1" allowOverlap="1" wp14:anchorId="58F89E12" wp14:editId="54D50077">
                <wp:simplePos x="0" y="0"/>
                <wp:positionH relativeFrom="column">
                  <wp:posOffset>2569845</wp:posOffset>
                </wp:positionH>
                <wp:positionV relativeFrom="paragraph">
                  <wp:posOffset>106045</wp:posOffset>
                </wp:positionV>
                <wp:extent cx="0" cy="133350"/>
                <wp:effectExtent l="76200" t="0" r="57150" b="57150"/>
                <wp:wrapNone/>
                <wp:docPr id="63" name="Straight Arrow Connector 63"/>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463513" id="Straight Arrow Connector 63" o:spid="_x0000_s1026" type="#_x0000_t32" style="position:absolute;margin-left:202.35pt;margin-top:8.35pt;width:0;height:10.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" strokecolor="black [3200]" strokeweight=".5pt">
                <v:stroke endarrow="block" joinstyle="miter"/>
              </v:shape>
            </w:pict>
          </mc:Fallback>
        </mc:AlternateContent>
      </w:r>
    </w:p>
    <w:p w14:paraId="069C7EBF" w14:textId="77777777" w:rsidR="008C3FF3" w:rsidRPr="0035519F" w:rsidRDefault="004717A3"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04352" behindDoc="0" locked="0" layoutInCell="1" allowOverlap="1" wp14:anchorId="41E1BFB2" wp14:editId="0C83D760">
                <wp:simplePos x="0" y="0"/>
                <wp:positionH relativeFrom="column">
                  <wp:posOffset>2579370</wp:posOffset>
                </wp:positionH>
                <wp:positionV relativeFrom="paragraph">
                  <wp:posOffset>161290</wp:posOffset>
                </wp:positionV>
                <wp:extent cx="0" cy="133350"/>
                <wp:effectExtent l="76200" t="0" r="57150" b="57150"/>
                <wp:wrapNone/>
                <wp:docPr id="220" name="Straight Arrow Connector 220"/>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B12BD5" id="Straight Arrow Connector 220" o:spid="_x0000_s1026" type="#_x0000_t32" style="position:absolute;margin-left:203.1pt;margin-top:12.7pt;width:0;height:10.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" strokecolor="black [3200]" strokeweight=".5pt">
                <v:stroke endarrow="block" joinstyle="miter"/>
              </v:shape>
            </w:pict>
          </mc:Fallback>
        </mc:AlternateContent>
      </w:r>
      <w:r w:rsidRPr="0035519F">
        <w:rPr>
          <w:rFonts w:ascii="Arial" w:hAnsi="Arial" w:cs="Arial"/>
          <w:b/>
          <w:noProof/>
          <w:sz w:val="24"/>
          <w:szCs w:val="24"/>
        </w:rPr>
        <mc:AlternateContent>
          <mc:Choice Requires="wps">
            <w:drawing>
              <wp:anchor distT="0" distB="0" distL="114300" distR="114300" simplePos="0" relativeHeight="251898880" behindDoc="0" locked="0" layoutInCell="1" allowOverlap="1" wp14:anchorId="38EA2AD5" wp14:editId="0A7A069F">
                <wp:simplePos x="0" y="0"/>
                <wp:positionH relativeFrom="column">
                  <wp:posOffset>1350645</wp:posOffset>
                </wp:positionH>
                <wp:positionV relativeFrom="paragraph">
                  <wp:posOffset>313690</wp:posOffset>
                </wp:positionV>
                <wp:extent cx="2438400" cy="323850"/>
                <wp:effectExtent l="0" t="0" r="19050" b="19050"/>
                <wp:wrapNone/>
                <wp:docPr id="294" name="Rectangle 294"/>
                <wp:cNvGraphicFramePr/>
                <a:graphic xmlns:a="http://schemas.openxmlformats.org/drawingml/2006/main">
                  <a:graphicData uri="http://schemas.microsoft.com/office/word/2010/wordprocessingShape">
                    <wps:wsp>
                      <wps:cNvSpPr/>
                      <wps:spPr>
                        <a:xfrm>
                          <a:off x="0" y="0"/>
                          <a:ext cx="2438400" cy="323850"/>
                        </a:xfrm>
                        <a:prstGeom prst="rect">
                          <a:avLst/>
                        </a:prstGeom>
                        <a:noFill/>
                      </wps:spPr>
                      <wps:style>
                        <a:lnRef idx="2">
                          <a:schemeClr val="dk1"/>
                        </a:lnRef>
                        <a:fillRef idx="1">
                          <a:schemeClr val="lt1"/>
                        </a:fillRef>
                        <a:effectRef idx="0">
                          <a:schemeClr val="dk1"/>
                        </a:effectRef>
                        <a:fontRef idx="minor">
                          <a:schemeClr val="dk1"/>
                        </a:fontRef>
                      </wps:style>
                      <wps:txbx>
                        <w:txbxContent>
                          <w:p w14:paraId="3FCDAA14" w14:textId="77777777" w:rsidR="00CE38BD" w:rsidRPr="004717A3" w:rsidRDefault="00CE38BD" w:rsidP="005306D1">
                            <w:pPr>
                              <w:spacing w:after="0" w:line="240" w:lineRule="auto"/>
                              <w:jc w:val="center"/>
                              <w:rPr>
                                <w:rFonts w:ascii="Arial" w:hAnsi="Arial" w:cs="Arial"/>
                              </w:rPr>
                            </w:pPr>
                            <w:r w:rsidRPr="004717A3">
                              <w:rPr>
                                <w:rFonts w:ascii="Arial" w:hAnsi="Arial" w:cs="Arial"/>
                              </w:rPr>
                              <w:t>Mekanisme umpan balik Hipofisis</w:t>
                            </w:r>
                          </w:p>
                          <w:p w14:paraId="50028526" w14:textId="77777777" w:rsidR="00CE38BD" w:rsidRPr="004717A3" w:rsidRDefault="00CE38BD" w:rsidP="005306D1">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A2AD5" id="Rectangle 294" o:spid="_x0000_s1044" style="position:absolute;left:0;text-align:left;margin-left:106.35pt;margin-top:24.7pt;width:192pt;height:25.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" filled="f" strokecolor="black [3200]" strokeweight="1pt">
                <v:textbox>
                  <w:txbxContent>
                    <w:p w14:paraId="3FCDAA14" w14:textId="77777777" w:rsidR="00CE38BD" w:rsidRPr="004717A3" w:rsidRDefault="00CE38BD" w:rsidP="005306D1">
                      <w:pPr>
                        <w:spacing w:after="0" w:line="240" w:lineRule="auto"/>
                        <w:jc w:val="center"/>
                        <w:rPr>
                          <w:rFonts w:ascii="Arial" w:hAnsi="Arial" w:cs="Arial"/>
                        </w:rPr>
                      </w:pPr>
                      <w:r w:rsidRPr="004717A3">
                        <w:rPr>
                          <w:rFonts w:ascii="Arial" w:hAnsi="Arial" w:cs="Arial"/>
                        </w:rPr>
                        <w:t>Mekanisme umpan balik Hipofisis</w:t>
                      </w:r>
                    </w:p>
                    <w:p w14:paraId="50028526" w14:textId="77777777" w:rsidR="00CE38BD" w:rsidRPr="004717A3" w:rsidRDefault="00CE38BD" w:rsidP="005306D1">
                      <w:pPr>
                        <w:spacing w:after="0" w:line="240" w:lineRule="auto"/>
                        <w:jc w:val="center"/>
                        <w:rPr>
                          <w:rFonts w:ascii="Arial" w:hAnsi="Arial" w:cs="Arial"/>
                        </w:rPr>
                      </w:pPr>
                    </w:p>
                  </w:txbxContent>
                </v:textbox>
              </v:rect>
            </w:pict>
          </mc:Fallback>
        </mc:AlternateContent>
      </w:r>
    </w:p>
    <w:p w14:paraId="3CB710D8" w14:textId="77777777" w:rsidR="008C3FF3" w:rsidRPr="0035519F" w:rsidRDefault="004717A3"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06400" behindDoc="0" locked="0" layoutInCell="1" allowOverlap="1" wp14:anchorId="5A958A13" wp14:editId="35DEDD6F">
                <wp:simplePos x="0" y="0"/>
                <wp:positionH relativeFrom="column">
                  <wp:posOffset>2588895</wp:posOffset>
                </wp:positionH>
                <wp:positionV relativeFrom="paragraph">
                  <wp:posOffset>306070</wp:posOffset>
                </wp:positionV>
                <wp:extent cx="0" cy="133350"/>
                <wp:effectExtent l="76200" t="0" r="57150" b="57150"/>
                <wp:wrapNone/>
                <wp:docPr id="222" name="Straight Arrow Connector 22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D36AB5" id="Straight Arrow Connector 222" o:spid="_x0000_s1026" type="#_x0000_t32" style="position:absolute;margin-left:203.85pt;margin-top:24.1pt;width:0;height:10.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" strokecolor="black [3200]" strokeweight=".5pt">
                <v:stroke endarrow="block" joinstyle="miter"/>
              </v:shape>
            </w:pict>
          </mc:Fallback>
        </mc:AlternateContent>
      </w:r>
    </w:p>
    <w:p w14:paraId="560E15CB" w14:textId="77777777" w:rsidR="00FD7137" w:rsidRPr="0035519F" w:rsidRDefault="004717A3" w:rsidP="007757AB">
      <w:pPr>
        <w:spacing w:after="0" w:line="480" w:lineRule="auto"/>
        <w:jc w:val="center"/>
        <w:rPr>
          <w:rFonts w:ascii="Arial" w:hAnsi="Arial" w:cs="Arial"/>
          <w:b/>
          <w:sz w:val="24"/>
          <w:szCs w:val="24"/>
        </w:rPr>
      </w:pPr>
      <w:r w:rsidRPr="0035519F">
        <w:rPr>
          <w:rFonts w:ascii="Arial" w:hAnsi="Arial" w:cs="Arial"/>
          <w:b/>
          <w:noProof/>
          <w:sz w:val="24"/>
          <w:szCs w:val="24"/>
        </w:rPr>
        <mc:AlternateContent>
          <mc:Choice Requires="wps">
            <w:drawing>
              <wp:anchor distT="0" distB="0" distL="114300" distR="114300" simplePos="0" relativeHeight="252002304" behindDoc="0" locked="0" layoutInCell="1" allowOverlap="1" wp14:anchorId="4539870C" wp14:editId="4AFEB086">
                <wp:simplePos x="0" y="0"/>
                <wp:positionH relativeFrom="column">
                  <wp:posOffset>1712595</wp:posOffset>
                </wp:positionH>
                <wp:positionV relativeFrom="paragraph">
                  <wp:posOffset>88900</wp:posOffset>
                </wp:positionV>
                <wp:extent cx="1752600" cy="247650"/>
                <wp:effectExtent l="0" t="0" r="19050" b="19050"/>
                <wp:wrapNone/>
                <wp:docPr id="219" name="Rectangle 219"/>
                <wp:cNvGraphicFramePr/>
                <a:graphic xmlns:a="http://schemas.openxmlformats.org/drawingml/2006/main">
                  <a:graphicData uri="http://schemas.microsoft.com/office/word/2010/wordprocessingShape">
                    <wps:wsp>
                      <wps:cNvSpPr/>
                      <wps:spPr>
                        <a:xfrm>
                          <a:off x="0" y="0"/>
                          <a:ext cx="1752600" cy="247650"/>
                        </a:xfrm>
                        <a:prstGeom prst="rect">
                          <a:avLst/>
                        </a:prstGeom>
                        <a:noFill/>
                      </wps:spPr>
                      <wps:style>
                        <a:lnRef idx="2">
                          <a:schemeClr val="dk1"/>
                        </a:lnRef>
                        <a:fillRef idx="1">
                          <a:schemeClr val="lt1"/>
                        </a:fillRef>
                        <a:effectRef idx="0">
                          <a:schemeClr val="dk1"/>
                        </a:effectRef>
                        <a:fontRef idx="minor">
                          <a:schemeClr val="dk1"/>
                        </a:fontRef>
                      </wps:style>
                      <wps:txbx>
                        <w:txbxContent>
                          <w:p w14:paraId="31709CA4" w14:textId="77777777" w:rsidR="00CE38BD" w:rsidRPr="004717A3" w:rsidRDefault="00CE38BD" w:rsidP="004717A3">
                            <w:pPr>
                              <w:spacing w:after="0" w:line="240" w:lineRule="auto"/>
                              <w:jc w:val="center"/>
                              <w:rPr>
                                <w:rFonts w:ascii="Arial" w:hAnsi="Arial" w:cs="Arial"/>
                              </w:rPr>
                            </w:pPr>
                            <w:r>
                              <w:rPr>
                                <w:rFonts w:ascii="Arial" w:hAnsi="Arial" w:cs="Arial"/>
                              </w:rPr>
                              <w:t>Penurunan Sekresi GH</w:t>
                            </w:r>
                          </w:p>
                          <w:p w14:paraId="4836131F" w14:textId="77777777" w:rsidR="00CE38BD" w:rsidRPr="004717A3" w:rsidRDefault="00CE38BD" w:rsidP="004717A3">
                            <w:pPr>
                              <w:spacing w:after="0" w:line="24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9870C" id="Rectangle 219" o:spid="_x0000_s1045" style="position:absolute;left:0;text-align:left;margin-left:134.85pt;margin-top:7pt;width:138pt;height:19.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" filled="f" strokecolor="black [3200]" strokeweight="1pt">
                <v:textbox>
                  <w:txbxContent>
                    <w:p w14:paraId="31709CA4" w14:textId="77777777" w:rsidR="00CE38BD" w:rsidRPr="004717A3" w:rsidRDefault="00CE38BD" w:rsidP="004717A3">
                      <w:pPr>
                        <w:spacing w:after="0" w:line="240" w:lineRule="auto"/>
                        <w:jc w:val="center"/>
                        <w:rPr>
                          <w:rFonts w:ascii="Arial" w:hAnsi="Arial" w:cs="Arial"/>
                        </w:rPr>
                      </w:pPr>
                      <w:r>
                        <w:rPr>
                          <w:rFonts w:ascii="Arial" w:hAnsi="Arial" w:cs="Arial"/>
                        </w:rPr>
                        <w:t>Penurunan Sekresi GH</w:t>
                      </w:r>
                    </w:p>
                    <w:p w14:paraId="4836131F" w14:textId="77777777" w:rsidR="00CE38BD" w:rsidRPr="004717A3" w:rsidRDefault="00CE38BD" w:rsidP="004717A3">
                      <w:pPr>
                        <w:spacing w:after="0" w:line="240" w:lineRule="auto"/>
                        <w:jc w:val="center"/>
                        <w:rPr>
                          <w:rFonts w:ascii="Arial" w:hAnsi="Arial" w:cs="Arial"/>
                        </w:rPr>
                      </w:pPr>
                    </w:p>
                  </w:txbxContent>
                </v:textbox>
              </v:rect>
            </w:pict>
          </mc:Fallback>
        </mc:AlternateContent>
      </w:r>
    </w:p>
    <w:p w14:paraId="7566F917" w14:textId="77777777" w:rsidR="007757AB" w:rsidRPr="0035519F" w:rsidRDefault="007757AB" w:rsidP="00891FA6">
      <w:pPr>
        <w:pStyle w:val="ListParagraph"/>
        <w:numPr>
          <w:ilvl w:val="0"/>
          <w:numId w:val="27"/>
        </w:numPr>
        <w:spacing w:after="0" w:line="480" w:lineRule="auto"/>
        <w:ind w:left="426" w:hanging="426"/>
        <w:jc w:val="center"/>
        <w:outlineLvl w:val="1"/>
        <w:rPr>
          <w:rFonts w:ascii="Arial" w:hAnsi="Arial" w:cs="Arial"/>
          <w:b/>
          <w:sz w:val="24"/>
          <w:szCs w:val="24"/>
        </w:rPr>
      </w:pPr>
      <w:bookmarkStart w:id="55" w:name="_Toc111022772"/>
      <w:r w:rsidRPr="0035519F">
        <w:rPr>
          <w:rFonts w:ascii="Arial" w:hAnsi="Arial" w:cs="Arial"/>
          <w:b/>
          <w:sz w:val="24"/>
          <w:szCs w:val="24"/>
        </w:rPr>
        <w:lastRenderedPageBreak/>
        <w:t xml:space="preserve">Kerangka Konsep </w:t>
      </w:r>
      <w:bookmarkEnd w:id="55"/>
    </w:p>
    <w:p w14:paraId="0A6EDA39" w14:textId="4BC30D12" w:rsidR="00EB5557" w:rsidRPr="0035519F" w:rsidRDefault="00EB5557" w:rsidP="007757AB">
      <w:pPr>
        <w:spacing w:line="480" w:lineRule="auto"/>
      </w:pPr>
    </w:p>
    <w:p w14:paraId="59B681B7" w14:textId="62E6CE7A" w:rsidR="007757AB" w:rsidRPr="0035519F" w:rsidRDefault="007757AB" w:rsidP="007757AB">
      <w:pPr>
        <w:spacing w:line="480" w:lineRule="auto"/>
      </w:pPr>
    </w:p>
    <w:p w14:paraId="499B2E7C" w14:textId="329671F5" w:rsidR="007757AB" w:rsidRPr="0035519F" w:rsidRDefault="00F72329" w:rsidP="007757AB">
      <w:pPr>
        <w:spacing w:line="480" w:lineRule="auto"/>
      </w:pPr>
      <w:r w:rsidRPr="0035519F">
        <w:rPr>
          <w:noProof/>
        </w:rPr>
        <mc:AlternateContent>
          <mc:Choice Requires="wps">
            <w:drawing>
              <wp:anchor distT="0" distB="0" distL="114300" distR="114300" simplePos="0" relativeHeight="251834368" behindDoc="0" locked="0" layoutInCell="1" allowOverlap="1" wp14:anchorId="551B9446" wp14:editId="7DEE1572">
                <wp:simplePos x="0" y="0"/>
                <wp:positionH relativeFrom="column">
                  <wp:posOffset>236220</wp:posOffset>
                </wp:positionH>
                <wp:positionV relativeFrom="paragraph">
                  <wp:posOffset>410210</wp:posOffset>
                </wp:positionV>
                <wp:extent cx="1492250" cy="742950"/>
                <wp:effectExtent l="0" t="0" r="12700" b="19050"/>
                <wp:wrapNone/>
                <wp:docPr id="206" name="Rectangle 206"/>
                <wp:cNvGraphicFramePr/>
                <a:graphic xmlns:a="http://schemas.openxmlformats.org/drawingml/2006/main">
                  <a:graphicData uri="http://schemas.microsoft.com/office/word/2010/wordprocessingShape">
                    <wps:wsp>
                      <wps:cNvSpPr/>
                      <wps:spPr>
                        <a:xfrm>
                          <a:off x="0" y="0"/>
                          <a:ext cx="1492250" cy="7429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490F1E5" w14:textId="77777777" w:rsidR="00CE38BD" w:rsidRPr="00FD4364" w:rsidRDefault="00CE38BD" w:rsidP="00EB5557">
                            <w:pPr>
                              <w:spacing w:after="0" w:line="240" w:lineRule="auto"/>
                              <w:jc w:val="center"/>
                              <w:rPr>
                                <w:rFonts w:ascii="Arial" w:hAnsi="Arial" w:cs="Arial"/>
                                <w:b/>
                                <w:sz w:val="26"/>
                              </w:rPr>
                            </w:pPr>
                            <w:r w:rsidRPr="00FD4364">
                              <w:rPr>
                                <w:rFonts w:ascii="Arial" w:hAnsi="Arial" w:cs="Arial"/>
                                <w:b/>
                                <w:sz w:val="26"/>
                              </w:rPr>
                              <w:t xml:space="preserve">HOMA-IR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B9446" id="Rectangle 206" o:spid="_x0000_s1046" style="position:absolute;margin-left:18.6pt;margin-top:32.3pt;width:117.5pt;height:58.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" fillcolor="white [3201]" strokecolor="black [3200]" strokeweight="1.5pt">
                <v:textbox>
                  <w:txbxContent>
                    <w:p w14:paraId="0490F1E5" w14:textId="77777777" w:rsidR="00CE38BD" w:rsidRPr="00FD4364" w:rsidRDefault="00CE38BD" w:rsidP="00EB5557">
                      <w:pPr>
                        <w:spacing w:after="0" w:line="240" w:lineRule="auto"/>
                        <w:jc w:val="center"/>
                        <w:rPr>
                          <w:rFonts w:ascii="Arial" w:hAnsi="Arial" w:cs="Arial"/>
                          <w:b/>
                          <w:sz w:val="26"/>
                        </w:rPr>
                      </w:pPr>
                      <w:r w:rsidRPr="00FD4364">
                        <w:rPr>
                          <w:rFonts w:ascii="Arial" w:hAnsi="Arial" w:cs="Arial"/>
                          <w:b/>
                          <w:sz w:val="26"/>
                        </w:rPr>
                        <w:t xml:space="preserve">HOMA-IR </w:t>
                      </w:r>
                    </w:p>
                  </w:txbxContent>
                </v:textbox>
              </v:rect>
            </w:pict>
          </mc:Fallback>
        </mc:AlternateContent>
      </w:r>
      <w:r w:rsidR="002D7818" w:rsidRPr="0035519F">
        <w:rPr>
          <w:noProof/>
        </w:rPr>
        <mc:AlternateContent>
          <mc:Choice Requires="wps">
            <w:drawing>
              <wp:anchor distT="0" distB="0" distL="114300" distR="114300" simplePos="0" relativeHeight="252023808" behindDoc="0" locked="0" layoutInCell="1" allowOverlap="1" wp14:anchorId="6A7DDE9B" wp14:editId="19521FCF">
                <wp:simplePos x="0" y="0"/>
                <wp:positionH relativeFrom="column">
                  <wp:posOffset>3441227</wp:posOffset>
                </wp:positionH>
                <wp:positionV relativeFrom="paragraph">
                  <wp:posOffset>317500</wp:posOffset>
                </wp:positionV>
                <wp:extent cx="1545590" cy="838200"/>
                <wp:effectExtent l="0" t="0" r="16510" b="19050"/>
                <wp:wrapNone/>
                <wp:docPr id="56" name="Rectangle 56"/>
                <wp:cNvGraphicFramePr/>
                <a:graphic xmlns:a="http://schemas.openxmlformats.org/drawingml/2006/main">
                  <a:graphicData uri="http://schemas.microsoft.com/office/word/2010/wordprocessingShape">
                    <wps:wsp>
                      <wps:cNvSpPr/>
                      <wps:spPr>
                        <a:xfrm>
                          <a:off x="0" y="0"/>
                          <a:ext cx="1545590" cy="83820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747A2A04" w14:textId="3D10BCB5" w:rsidR="00CE38BD" w:rsidRPr="00F72329" w:rsidRDefault="00CE38BD" w:rsidP="00F72329">
                            <w:pPr>
                              <w:spacing w:after="0" w:line="240" w:lineRule="auto"/>
                              <w:jc w:val="center"/>
                              <w:rPr>
                                <w:rFonts w:ascii="Arial" w:hAnsi="Arial" w:cs="Arial"/>
                                <w:b/>
                                <w:sz w:val="26"/>
                                <w14:textOutline w14:w="9525" w14:cap="rnd" w14:cmpd="sng" w14:algn="ctr">
                                  <w14:noFill/>
                                  <w14:prstDash w14:val="solid"/>
                                  <w14:bevel/>
                                </w14:textOutline>
                              </w:rPr>
                            </w:pPr>
                            <w:r w:rsidRPr="002D7818">
                              <w:rPr>
                                <w:rFonts w:ascii="Arial" w:hAnsi="Arial" w:cs="Arial"/>
                                <w:b/>
                                <w:sz w:val="26"/>
                                <w14:textOutline w14:w="9525" w14:cap="rnd" w14:cmpd="sng" w14:algn="ctr">
                                  <w14:noFill/>
                                  <w14:prstDash w14:val="solid"/>
                                  <w14:bevel/>
                                </w14:textOutline>
                              </w:rPr>
                              <w:t>IGF-1</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DDE9B" id="Rectangle 56" o:spid="_x0000_s1047" style="position:absolute;margin-left:270.95pt;margin-top:25pt;width:121.7pt;height:66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" fillcolor="white [3201]" strokecolor="black [3200]" strokeweight="1.5pt">
                <v:textbox>
                  <w:txbxContent>
                    <w:p w14:paraId="747A2A04" w14:textId="3D10BCB5" w:rsidR="00CE38BD" w:rsidRPr="00F72329" w:rsidRDefault="00CE38BD" w:rsidP="00F72329">
                      <w:pPr>
                        <w:spacing w:after="0" w:line="240" w:lineRule="auto"/>
                        <w:jc w:val="center"/>
                        <w:rPr>
                          <w:rFonts w:ascii="Arial" w:hAnsi="Arial" w:cs="Arial"/>
                          <w:b/>
                          <w:sz w:val="26"/>
                          <w14:textOutline w14:w="9525" w14:cap="rnd" w14:cmpd="sng" w14:algn="ctr">
                            <w14:noFill/>
                            <w14:prstDash w14:val="solid"/>
                            <w14:bevel/>
                          </w14:textOutline>
                        </w:rPr>
                      </w:pPr>
                      <w:r w:rsidRPr="002D7818">
                        <w:rPr>
                          <w:rFonts w:ascii="Arial" w:hAnsi="Arial" w:cs="Arial"/>
                          <w:b/>
                          <w:sz w:val="26"/>
                          <w14:textOutline w14:w="9525" w14:cap="rnd" w14:cmpd="sng" w14:algn="ctr">
                            <w14:noFill/>
                            <w14:prstDash w14:val="solid"/>
                            <w14:bevel/>
                          </w14:textOutline>
                        </w:rPr>
                        <w:t>IGF-1</w:t>
                      </w:r>
                    </w:p>
                  </w:txbxContent>
                </v:textbox>
              </v:rect>
            </w:pict>
          </mc:Fallback>
        </mc:AlternateContent>
      </w:r>
      <w:r w:rsidRPr="0035519F">
        <w:rPr>
          <w:noProof/>
        </w:rPr>
        <mc:AlternateContent>
          <mc:Choice Requires="wps">
            <w:drawing>
              <wp:anchor distT="0" distB="0" distL="114300" distR="114300" simplePos="0" relativeHeight="252044288" behindDoc="0" locked="0" layoutInCell="1" allowOverlap="1" wp14:anchorId="7C5FFD0C" wp14:editId="59EB6B21">
                <wp:simplePos x="0" y="0"/>
                <wp:positionH relativeFrom="column">
                  <wp:posOffset>3370107</wp:posOffset>
                </wp:positionH>
                <wp:positionV relativeFrom="paragraph">
                  <wp:posOffset>247650</wp:posOffset>
                </wp:positionV>
                <wp:extent cx="1679944" cy="967563"/>
                <wp:effectExtent l="0" t="0" r="15875" b="23495"/>
                <wp:wrapNone/>
                <wp:docPr id="253" name="Rectangle 253"/>
                <wp:cNvGraphicFramePr/>
                <a:graphic xmlns:a="http://schemas.openxmlformats.org/drawingml/2006/main">
                  <a:graphicData uri="http://schemas.microsoft.com/office/word/2010/wordprocessingShape">
                    <wps:wsp>
                      <wps:cNvSpPr/>
                      <wps:spPr>
                        <a:xfrm>
                          <a:off x="0" y="0"/>
                          <a:ext cx="1679944" cy="96756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6464E" id="Rectangle 253" o:spid="_x0000_s1026" style="position:absolute;margin-left:265.35pt;margin-top:19.5pt;width:132.3pt;height:76.2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" filled="f" strokecolor="black [3213]" strokeweight="1pt"/>
            </w:pict>
          </mc:Fallback>
        </mc:AlternateContent>
      </w:r>
    </w:p>
    <w:p w14:paraId="61531F31" w14:textId="6DEB6BBE" w:rsidR="00EB5557" w:rsidRPr="0035519F" w:rsidRDefault="00041ABC" w:rsidP="007757AB">
      <w:pPr>
        <w:spacing w:line="480" w:lineRule="auto"/>
      </w:pPr>
      <w:r w:rsidRPr="0035519F">
        <w:rPr>
          <w:noProof/>
        </w:rPr>
        <mc:AlternateContent>
          <mc:Choice Requires="wps">
            <w:drawing>
              <wp:anchor distT="0" distB="0" distL="114300" distR="114300" simplePos="0" relativeHeight="252016640" behindDoc="0" locked="0" layoutInCell="1" allowOverlap="1" wp14:anchorId="200B3CB7" wp14:editId="538E426A">
                <wp:simplePos x="0" y="0"/>
                <wp:positionH relativeFrom="column">
                  <wp:posOffset>1714591</wp:posOffset>
                </wp:positionH>
                <wp:positionV relativeFrom="paragraph">
                  <wp:posOffset>299085</wp:posOffset>
                </wp:positionV>
                <wp:extent cx="1643743" cy="0"/>
                <wp:effectExtent l="0" t="76200" r="13970" b="114300"/>
                <wp:wrapNone/>
                <wp:docPr id="250" name="Straight Connector 250"/>
                <wp:cNvGraphicFramePr/>
                <a:graphic xmlns:a="http://schemas.openxmlformats.org/drawingml/2006/main">
                  <a:graphicData uri="http://schemas.microsoft.com/office/word/2010/wordprocessingShape">
                    <wps:wsp>
                      <wps:cNvCnPr/>
                      <wps:spPr>
                        <a:xfrm>
                          <a:off x="0" y="0"/>
                          <a:ext cx="1643743"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09B1BA2E" id="Straight Connector 250" o:spid="_x0000_s1026" style="position:absolute;z-index:25201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23.55pt" to="264.4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" strokecolor="black [3200]" strokeweight="1.5pt">
                <v:stroke endarrow="open"/>
              </v:line>
            </w:pict>
          </mc:Fallback>
        </mc:AlternateContent>
      </w:r>
    </w:p>
    <w:p w14:paraId="4CE073F7" w14:textId="4A1A561A" w:rsidR="00EB5557" w:rsidRPr="0035519F" w:rsidRDefault="00BC1299" w:rsidP="007757AB">
      <w:pPr>
        <w:spacing w:line="480" w:lineRule="auto"/>
      </w:pPr>
      <w:r w:rsidRPr="0035519F">
        <w:rPr>
          <w:noProof/>
        </w:rPr>
        <mc:AlternateContent>
          <mc:Choice Requires="wps">
            <w:drawing>
              <wp:anchor distT="0" distB="0" distL="114300" distR="114300" simplePos="0" relativeHeight="252030976" behindDoc="0" locked="0" layoutInCell="1" allowOverlap="1" wp14:anchorId="4BE2EF8E" wp14:editId="3611B26F">
                <wp:simplePos x="0" y="0"/>
                <wp:positionH relativeFrom="column">
                  <wp:posOffset>2536397</wp:posOffset>
                </wp:positionH>
                <wp:positionV relativeFrom="paragraph">
                  <wp:posOffset>329977</wp:posOffset>
                </wp:positionV>
                <wp:extent cx="1589859" cy="437043"/>
                <wp:effectExtent l="0" t="0" r="29845" b="20320"/>
                <wp:wrapNone/>
                <wp:docPr id="209" name="Straight Connector 209"/>
                <wp:cNvGraphicFramePr/>
                <a:graphic xmlns:a="http://schemas.openxmlformats.org/drawingml/2006/main">
                  <a:graphicData uri="http://schemas.microsoft.com/office/word/2010/wordprocessingShape">
                    <wps:wsp>
                      <wps:cNvCnPr/>
                      <wps:spPr>
                        <a:xfrm flipV="1">
                          <a:off x="0" y="0"/>
                          <a:ext cx="1589859" cy="437043"/>
                        </a:xfrm>
                        <a:prstGeom prst="line">
                          <a:avLst/>
                        </a:prstGeom>
                        <a:ln w="19050">
                          <a:prstDash val="sys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B86482" id="Straight Connector 209" o:spid="_x0000_s1026" style="position:absolute;flip:y;z-index:25203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9.7pt,26pt" to="324.9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" strokecolor="black [3200]" strokeweight="1.5pt">
                <v:stroke dashstyle="3 1" joinstyle="miter"/>
              </v:line>
            </w:pict>
          </mc:Fallback>
        </mc:AlternateContent>
      </w:r>
      <w:r w:rsidRPr="0035519F">
        <w:rPr>
          <w:noProof/>
        </w:rPr>
        <mc:AlternateContent>
          <mc:Choice Requires="wps">
            <w:drawing>
              <wp:anchor distT="0" distB="0" distL="114300" distR="114300" simplePos="0" relativeHeight="252029952" behindDoc="0" locked="0" layoutInCell="1" allowOverlap="1" wp14:anchorId="6A2DCD0A" wp14:editId="3A111DCF">
                <wp:simplePos x="0" y="0"/>
                <wp:positionH relativeFrom="column">
                  <wp:posOffset>943790</wp:posOffset>
                </wp:positionH>
                <wp:positionV relativeFrom="paragraph">
                  <wp:posOffset>270691</wp:posOffset>
                </wp:positionV>
                <wp:extent cx="1589315" cy="500743"/>
                <wp:effectExtent l="0" t="0" r="30480" b="33020"/>
                <wp:wrapNone/>
                <wp:docPr id="199" name="Straight Connector 199"/>
                <wp:cNvGraphicFramePr/>
                <a:graphic xmlns:a="http://schemas.openxmlformats.org/drawingml/2006/main">
                  <a:graphicData uri="http://schemas.microsoft.com/office/word/2010/wordprocessingShape">
                    <wps:wsp>
                      <wps:cNvCnPr/>
                      <wps:spPr>
                        <a:xfrm>
                          <a:off x="0" y="0"/>
                          <a:ext cx="1589315" cy="500743"/>
                        </a:xfrm>
                        <a:prstGeom prst="line">
                          <a:avLst/>
                        </a:prstGeom>
                        <a:ln w="19050">
                          <a:solidFill>
                            <a:schemeClr val="tx1"/>
                          </a:solidFill>
                          <a:prstDash val="sys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794E1A" id="Straight Connector 199" o:spid="_x0000_s1026" style="position:absolute;z-index:252029952;visibility:visible;mso-wrap-style:square;mso-wrap-distance-left:9pt;mso-wrap-distance-top:0;mso-wrap-distance-right:9pt;mso-wrap-distance-bottom:0;mso-position-horizontal:absolute;mso-position-horizontal-relative:text;mso-position-vertical:absolute;mso-position-vertical-relative:text" from="74.3pt,21.3pt" to="199.4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" strokecolor="black [3213]" strokeweight="1.5pt">
                <v:stroke dashstyle="3 1" joinstyle="miter"/>
              </v:line>
            </w:pict>
          </mc:Fallback>
        </mc:AlternateContent>
      </w:r>
    </w:p>
    <w:p w14:paraId="59CDAA6A" w14:textId="02A3F1EE" w:rsidR="00EB5557" w:rsidRPr="0035519F" w:rsidRDefault="00BC1299" w:rsidP="007757AB">
      <w:pPr>
        <w:spacing w:line="480" w:lineRule="auto"/>
      </w:pPr>
      <w:r w:rsidRPr="0035519F">
        <w:rPr>
          <w:noProof/>
        </w:rPr>
        <mc:AlternateContent>
          <mc:Choice Requires="wps">
            <w:drawing>
              <wp:anchor distT="0" distB="0" distL="114300" distR="114300" simplePos="0" relativeHeight="252028928" behindDoc="0" locked="0" layoutInCell="1" allowOverlap="1" wp14:anchorId="42602875" wp14:editId="12DCDA62">
                <wp:simplePos x="0" y="0"/>
                <wp:positionH relativeFrom="column">
                  <wp:posOffset>1716676</wp:posOffset>
                </wp:positionH>
                <wp:positionV relativeFrom="paragraph">
                  <wp:posOffset>328839</wp:posOffset>
                </wp:positionV>
                <wp:extent cx="1643743" cy="838200"/>
                <wp:effectExtent l="0" t="0" r="13970" b="19050"/>
                <wp:wrapNone/>
                <wp:docPr id="195" name="Rectangle 195"/>
                <wp:cNvGraphicFramePr/>
                <a:graphic xmlns:a="http://schemas.openxmlformats.org/drawingml/2006/main">
                  <a:graphicData uri="http://schemas.microsoft.com/office/word/2010/wordprocessingShape">
                    <wps:wsp>
                      <wps:cNvSpPr/>
                      <wps:spPr>
                        <a:xfrm>
                          <a:off x="0" y="0"/>
                          <a:ext cx="1643743" cy="838200"/>
                        </a:xfrm>
                        <a:prstGeom prst="rect">
                          <a:avLst/>
                        </a:prstGeom>
                        <a:ln w="19050">
                          <a:prstDash val="sysDash"/>
                        </a:ln>
                      </wps:spPr>
                      <wps:style>
                        <a:lnRef idx="2">
                          <a:schemeClr val="dk1"/>
                        </a:lnRef>
                        <a:fillRef idx="1">
                          <a:schemeClr val="lt1"/>
                        </a:fillRef>
                        <a:effectRef idx="0">
                          <a:schemeClr val="dk1"/>
                        </a:effectRef>
                        <a:fontRef idx="minor">
                          <a:schemeClr val="dk1"/>
                        </a:fontRef>
                      </wps:style>
                      <wps:txbx>
                        <w:txbxContent>
                          <w:p w14:paraId="0A7D2D8F" w14:textId="38550500"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DM</w:t>
                            </w:r>
                          </w:p>
                          <w:p w14:paraId="30AD9543" w14:textId="12957F79"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Obat Kortikosteroid</w:t>
                            </w:r>
                          </w:p>
                          <w:p w14:paraId="0C481270" w14:textId="6F32C23B"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Inflamasi / Infeksi</w:t>
                            </w:r>
                          </w:p>
                          <w:p w14:paraId="09523ED5" w14:textId="27CDCAB8"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Keganasa</w:t>
                            </w:r>
                            <w:r>
                              <w:rPr>
                                <w:rFonts w:ascii="Arial" w:hAnsi="Arial" w:cs="Arial"/>
                                <w:b/>
                              </w:rPr>
                              <w:t>n</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02875" id="Rectangle 195" o:spid="_x0000_s1048" style="position:absolute;margin-left:135.15pt;margin-top:25.9pt;width:129.45pt;height:66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" fillcolor="white [3201]" strokecolor="black [3200]" strokeweight="1.5pt">
                <v:stroke dashstyle="3 1"/>
                <v:textbox>
                  <w:txbxContent>
                    <w:p w14:paraId="0A7D2D8F" w14:textId="38550500"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DM</w:t>
                      </w:r>
                    </w:p>
                    <w:p w14:paraId="30AD9543" w14:textId="12957F79"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Obat Kortikosteroid</w:t>
                      </w:r>
                    </w:p>
                    <w:p w14:paraId="0C481270" w14:textId="6F32C23B"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Inflamasi / Infeksi</w:t>
                      </w:r>
                    </w:p>
                    <w:p w14:paraId="09523ED5" w14:textId="27CDCAB8" w:rsidR="00CE38BD" w:rsidRPr="00BC1299" w:rsidRDefault="00CE38BD" w:rsidP="00BC1299">
                      <w:pPr>
                        <w:pStyle w:val="ListParagraph"/>
                        <w:numPr>
                          <w:ilvl w:val="0"/>
                          <w:numId w:val="52"/>
                        </w:numPr>
                        <w:spacing w:after="0" w:line="240" w:lineRule="auto"/>
                        <w:ind w:left="180" w:hanging="180"/>
                        <w:jc w:val="both"/>
                        <w:rPr>
                          <w:rFonts w:ascii="Arial" w:hAnsi="Arial" w:cs="Arial"/>
                          <w:b/>
                        </w:rPr>
                      </w:pPr>
                      <w:r w:rsidRPr="00BC1299">
                        <w:rPr>
                          <w:rFonts w:ascii="Arial" w:hAnsi="Arial" w:cs="Arial"/>
                          <w:b/>
                        </w:rPr>
                        <w:t>Keganasa</w:t>
                      </w:r>
                      <w:r>
                        <w:rPr>
                          <w:rFonts w:ascii="Arial" w:hAnsi="Arial" w:cs="Arial"/>
                          <w:b/>
                        </w:rPr>
                        <w:t>n</w:t>
                      </w:r>
                    </w:p>
                  </w:txbxContent>
                </v:textbox>
              </v:rect>
            </w:pict>
          </mc:Fallback>
        </mc:AlternateContent>
      </w:r>
    </w:p>
    <w:p w14:paraId="420F7CA0" w14:textId="39EF1D0A" w:rsidR="00EB5557" w:rsidRPr="0035519F" w:rsidRDefault="00EB5557" w:rsidP="007757AB">
      <w:pPr>
        <w:spacing w:line="480" w:lineRule="auto"/>
      </w:pPr>
    </w:p>
    <w:p w14:paraId="672CD0FA" w14:textId="4B9387C7" w:rsidR="007757AB" w:rsidRPr="0035519F" w:rsidRDefault="007757AB" w:rsidP="007757AB">
      <w:pPr>
        <w:spacing w:line="480" w:lineRule="auto"/>
      </w:pPr>
    </w:p>
    <w:p w14:paraId="0FF11E15" w14:textId="77777777" w:rsidR="00461CDD" w:rsidRPr="0035519F" w:rsidRDefault="00461CDD" w:rsidP="007757AB">
      <w:pPr>
        <w:spacing w:line="480" w:lineRule="auto"/>
        <w:rPr>
          <w:rFonts w:ascii="Arial" w:hAnsi="Arial" w:cs="Arial"/>
        </w:rPr>
      </w:pPr>
    </w:p>
    <w:p w14:paraId="3D59F245" w14:textId="0E13A9C0" w:rsidR="007757AB" w:rsidRPr="0035519F" w:rsidRDefault="007757AB" w:rsidP="007757AB">
      <w:pPr>
        <w:spacing w:line="480" w:lineRule="auto"/>
        <w:rPr>
          <w:rFonts w:ascii="Arial" w:hAnsi="Arial" w:cs="Arial"/>
        </w:rPr>
      </w:pPr>
    </w:p>
    <w:p w14:paraId="3EB006AD" w14:textId="2363E067" w:rsidR="007757AB" w:rsidRPr="0035519F" w:rsidRDefault="00CE38BD" w:rsidP="007757AB">
      <w:pPr>
        <w:spacing w:line="480" w:lineRule="auto"/>
        <w:rPr>
          <w:rFonts w:ascii="Arial" w:hAnsi="Arial" w:cs="Arial"/>
        </w:rPr>
      </w:pPr>
      <w:r w:rsidRPr="0035519F">
        <w:rPr>
          <w:rFonts w:ascii="Times New Roman" w:eastAsia="Calibri" w:hAnsi="Times New Roman" w:cs="Times New Roman"/>
          <w:noProof/>
          <w:sz w:val="24"/>
          <w:szCs w:val="24"/>
        </w:rPr>
        <mc:AlternateContent>
          <mc:Choice Requires="wpg">
            <w:drawing>
              <wp:anchor distT="0" distB="0" distL="114300" distR="114300" simplePos="0" relativeHeight="251705344" behindDoc="0" locked="0" layoutInCell="1" allowOverlap="1" wp14:anchorId="60F8D1FD" wp14:editId="1039EC1B">
                <wp:simplePos x="0" y="0"/>
                <wp:positionH relativeFrom="column">
                  <wp:posOffset>866775</wp:posOffset>
                </wp:positionH>
                <wp:positionV relativeFrom="paragraph">
                  <wp:posOffset>319405</wp:posOffset>
                </wp:positionV>
                <wp:extent cx="3697783" cy="300923"/>
                <wp:effectExtent l="19050" t="19050" r="0" b="4445"/>
                <wp:wrapNone/>
                <wp:docPr id="309" name="Group 309"/>
                <wp:cNvGraphicFramePr/>
                <a:graphic xmlns:a="http://schemas.openxmlformats.org/drawingml/2006/main">
                  <a:graphicData uri="http://schemas.microsoft.com/office/word/2010/wordprocessingGroup">
                    <wpg:wgp>
                      <wpg:cNvGrpSpPr/>
                      <wpg:grpSpPr>
                        <a:xfrm>
                          <a:off x="0" y="0"/>
                          <a:ext cx="3697783" cy="300923"/>
                          <a:chOff x="10758" y="0"/>
                          <a:chExt cx="3697634" cy="300942"/>
                        </a:xfrm>
                      </wpg:grpSpPr>
                      <wps:wsp>
                        <wps:cNvPr id="321" name="Rectangle 321"/>
                        <wps:cNvSpPr/>
                        <wps:spPr>
                          <a:xfrm>
                            <a:off x="10758" y="0"/>
                            <a:ext cx="995045" cy="254643"/>
                          </a:xfrm>
                          <a:prstGeom prst="rect">
                            <a:avLst/>
                          </a:prstGeom>
                          <a:noFill/>
                          <a:ln w="28575" cap="flat" cmpd="sng" algn="ctr">
                            <a:solidFill>
                              <a:sysClr val="windowText" lastClr="000000"/>
                            </a:solidFill>
                            <a:prstDash val="solid"/>
                            <a:miter lim="800000"/>
                          </a:ln>
                          <a:effectLst/>
                        </wps:spPr>
                        <wps:txbx>
                          <w:txbxContent>
                            <w:p w14:paraId="5844DC22" w14:textId="77777777" w:rsidR="00CE38BD" w:rsidRDefault="00CE38BD" w:rsidP="007757AB">
                              <w:pPr>
                                <w:spacing w:after="0" w:line="240" w:lineRule="auto"/>
                                <w:jc w:val="center"/>
                                <w:rPr>
                                  <w:rFonts w:ascii="Arial" w:hAnsi="Arial" w:cs="Aria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6" name="Rectangle 326"/>
                        <wps:cNvSpPr/>
                        <wps:spPr>
                          <a:xfrm>
                            <a:off x="1312433" y="0"/>
                            <a:ext cx="2395959" cy="300942"/>
                          </a:xfrm>
                          <a:prstGeom prst="rect">
                            <a:avLst/>
                          </a:prstGeom>
                          <a:noFill/>
                          <a:ln w="12700" cap="flat" cmpd="sng" algn="ctr">
                            <a:noFill/>
                            <a:prstDash val="solid"/>
                            <a:miter lim="800000"/>
                          </a:ln>
                          <a:effectLst/>
                        </wps:spPr>
                        <wps:txbx>
                          <w:txbxContent>
                            <w:p w14:paraId="1DA172E4" w14:textId="77777777" w:rsidR="00CE38BD" w:rsidRDefault="00CE38BD" w:rsidP="007757AB">
                              <w:pPr>
                                <w:spacing w:after="0" w:line="240" w:lineRule="auto"/>
                                <w:rPr>
                                  <w:rFonts w:ascii="Arial" w:hAnsi="Arial" w:cs="Arial"/>
                                </w:rPr>
                              </w:pPr>
                              <w:r>
                                <w:rPr>
                                  <w:rFonts w:ascii="Arial" w:hAnsi="Arial" w:cs="Arial"/>
                                </w:rPr>
                                <w:t xml:space="preserve">: Variabel bebas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0F8D1FD" id="Group 309" o:spid="_x0000_s1049" style="position:absolute;margin-left:68.25pt;margin-top:25.15pt;width:291.15pt;height:23.7pt;z-index:251705344" coordorigin="107" coordsize="36976,3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">
                <v:rect id="Rectangle 321" o:spid="_x0000_s1050" style="position:absolute;left:107;width:9951;height:2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" filled="f" strokecolor="windowText" strokeweight="2.25pt">
                  <v:textbox>
                    <w:txbxContent>
                      <w:p w14:paraId="5844DC22" w14:textId="77777777" w:rsidR="00CE38BD" w:rsidRDefault="00CE38BD" w:rsidP="007757AB">
                        <w:pPr>
                          <w:spacing w:after="0" w:line="240" w:lineRule="auto"/>
                          <w:jc w:val="center"/>
                          <w:rPr>
                            <w:rFonts w:ascii="Arial" w:hAnsi="Arial" w:cs="Arial"/>
                          </w:rPr>
                        </w:pPr>
                      </w:p>
                    </w:txbxContent>
                  </v:textbox>
                </v:rect>
                <v:rect id="Rectangle 326" o:spid="_x0000_s1051" style="position:absolute;left:13124;width:23959;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" filled="f" stroked="f" strokeweight="1pt">
                  <v:textbox>
                    <w:txbxContent>
                      <w:p w14:paraId="1DA172E4" w14:textId="77777777" w:rsidR="00CE38BD" w:rsidRDefault="00CE38BD" w:rsidP="007757AB">
                        <w:pPr>
                          <w:spacing w:after="0" w:line="240" w:lineRule="auto"/>
                          <w:rPr>
                            <w:rFonts w:ascii="Arial" w:hAnsi="Arial" w:cs="Arial"/>
                          </w:rPr>
                        </w:pPr>
                        <w:r>
                          <w:rPr>
                            <w:rFonts w:ascii="Arial" w:hAnsi="Arial" w:cs="Arial"/>
                          </w:rPr>
                          <w:t xml:space="preserve">: Variabel bebas </w:t>
                        </w:r>
                      </w:p>
                    </w:txbxContent>
                  </v:textbox>
                </v:rect>
              </v:group>
            </w:pict>
          </mc:Fallback>
        </mc:AlternateContent>
      </w:r>
    </w:p>
    <w:p w14:paraId="65666128" w14:textId="7AD5A00C" w:rsidR="002D7818" w:rsidRPr="0035519F" w:rsidRDefault="00CE38BD" w:rsidP="007757AB">
      <w:pPr>
        <w:spacing w:line="480" w:lineRule="auto"/>
        <w:rPr>
          <w:rFonts w:ascii="Arial" w:hAnsi="Arial" w:cs="Arial"/>
        </w:rPr>
      </w:pPr>
      <w:r w:rsidRPr="0035519F">
        <w:rPr>
          <w:rFonts w:ascii="Times New Roman" w:eastAsia="Calibri" w:hAnsi="Times New Roman" w:cs="Times New Roman"/>
          <w:noProof/>
          <w:sz w:val="24"/>
          <w:szCs w:val="24"/>
        </w:rPr>
        <mc:AlternateContent>
          <mc:Choice Requires="wpg">
            <w:drawing>
              <wp:anchor distT="0" distB="0" distL="114300" distR="114300" simplePos="0" relativeHeight="252046336" behindDoc="0" locked="0" layoutInCell="1" allowOverlap="1" wp14:anchorId="63C4681E" wp14:editId="0CCB2305">
                <wp:simplePos x="0" y="0"/>
                <wp:positionH relativeFrom="column">
                  <wp:posOffset>912495</wp:posOffset>
                </wp:positionH>
                <wp:positionV relativeFrom="paragraph">
                  <wp:posOffset>333375</wp:posOffset>
                </wp:positionV>
                <wp:extent cx="3649980" cy="300300"/>
                <wp:effectExtent l="19050" t="0" r="0" b="5080"/>
                <wp:wrapNone/>
                <wp:docPr id="255" name="Group 255"/>
                <wp:cNvGraphicFramePr/>
                <a:graphic xmlns:a="http://schemas.openxmlformats.org/drawingml/2006/main">
                  <a:graphicData uri="http://schemas.microsoft.com/office/word/2010/wordprocessingGroup">
                    <wpg:wgp>
                      <wpg:cNvGrpSpPr/>
                      <wpg:grpSpPr>
                        <a:xfrm>
                          <a:off x="0" y="0"/>
                          <a:ext cx="3649980" cy="300300"/>
                          <a:chOff x="77429" y="352506"/>
                          <a:chExt cx="3650012" cy="300942"/>
                        </a:xfrm>
                      </wpg:grpSpPr>
                      <wps:wsp>
                        <wps:cNvPr id="258" name="Rectangle 258"/>
                        <wps:cNvSpPr/>
                        <wps:spPr>
                          <a:xfrm>
                            <a:off x="77429" y="371498"/>
                            <a:ext cx="995045" cy="254643"/>
                          </a:xfrm>
                          <a:prstGeom prst="rect">
                            <a:avLst/>
                          </a:prstGeom>
                          <a:noFill/>
                          <a:ln w="28575" cap="flat" cmpd="sng" algn="ctr">
                            <a:solidFill>
                              <a:sysClr val="windowText" lastClr="000000"/>
                            </a:solidFill>
                            <a:prstDash val="solid"/>
                            <a:miter lim="800000"/>
                          </a:ln>
                          <a:effectLst/>
                        </wps:spPr>
                        <wps:txbx>
                          <w:txbxContent>
                            <w:p w14:paraId="79851D9F" w14:textId="77777777" w:rsidR="00CE38BD" w:rsidRDefault="00CE38BD" w:rsidP="002D7818">
                              <w:pPr>
                                <w:spacing w:after="0" w:line="240" w:lineRule="auto"/>
                                <w:jc w:val="center"/>
                                <w:rPr>
                                  <w:rFonts w:ascii="Arial" w:hAnsi="Arial" w:cs="Aria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9" name="Rectangle 259"/>
                        <wps:cNvSpPr/>
                        <wps:spPr>
                          <a:xfrm>
                            <a:off x="1331482" y="352506"/>
                            <a:ext cx="2395959" cy="300942"/>
                          </a:xfrm>
                          <a:prstGeom prst="rect">
                            <a:avLst/>
                          </a:prstGeom>
                          <a:noFill/>
                          <a:ln w="12700" cap="flat" cmpd="sng" algn="ctr">
                            <a:noFill/>
                            <a:prstDash val="solid"/>
                            <a:miter lim="800000"/>
                          </a:ln>
                          <a:effectLst/>
                        </wps:spPr>
                        <wps:txbx>
                          <w:txbxContent>
                            <w:p w14:paraId="02CE522E" w14:textId="25C68E31" w:rsidR="00CE38BD" w:rsidRDefault="00CE38BD" w:rsidP="002D7818">
                              <w:pPr>
                                <w:spacing w:after="0" w:line="240" w:lineRule="auto"/>
                                <w:rPr>
                                  <w:rFonts w:ascii="Arial" w:hAnsi="Arial" w:cs="Arial"/>
                                </w:rPr>
                              </w:pPr>
                              <w:r>
                                <w:rPr>
                                  <w:rFonts w:ascii="Arial" w:hAnsi="Arial" w:cs="Arial"/>
                                </w:rPr>
                                <w:t xml:space="preserve">: Variabel tergantung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3C4681E" id="Group 255" o:spid="_x0000_s1052" style="position:absolute;margin-left:71.85pt;margin-top:26.25pt;width:287.4pt;height:23.65pt;z-index:252046336" coordorigin="774,3525" coordsize="36500,3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">
                <v:rect id="Rectangle 258" o:spid="_x0000_s1053" style="position:absolute;left:774;top:3714;width:9950;height:2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" filled="f" strokecolor="windowText" strokeweight="2.25pt">
                  <v:textbox>
                    <w:txbxContent>
                      <w:p w14:paraId="79851D9F" w14:textId="77777777" w:rsidR="00CE38BD" w:rsidRDefault="00CE38BD" w:rsidP="002D7818">
                        <w:pPr>
                          <w:spacing w:after="0" w:line="240" w:lineRule="auto"/>
                          <w:jc w:val="center"/>
                          <w:rPr>
                            <w:rFonts w:ascii="Arial" w:hAnsi="Arial" w:cs="Arial"/>
                          </w:rPr>
                        </w:pPr>
                      </w:p>
                    </w:txbxContent>
                  </v:textbox>
                </v:rect>
                <v:rect id="Rectangle 259" o:spid="_x0000_s1054" style="position:absolute;left:13314;top:3525;width:23960;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" filled="f" stroked="f" strokeweight="1pt">
                  <v:textbox>
                    <w:txbxContent>
                      <w:p w14:paraId="02CE522E" w14:textId="25C68E31" w:rsidR="00CE38BD" w:rsidRDefault="00CE38BD" w:rsidP="002D7818">
                        <w:pPr>
                          <w:spacing w:after="0" w:line="240" w:lineRule="auto"/>
                          <w:rPr>
                            <w:rFonts w:ascii="Arial" w:hAnsi="Arial" w:cs="Arial"/>
                          </w:rPr>
                        </w:pPr>
                        <w:r>
                          <w:rPr>
                            <w:rFonts w:ascii="Arial" w:hAnsi="Arial" w:cs="Arial"/>
                          </w:rPr>
                          <w:t xml:space="preserve">: Variabel tergantung </w:t>
                        </w:r>
                      </w:p>
                    </w:txbxContent>
                  </v:textbox>
                </v:rect>
              </v:group>
            </w:pict>
          </mc:Fallback>
        </mc:AlternateContent>
      </w:r>
      <w:r w:rsidRPr="0035519F">
        <w:rPr>
          <w:noProof/>
        </w:rPr>
        <mc:AlternateContent>
          <mc:Choice Requires="wps">
            <w:drawing>
              <wp:anchor distT="0" distB="0" distL="114300" distR="114300" simplePos="0" relativeHeight="252048384" behindDoc="0" locked="0" layoutInCell="1" allowOverlap="1" wp14:anchorId="00A7EBC4" wp14:editId="679B8533">
                <wp:simplePos x="0" y="0"/>
                <wp:positionH relativeFrom="column">
                  <wp:posOffset>867410</wp:posOffset>
                </wp:positionH>
                <wp:positionV relativeFrom="paragraph">
                  <wp:posOffset>304165</wp:posOffset>
                </wp:positionV>
                <wp:extent cx="1101887" cy="362570"/>
                <wp:effectExtent l="0" t="0" r="22225" b="19050"/>
                <wp:wrapNone/>
                <wp:docPr id="260" name="Rectangle 260"/>
                <wp:cNvGraphicFramePr/>
                <a:graphic xmlns:a="http://schemas.openxmlformats.org/drawingml/2006/main">
                  <a:graphicData uri="http://schemas.microsoft.com/office/word/2010/wordprocessingShape">
                    <wps:wsp>
                      <wps:cNvSpPr/>
                      <wps:spPr>
                        <a:xfrm>
                          <a:off x="0" y="0"/>
                          <a:ext cx="1101887" cy="3625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9CD63" id="Rectangle 260" o:spid="_x0000_s1026" style="position:absolute;margin-left:68.3pt;margin-top:23.95pt;width:86.75pt;height:28.5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" filled="f" strokecolor="black [3213]" strokeweight="1pt"/>
            </w:pict>
          </mc:Fallback>
        </mc:AlternateContent>
      </w:r>
    </w:p>
    <w:p w14:paraId="01FCEAE0" w14:textId="7FD70465" w:rsidR="007169D6" w:rsidRPr="0035519F" w:rsidRDefault="00CE38BD" w:rsidP="006E113A">
      <w:pPr>
        <w:spacing w:line="480" w:lineRule="auto"/>
        <w:rPr>
          <w:rFonts w:ascii="Arial" w:hAnsi="Arial" w:cs="Arial"/>
        </w:rPr>
      </w:pPr>
      <w:r w:rsidRPr="0035519F">
        <w:rPr>
          <w:noProof/>
        </w:rPr>
        <mc:AlternateContent>
          <mc:Choice Requires="wps">
            <w:drawing>
              <wp:anchor distT="0" distB="0" distL="114300" distR="114300" simplePos="0" relativeHeight="252035072" behindDoc="0" locked="0" layoutInCell="1" allowOverlap="1" wp14:anchorId="2A26AA83" wp14:editId="28366934">
                <wp:simplePos x="0" y="0"/>
                <wp:positionH relativeFrom="column">
                  <wp:posOffset>2149389</wp:posOffset>
                </wp:positionH>
                <wp:positionV relativeFrom="paragraph">
                  <wp:posOffset>326390</wp:posOffset>
                </wp:positionV>
                <wp:extent cx="2395855" cy="288925"/>
                <wp:effectExtent l="0" t="0" r="0" b="0"/>
                <wp:wrapNone/>
                <wp:docPr id="213" name="Rectangle 213"/>
                <wp:cNvGraphicFramePr/>
                <a:graphic xmlns:a="http://schemas.openxmlformats.org/drawingml/2006/main">
                  <a:graphicData uri="http://schemas.microsoft.com/office/word/2010/wordprocessingShape">
                    <wps:wsp>
                      <wps:cNvSpPr/>
                      <wps:spPr>
                        <a:xfrm>
                          <a:off x="0" y="0"/>
                          <a:ext cx="2395855" cy="288925"/>
                        </a:xfrm>
                        <a:prstGeom prst="rect">
                          <a:avLst/>
                        </a:prstGeom>
                        <a:noFill/>
                        <a:ln w="12700" cap="flat" cmpd="sng" algn="ctr">
                          <a:noFill/>
                          <a:prstDash val="solid"/>
                          <a:miter lim="800000"/>
                        </a:ln>
                        <a:effectLst/>
                      </wps:spPr>
                      <wps:txbx>
                        <w:txbxContent>
                          <w:p w14:paraId="06F80C0D" w14:textId="42890F05" w:rsidR="00CE38BD" w:rsidRDefault="00CE38BD" w:rsidP="00BC1299">
                            <w:pPr>
                              <w:spacing w:after="0" w:line="240" w:lineRule="auto"/>
                              <w:rPr>
                                <w:rFonts w:ascii="Arial" w:hAnsi="Arial" w:cs="Arial"/>
                              </w:rPr>
                            </w:pPr>
                            <w:r>
                              <w:rPr>
                                <w:rFonts w:ascii="Arial" w:hAnsi="Arial" w:cs="Arial"/>
                              </w:rPr>
                              <w:t>: Variabel Kendali</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6AA83" id="Rectangle 213" o:spid="_x0000_s1055" style="position:absolute;margin-left:169.25pt;margin-top:25.7pt;width:188.65pt;height:22.75pt;z-index:2520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" filled="f" stroked="f" strokeweight="1pt">
                <v:textbox>
                  <w:txbxContent>
                    <w:p w14:paraId="06F80C0D" w14:textId="42890F05" w:rsidR="00CE38BD" w:rsidRDefault="00CE38BD" w:rsidP="00BC1299">
                      <w:pPr>
                        <w:spacing w:after="0" w:line="240" w:lineRule="auto"/>
                        <w:rPr>
                          <w:rFonts w:ascii="Arial" w:hAnsi="Arial" w:cs="Arial"/>
                        </w:rPr>
                      </w:pPr>
                      <w:r>
                        <w:rPr>
                          <w:rFonts w:ascii="Arial" w:hAnsi="Arial" w:cs="Arial"/>
                        </w:rPr>
                        <w:t>: Variabel Kendali</w:t>
                      </w:r>
                    </w:p>
                  </w:txbxContent>
                </v:textbox>
              </v:rect>
            </w:pict>
          </mc:Fallback>
        </mc:AlternateContent>
      </w:r>
      <w:r w:rsidRPr="0035519F">
        <w:rPr>
          <w:noProof/>
        </w:rPr>
        <mc:AlternateContent>
          <mc:Choice Requires="wps">
            <w:drawing>
              <wp:anchor distT="0" distB="0" distL="114300" distR="114300" simplePos="0" relativeHeight="252033024" behindDoc="0" locked="0" layoutInCell="1" allowOverlap="1" wp14:anchorId="184600E7" wp14:editId="54A7BCA7">
                <wp:simplePos x="0" y="0"/>
                <wp:positionH relativeFrom="column">
                  <wp:posOffset>867410</wp:posOffset>
                </wp:positionH>
                <wp:positionV relativeFrom="paragraph">
                  <wp:posOffset>329565</wp:posOffset>
                </wp:positionV>
                <wp:extent cx="995045" cy="254000"/>
                <wp:effectExtent l="19050" t="19050" r="14605" b="12700"/>
                <wp:wrapNone/>
                <wp:docPr id="210" name="Rectangle 210"/>
                <wp:cNvGraphicFramePr/>
                <a:graphic xmlns:a="http://schemas.openxmlformats.org/drawingml/2006/main">
                  <a:graphicData uri="http://schemas.microsoft.com/office/word/2010/wordprocessingShape">
                    <wps:wsp>
                      <wps:cNvSpPr/>
                      <wps:spPr>
                        <a:xfrm>
                          <a:off x="0" y="0"/>
                          <a:ext cx="995045" cy="254000"/>
                        </a:xfrm>
                        <a:prstGeom prst="rect">
                          <a:avLst/>
                        </a:prstGeom>
                        <a:noFill/>
                        <a:ln w="28575" cap="flat" cmpd="sng" algn="ctr">
                          <a:solidFill>
                            <a:sysClr val="windowText" lastClr="000000"/>
                          </a:solidFill>
                          <a:prstDash val="sysDash"/>
                          <a:miter lim="800000"/>
                        </a:ln>
                        <a:effectLst/>
                      </wps:spPr>
                      <wps:txbx>
                        <w:txbxContent>
                          <w:p w14:paraId="3677A59E" w14:textId="77777777" w:rsidR="00CE38BD" w:rsidRDefault="00CE38BD" w:rsidP="00BC1299">
                            <w:pPr>
                              <w:spacing w:after="0" w:line="240" w:lineRule="auto"/>
                              <w:jc w:val="center"/>
                              <w:rPr>
                                <w:rFonts w:ascii="Arial" w:hAnsi="Arial" w:cs="Aria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4600E7" id="Rectangle 210" o:spid="_x0000_s1056" style="position:absolute;margin-left:68.3pt;margin-top:25.95pt;width:78.35pt;height:20pt;z-index:2520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" filled="f" strokecolor="windowText" strokeweight="2.25pt">
                <v:stroke dashstyle="3 1"/>
                <v:textbox>
                  <w:txbxContent>
                    <w:p w14:paraId="3677A59E" w14:textId="77777777" w:rsidR="00CE38BD" w:rsidRDefault="00CE38BD" w:rsidP="00BC1299">
                      <w:pPr>
                        <w:spacing w:after="0" w:line="240" w:lineRule="auto"/>
                        <w:jc w:val="center"/>
                        <w:rPr>
                          <w:rFonts w:ascii="Arial" w:hAnsi="Arial" w:cs="Arial"/>
                        </w:rPr>
                      </w:pPr>
                    </w:p>
                  </w:txbxContent>
                </v:textbox>
              </v:rect>
            </w:pict>
          </mc:Fallback>
        </mc:AlternateContent>
      </w:r>
      <w:r w:rsidR="007757AB" w:rsidRPr="0035519F">
        <w:rPr>
          <w:rFonts w:ascii="Arial" w:hAnsi="Arial" w:cs="Arial"/>
        </w:rPr>
        <w:t xml:space="preserve">Keterangan: </w:t>
      </w:r>
    </w:p>
    <w:p w14:paraId="5ECB468D" w14:textId="5FA839C7" w:rsidR="007757AB" w:rsidRPr="0035519F" w:rsidRDefault="007757AB" w:rsidP="00304D34">
      <w:pPr>
        <w:pStyle w:val="Heading1"/>
        <w:rPr>
          <w:rFonts w:cs="Arial"/>
          <w:color w:val="auto"/>
          <w:sz w:val="28"/>
          <w:szCs w:val="28"/>
        </w:rPr>
      </w:pPr>
      <w:bookmarkStart w:id="56" w:name="_Toc111022773"/>
      <w:r w:rsidRPr="0035519F">
        <w:rPr>
          <w:rFonts w:cs="Arial"/>
          <w:color w:val="auto"/>
        </w:rPr>
        <w:br w:type="page"/>
      </w:r>
      <w:r w:rsidRPr="0035519F">
        <w:rPr>
          <w:rFonts w:cs="Arial"/>
          <w:color w:val="auto"/>
          <w:sz w:val="28"/>
          <w:szCs w:val="28"/>
        </w:rPr>
        <w:lastRenderedPageBreak/>
        <w:t>BAB IV</w:t>
      </w:r>
      <w:bookmarkEnd w:id="56"/>
    </w:p>
    <w:p w14:paraId="375E6B63" w14:textId="77777777" w:rsidR="007757AB" w:rsidRPr="0035519F" w:rsidRDefault="007757AB" w:rsidP="00304D34">
      <w:pPr>
        <w:pStyle w:val="Heading1"/>
        <w:rPr>
          <w:rFonts w:cs="Arial"/>
          <w:color w:val="auto"/>
          <w:sz w:val="28"/>
          <w:szCs w:val="28"/>
        </w:rPr>
      </w:pPr>
      <w:bookmarkStart w:id="57" w:name="_Toc111022774"/>
      <w:r w:rsidRPr="0035519F">
        <w:rPr>
          <w:rFonts w:cs="Arial"/>
          <w:color w:val="auto"/>
          <w:sz w:val="28"/>
          <w:szCs w:val="28"/>
        </w:rPr>
        <w:t>METODE PENELITIAN</w:t>
      </w:r>
      <w:bookmarkEnd w:id="57"/>
      <w:r w:rsidRPr="0035519F">
        <w:rPr>
          <w:rFonts w:cs="Arial"/>
          <w:color w:val="auto"/>
          <w:sz w:val="28"/>
          <w:szCs w:val="28"/>
        </w:rPr>
        <w:t xml:space="preserve"> </w:t>
      </w:r>
    </w:p>
    <w:p w14:paraId="3C4A8F7B" w14:textId="77777777" w:rsidR="00891FA6" w:rsidRPr="0035519F" w:rsidRDefault="00891FA6" w:rsidP="00891FA6"/>
    <w:p w14:paraId="136F2559" w14:textId="77777777" w:rsidR="007757AB" w:rsidRPr="0035519F" w:rsidRDefault="007757AB" w:rsidP="007757AB">
      <w:pPr>
        <w:pStyle w:val="ListParagraph"/>
        <w:numPr>
          <w:ilvl w:val="2"/>
          <w:numId w:val="1"/>
        </w:numPr>
        <w:spacing w:after="0" w:line="480" w:lineRule="auto"/>
        <w:ind w:left="426" w:hanging="426"/>
        <w:jc w:val="center"/>
        <w:outlineLvl w:val="1"/>
        <w:rPr>
          <w:rFonts w:ascii="Arial" w:hAnsi="Arial" w:cs="Arial"/>
          <w:b/>
          <w:sz w:val="24"/>
          <w:szCs w:val="24"/>
        </w:rPr>
      </w:pPr>
      <w:bookmarkStart w:id="58" w:name="_Toc111022775"/>
      <w:r w:rsidRPr="0035519F">
        <w:rPr>
          <w:rFonts w:ascii="Arial" w:hAnsi="Arial" w:cs="Arial"/>
          <w:b/>
          <w:sz w:val="24"/>
          <w:szCs w:val="24"/>
          <w:lang w:val="id-ID"/>
        </w:rPr>
        <w:t xml:space="preserve">Desain </w:t>
      </w:r>
      <w:r w:rsidRPr="0035519F">
        <w:rPr>
          <w:rFonts w:ascii="Arial" w:hAnsi="Arial" w:cs="Arial"/>
          <w:b/>
          <w:sz w:val="24"/>
          <w:szCs w:val="24"/>
        </w:rPr>
        <w:t>Penelitian</w:t>
      </w:r>
      <w:bookmarkEnd w:id="58"/>
    </w:p>
    <w:p w14:paraId="29F87BA2" w14:textId="1A2AC21C" w:rsidR="007757AB" w:rsidRPr="0035519F" w:rsidRDefault="007757AB" w:rsidP="007757AB">
      <w:pPr>
        <w:spacing w:after="0" w:line="480" w:lineRule="auto"/>
        <w:ind w:right="49" w:firstLine="720"/>
        <w:jc w:val="both"/>
        <w:rPr>
          <w:rFonts w:ascii="Arial" w:hAnsi="Arial" w:cs="Arial"/>
          <w:bCs/>
          <w:i/>
          <w:sz w:val="24"/>
          <w:szCs w:val="24"/>
        </w:rPr>
      </w:pPr>
      <w:r w:rsidRPr="0035519F">
        <w:rPr>
          <w:rFonts w:ascii="Arial" w:hAnsi="Arial" w:cs="Arial"/>
          <w:bCs/>
          <w:sz w:val="24"/>
          <w:szCs w:val="24"/>
        </w:rPr>
        <w:t xml:space="preserve">Penelitian ini merupakan penelitian </w:t>
      </w:r>
      <w:r w:rsidRPr="0035519F">
        <w:rPr>
          <w:rFonts w:ascii="Arial" w:hAnsi="Arial" w:cs="Arial"/>
          <w:bCs/>
          <w:i/>
          <w:sz w:val="24"/>
          <w:szCs w:val="24"/>
        </w:rPr>
        <w:t>cross-sectional.</w:t>
      </w:r>
    </w:p>
    <w:p w14:paraId="3CABC773" w14:textId="77777777" w:rsidR="007757AB" w:rsidRPr="0035519F" w:rsidRDefault="007757AB" w:rsidP="00891FA6">
      <w:pPr>
        <w:pStyle w:val="ListParagraph"/>
        <w:numPr>
          <w:ilvl w:val="2"/>
          <w:numId w:val="1"/>
        </w:numPr>
        <w:spacing w:after="0" w:line="480" w:lineRule="auto"/>
        <w:ind w:left="426" w:hanging="426"/>
        <w:jc w:val="center"/>
        <w:outlineLvl w:val="1"/>
        <w:rPr>
          <w:rFonts w:ascii="Arial" w:hAnsi="Arial" w:cs="Arial"/>
          <w:b/>
          <w:sz w:val="24"/>
          <w:szCs w:val="24"/>
        </w:rPr>
      </w:pPr>
      <w:bookmarkStart w:id="59" w:name="_Toc111022776"/>
      <w:r w:rsidRPr="0035519F">
        <w:rPr>
          <w:rFonts w:ascii="Arial" w:hAnsi="Arial" w:cs="Arial"/>
          <w:b/>
          <w:sz w:val="24"/>
          <w:szCs w:val="24"/>
        </w:rPr>
        <w:t>Tempat dan Waktu Penelitian</w:t>
      </w:r>
      <w:bookmarkEnd w:id="59"/>
    </w:p>
    <w:p w14:paraId="250F5933" w14:textId="77777777" w:rsidR="007757AB" w:rsidRPr="0035519F" w:rsidRDefault="007757AB" w:rsidP="007757AB">
      <w:pPr>
        <w:pStyle w:val="ListParagraph"/>
        <w:numPr>
          <w:ilvl w:val="0"/>
          <w:numId w:val="2"/>
        </w:numPr>
        <w:spacing w:after="0" w:line="480" w:lineRule="auto"/>
        <w:ind w:left="426" w:hanging="426"/>
        <w:jc w:val="both"/>
        <w:rPr>
          <w:rFonts w:ascii="Arial" w:hAnsi="Arial" w:cs="Arial"/>
          <w:b/>
          <w:sz w:val="24"/>
          <w:szCs w:val="24"/>
        </w:rPr>
      </w:pPr>
      <w:r w:rsidRPr="0035519F">
        <w:rPr>
          <w:rFonts w:ascii="Arial" w:hAnsi="Arial" w:cs="Arial"/>
          <w:b/>
          <w:sz w:val="24"/>
          <w:szCs w:val="24"/>
        </w:rPr>
        <w:t>Tempat Penelitian</w:t>
      </w:r>
    </w:p>
    <w:p w14:paraId="58DDCBDF" w14:textId="77777777" w:rsidR="007757AB" w:rsidRPr="0035519F" w:rsidRDefault="007757AB" w:rsidP="007757AB">
      <w:pPr>
        <w:pStyle w:val="ListParagraph"/>
        <w:numPr>
          <w:ilvl w:val="0"/>
          <w:numId w:val="3"/>
        </w:numPr>
        <w:tabs>
          <w:tab w:val="left" w:pos="709"/>
        </w:tabs>
        <w:spacing w:after="0" w:line="480" w:lineRule="auto"/>
        <w:ind w:left="709" w:hanging="283"/>
        <w:jc w:val="both"/>
        <w:rPr>
          <w:rFonts w:ascii="Arial" w:hAnsi="Arial" w:cs="Arial"/>
          <w:sz w:val="24"/>
          <w:szCs w:val="24"/>
        </w:rPr>
      </w:pPr>
      <w:r w:rsidRPr="0035519F">
        <w:rPr>
          <w:rFonts w:ascii="Arial" w:hAnsi="Arial" w:cs="Arial"/>
          <w:sz w:val="24"/>
          <w:szCs w:val="24"/>
        </w:rPr>
        <w:t>Fakultas Kedokteran Universitas Hasanuddin, Makassar untuk perekrutan subyek penelitian.</w:t>
      </w:r>
    </w:p>
    <w:p w14:paraId="4FE31BC1" w14:textId="5DB66079" w:rsidR="007757AB" w:rsidRPr="0035519F" w:rsidRDefault="007757AB" w:rsidP="007757AB">
      <w:pPr>
        <w:pStyle w:val="ListParagraph"/>
        <w:numPr>
          <w:ilvl w:val="0"/>
          <w:numId w:val="3"/>
        </w:numPr>
        <w:tabs>
          <w:tab w:val="left" w:pos="709"/>
        </w:tabs>
        <w:spacing w:after="0" w:line="480" w:lineRule="auto"/>
        <w:ind w:left="709" w:hanging="283"/>
        <w:jc w:val="both"/>
        <w:rPr>
          <w:rFonts w:ascii="Arial" w:hAnsi="Arial" w:cs="Arial"/>
          <w:sz w:val="24"/>
          <w:szCs w:val="24"/>
        </w:rPr>
      </w:pPr>
      <w:r w:rsidRPr="0035519F">
        <w:rPr>
          <w:rFonts w:ascii="Arial" w:hAnsi="Arial" w:cs="Arial"/>
          <w:bCs/>
          <w:sz w:val="24"/>
          <w:szCs w:val="24"/>
        </w:rPr>
        <w:t>Instalasi Laboratorium Patologi Klinik RSPTN Universitas Hasanuddin untuk pengukuran lingkar pinggang</w:t>
      </w:r>
      <w:r w:rsidR="00FF3458" w:rsidRPr="0035519F">
        <w:rPr>
          <w:rFonts w:ascii="Arial" w:hAnsi="Arial" w:cs="Arial"/>
          <w:bCs/>
          <w:sz w:val="24"/>
          <w:szCs w:val="24"/>
        </w:rPr>
        <w:t>, pengambilan sampel penelitian dan</w:t>
      </w:r>
      <w:r w:rsidRPr="0035519F">
        <w:rPr>
          <w:rFonts w:ascii="Arial" w:hAnsi="Arial" w:cs="Arial"/>
          <w:bCs/>
          <w:sz w:val="24"/>
          <w:szCs w:val="24"/>
        </w:rPr>
        <w:t xml:space="preserve"> pemeriksaan glukosa</w:t>
      </w:r>
      <w:r w:rsidR="00FF3458" w:rsidRPr="0035519F">
        <w:rPr>
          <w:rFonts w:ascii="Arial" w:hAnsi="Arial" w:cs="Arial"/>
          <w:bCs/>
          <w:sz w:val="24"/>
          <w:szCs w:val="24"/>
        </w:rPr>
        <w:t>.</w:t>
      </w:r>
    </w:p>
    <w:p w14:paraId="758C6AD4" w14:textId="174884FB" w:rsidR="00FF3458" w:rsidRPr="0035519F" w:rsidRDefault="00FF3458" w:rsidP="00FF3458">
      <w:pPr>
        <w:pStyle w:val="ListParagraph"/>
        <w:numPr>
          <w:ilvl w:val="0"/>
          <w:numId w:val="3"/>
        </w:numPr>
        <w:tabs>
          <w:tab w:val="left" w:pos="709"/>
        </w:tabs>
        <w:spacing w:after="0" w:line="480" w:lineRule="auto"/>
        <w:ind w:left="709" w:hanging="283"/>
        <w:jc w:val="both"/>
        <w:rPr>
          <w:rFonts w:ascii="Arial" w:hAnsi="Arial" w:cs="Arial"/>
          <w:sz w:val="24"/>
          <w:szCs w:val="24"/>
        </w:rPr>
      </w:pPr>
      <w:r w:rsidRPr="0035519F">
        <w:rPr>
          <w:rFonts w:ascii="Arial" w:hAnsi="Arial" w:cs="Arial"/>
          <w:bCs/>
          <w:sz w:val="24"/>
          <w:szCs w:val="24"/>
        </w:rPr>
        <w:t>Instalasi Laboratorium Patologi Klinik RSUD Labuang Baji, Prov. SULSEL untuk pemeriksaan insulin</w:t>
      </w:r>
    </w:p>
    <w:p w14:paraId="56AC8A9C" w14:textId="77777777" w:rsidR="007757AB" w:rsidRPr="0035519F" w:rsidRDefault="007757AB" w:rsidP="007757AB">
      <w:pPr>
        <w:pStyle w:val="ListParagraph"/>
        <w:numPr>
          <w:ilvl w:val="0"/>
          <w:numId w:val="3"/>
        </w:numPr>
        <w:spacing w:after="0" w:line="480" w:lineRule="auto"/>
        <w:ind w:left="709" w:hanging="283"/>
        <w:jc w:val="both"/>
        <w:rPr>
          <w:rFonts w:ascii="Arial" w:hAnsi="Arial" w:cs="Arial"/>
          <w:sz w:val="24"/>
          <w:szCs w:val="24"/>
        </w:rPr>
      </w:pPr>
      <w:r w:rsidRPr="0035519F">
        <w:rPr>
          <w:rFonts w:ascii="Arial" w:hAnsi="Arial" w:cs="Arial"/>
          <w:sz w:val="24"/>
          <w:szCs w:val="24"/>
        </w:rPr>
        <w:t>Laboratorium Unit Penelitian FK</w:t>
      </w:r>
      <w:r w:rsidRPr="0035519F">
        <w:rPr>
          <w:rFonts w:ascii="Arial" w:hAnsi="Arial" w:cs="Arial"/>
          <w:sz w:val="24"/>
          <w:szCs w:val="24"/>
          <w:lang w:val="id-ID"/>
        </w:rPr>
        <w:t>U</w:t>
      </w:r>
      <w:r w:rsidRPr="0035519F">
        <w:rPr>
          <w:rFonts w:ascii="Arial" w:hAnsi="Arial" w:cs="Arial"/>
          <w:sz w:val="24"/>
          <w:szCs w:val="24"/>
        </w:rPr>
        <w:t>H</w:t>
      </w:r>
      <w:r w:rsidRPr="0035519F">
        <w:rPr>
          <w:rFonts w:ascii="Arial" w:hAnsi="Arial" w:cs="Arial"/>
          <w:sz w:val="24"/>
          <w:szCs w:val="24"/>
          <w:lang w:val="id-ID"/>
        </w:rPr>
        <w:t>/RSPTN U</w:t>
      </w:r>
      <w:r w:rsidRPr="0035519F">
        <w:rPr>
          <w:rFonts w:ascii="Arial" w:hAnsi="Arial" w:cs="Arial"/>
          <w:sz w:val="24"/>
          <w:szCs w:val="24"/>
        </w:rPr>
        <w:t xml:space="preserve">niversitas </w:t>
      </w:r>
      <w:r w:rsidRPr="0035519F">
        <w:rPr>
          <w:rFonts w:ascii="Arial" w:hAnsi="Arial" w:cs="Arial"/>
          <w:sz w:val="24"/>
          <w:szCs w:val="24"/>
          <w:lang w:val="id-ID"/>
        </w:rPr>
        <w:t>H</w:t>
      </w:r>
      <w:r w:rsidRPr="0035519F">
        <w:rPr>
          <w:rFonts w:ascii="Arial" w:hAnsi="Arial" w:cs="Arial"/>
          <w:sz w:val="24"/>
          <w:szCs w:val="24"/>
        </w:rPr>
        <w:t>asanuddin</w:t>
      </w:r>
      <w:r w:rsidRPr="0035519F">
        <w:rPr>
          <w:rFonts w:ascii="Arial" w:hAnsi="Arial" w:cs="Arial"/>
          <w:sz w:val="24"/>
          <w:szCs w:val="24"/>
          <w:lang w:val="id-ID"/>
        </w:rPr>
        <w:t xml:space="preserve"> untuk pemeriksaan </w:t>
      </w:r>
      <w:r w:rsidR="00C53DE0" w:rsidRPr="0035519F">
        <w:rPr>
          <w:rFonts w:ascii="Arial" w:hAnsi="Arial" w:cs="Arial"/>
          <w:sz w:val="24"/>
          <w:szCs w:val="24"/>
        </w:rPr>
        <w:t>IGF-1</w:t>
      </w:r>
      <w:r w:rsidRPr="0035519F">
        <w:rPr>
          <w:rFonts w:ascii="Arial" w:hAnsi="Arial" w:cs="Arial"/>
          <w:sz w:val="24"/>
          <w:szCs w:val="24"/>
        </w:rPr>
        <w:t>.</w:t>
      </w:r>
    </w:p>
    <w:p w14:paraId="344E7829" w14:textId="77777777" w:rsidR="007757AB" w:rsidRPr="0035519F" w:rsidRDefault="007757AB" w:rsidP="007757AB">
      <w:pPr>
        <w:pStyle w:val="ListParagraph"/>
        <w:numPr>
          <w:ilvl w:val="0"/>
          <w:numId w:val="2"/>
        </w:numPr>
        <w:spacing w:after="0" w:line="480" w:lineRule="auto"/>
        <w:ind w:left="426" w:hanging="426"/>
        <w:jc w:val="both"/>
        <w:rPr>
          <w:rFonts w:ascii="Arial" w:hAnsi="Arial" w:cs="Arial"/>
          <w:b/>
          <w:sz w:val="24"/>
          <w:szCs w:val="24"/>
        </w:rPr>
      </w:pPr>
      <w:r w:rsidRPr="0035519F">
        <w:rPr>
          <w:rFonts w:ascii="Arial" w:hAnsi="Arial" w:cs="Arial"/>
          <w:b/>
          <w:sz w:val="24"/>
          <w:szCs w:val="24"/>
        </w:rPr>
        <w:t>Waktu Penelitian</w:t>
      </w:r>
    </w:p>
    <w:p w14:paraId="41648F8A" w14:textId="0E888501" w:rsidR="007757AB" w:rsidRPr="0035519F" w:rsidRDefault="007757AB" w:rsidP="007757AB">
      <w:pPr>
        <w:spacing w:after="0" w:line="480" w:lineRule="auto"/>
        <w:ind w:left="425" w:firstLine="294"/>
        <w:jc w:val="both"/>
        <w:rPr>
          <w:rFonts w:ascii="Arial" w:hAnsi="Arial" w:cs="Arial"/>
          <w:sz w:val="24"/>
          <w:szCs w:val="24"/>
        </w:rPr>
      </w:pPr>
      <w:r w:rsidRPr="0035519F">
        <w:rPr>
          <w:rFonts w:ascii="Arial" w:hAnsi="Arial" w:cs="Arial"/>
          <w:sz w:val="24"/>
          <w:szCs w:val="24"/>
        </w:rPr>
        <w:t>Penelitian dilakukan mulai bulan</w:t>
      </w:r>
      <w:r w:rsidRPr="0035519F">
        <w:rPr>
          <w:rFonts w:ascii="Arial" w:hAnsi="Arial" w:cs="Arial"/>
          <w:sz w:val="24"/>
          <w:szCs w:val="24"/>
          <w:lang w:val="id-ID"/>
        </w:rPr>
        <w:t xml:space="preserve"> </w:t>
      </w:r>
      <w:r w:rsidR="00FF3458" w:rsidRPr="0035519F">
        <w:rPr>
          <w:rFonts w:ascii="Arial" w:hAnsi="Arial" w:cs="Arial"/>
          <w:sz w:val="24"/>
          <w:szCs w:val="24"/>
        </w:rPr>
        <w:t xml:space="preserve">Juni </w:t>
      </w:r>
      <w:r w:rsidR="000060EA" w:rsidRPr="0035519F">
        <w:rPr>
          <w:rFonts w:ascii="Arial" w:hAnsi="Arial" w:cs="Arial"/>
          <w:sz w:val="24"/>
          <w:szCs w:val="24"/>
        </w:rPr>
        <w:t>sampai</w:t>
      </w:r>
      <w:r w:rsidR="00FF3458" w:rsidRPr="0035519F">
        <w:rPr>
          <w:rFonts w:ascii="Arial" w:hAnsi="Arial" w:cs="Arial"/>
          <w:sz w:val="24"/>
          <w:szCs w:val="24"/>
        </w:rPr>
        <w:t xml:space="preserve"> Agustus 2022</w:t>
      </w:r>
      <w:r w:rsidRPr="0035519F">
        <w:rPr>
          <w:rFonts w:ascii="Arial" w:hAnsi="Arial" w:cs="Arial"/>
          <w:sz w:val="24"/>
          <w:szCs w:val="24"/>
        </w:rPr>
        <w:t>.</w:t>
      </w:r>
    </w:p>
    <w:p w14:paraId="49E38862" w14:textId="77777777" w:rsidR="007757AB" w:rsidRPr="0035519F" w:rsidRDefault="007757AB" w:rsidP="007757AB">
      <w:pPr>
        <w:pStyle w:val="ListParagraph"/>
        <w:numPr>
          <w:ilvl w:val="2"/>
          <w:numId w:val="1"/>
        </w:numPr>
        <w:spacing w:after="0" w:line="480" w:lineRule="auto"/>
        <w:ind w:left="425" w:hanging="426"/>
        <w:jc w:val="center"/>
        <w:outlineLvl w:val="1"/>
        <w:rPr>
          <w:rFonts w:ascii="Arial" w:hAnsi="Arial" w:cs="Arial"/>
          <w:b/>
          <w:sz w:val="24"/>
          <w:szCs w:val="24"/>
        </w:rPr>
      </w:pPr>
      <w:bookmarkStart w:id="60" w:name="_Toc111022777"/>
      <w:r w:rsidRPr="0035519F">
        <w:rPr>
          <w:rFonts w:ascii="Arial" w:hAnsi="Arial" w:cs="Arial"/>
          <w:b/>
          <w:sz w:val="24"/>
          <w:szCs w:val="24"/>
        </w:rPr>
        <w:t>Populasi Penelitian</w:t>
      </w:r>
      <w:bookmarkEnd w:id="60"/>
    </w:p>
    <w:p w14:paraId="38F3FCFB" w14:textId="13B6F274" w:rsidR="007757AB" w:rsidRPr="0035519F" w:rsidRDefault="007757AB" w:rsidP="007757AB">
      <w:pPr>
        <w:tabs>
          <w:tab w:val="left" w:pos="720"/>
        </w:tabs>
        <w:spacing w:after="0" w:line="480" w:lineRule="auto"/>
        <w:ind w:right="49" w:firstLine="709"/>
        <w:jc w:val="both"/>
        <w:rPr>
          <w:rFonts w:ascii="Arial" w:hAnsi="Arial" w:cs="Arial"/>
          <w:bCs/>
          <w:sz w:val="24"/>
          <w:szCs w:val="24"/>
        </w:rPr>
      </w:pPr>
      <w:r w:rsidRPr="0035519F">
        <w:rPr>
          <w:rFonts w:ascii="Arial" w:hAnsi="Arial" w:cs="Arial"/>
          <w:sz w:val="24"/>
          <w:szCs w:val="24"/>
          <w:lang w:val="id-ID"/>
        </w:rPr>
        <w:tab/>
        <w:t xml:space="preserve">Populasi </w:t>
      </w:r>
      <w:r w:rsidRPr="0035519F">
        <w:rPr>
          <w:rFonts w:ascii="Arial" w:hAnsi="Arial" w:cs="Arial"/>
          <w:sz w:val="24"/>
          <w:szCs w:val="24"/>
        </w:rPr>
        <w:t>penelitian</w:t>
      </w:r>
      <w:r w:rsidRPr="0035519F">
        <w:rPr>
          <w:rFonts w:ascii="Arial" w:hAnsi="Arial" w:cs="Arial"/>
          <w:sz w:val="24"/>
          <w:szCs w:val="24"/>
          <w:lang w:val="id-ID"/>
        </w:rPr>
        <w:t xml:space="preserve"> adalah </w:t>
      </w:r>
      <w:r w:rsidR="000060EA" w:rsidRPr="0035519F">
        <w:rPr>
          <w:rFonts w:ascii="Arial" w:hAnsi="Arial" w:cs="Arial"/>
          <w:sz w:val="24"/>
          <w:szCs w:val="24"/>
        </w:rPr>
        <w:t>sukarelawan dewasa Non</w:t>
      </w:r>
      <w:r w:rsidR="000060EA" w:rsidRPr="0035519F">
        <w:rPr>
          <w:rFonts w:ascii="Arial" w:hAnsi="Arial" w:cs="Arial"/>
          <w:i/>
          <w:sz w:val="24"/>
          <w:szCs w:val="24"/>
        </w:rPr>
        <w:t xml:space="preserve"> </w:t>
      </w:r>
      <w:r w:rsidR="000060EA" w:rsidRPr="0035519F">
        <w:rPr>
          <w:rFonts w:ascii="Arial" w:hAnsi="Arial" w:cs="Arial"/>
          <w:sz w:val="24"/>
          <w:szCs w:val="24"/>
        </w:rPr>
        <w:t>DM</w:t>
      </w:r>
    </w:p>
    <w:p w14:paraId="033CF9CF" w14:textId="77777777" w:rsidR="007757AB" w:rsidRPr="0035519F" w:rsidRDefault="007757AB" w:rsidP="00891FA6">
      <w:pPr>
        <w:pStyle w:val="ListParagraph"/>
        <w:numPr>
          <w:ilvl w:val="2"/>
          <w:numId w:val="1"/>
        </w:numPr>
        <w:spacing w:after="0" w:line="480" w:lineRule="auto"/>
        <w:ind w:left="426" w:hanging="426"/>
        <w:jc w:val="center"/>
        <w:outlineLvl w:val="1"/>
        <w:rPr>
          <w:rFonts w:ascii="Arial" w:hAnsi="Arial" w:cs="Arial"/>
          <w:b/>
          <w:sz w:val="24"/>
          <w:szCs w:val="24"/>
        </w:rPr>
      </w:pPr>
      <w:bookmarkStart w:id="61" w:name="_Toc111022778"/>
      <w:r w:rsidRPr="0035519F">
        <w:rPr>
          <w:rFonts w:ascii="Arial" w:hAnsi="Arial" w:cs="Arial"/>
          <w:b/>
          <w:sz w:val="24"/>
          <w:szCs w:val="24"/>
        </w:rPr>
        <w:t>Sampel Penelitian</w:t>
      </w:r>
      <w:bookmarkEnd w:id="61"/>
    </w:p>
    <w:p w14:paraId="55483EC2" w14:textId="7F8BD786" w:rsidR="007757AB" w:rsidRPr="0035519F" w:rsidRDefault="007757AB" w:rsidP="007757AB">
      <w:pPr>
        <w:tabs>
          <w:tab w:val="left" w:pos="720"/>
        </w:tabs>
        <w:spacing w:after="0" w:line="480" w:lineRule="auto"/>
        <w:ind w:right="49" w:firstLine="709"/>
        <w:jc w:val="both"/>
        <w:rPr>
          <w:rFonts w:ascii="Arial" w:hAnsi="Arial" w:cs="Arial"/>
          <w:sz w:val="24"/>
          <w:szCs w:val="24"/>
          <w:lang w:val="id-ID"/>
        </w:rPr>
      </w:pPr>
      <w:r w:rsidRPr="0035519F">
        <w:rPr>
          <w:rFonts w:ascii="Arial" w:hAnsi="Arial" w:cs="Arial"/>
          <w:sz w:val="24"/>
          <w:szCs w:val="24"/>
          <w:lang w:val="id-ID"/>
        </w:rPr>
        <w:tab/>
        <w:t xml:space="preserve">Sampel </w:t>
      </w:r>
      <w:r w:rsidRPr="0035519F">
        <w:rPr>
          <w:rFonts w:ascii="Arial" w:hAnsi="Arial" w:cs="Arial"/>
          <w:sz w:val="24"/>
          <w:szCs w:val="24"/>
        </w:rPr>
        <w:t>penelitian</w:t>
      </w:r>
      <w:r w:rsidRPr="0035519F">
        <w:rPr>
          <w:rFonts w:ascii="Arial" w:hAnsi="Arial" w:cs="Arial"/>
          <w:sz w:val="24"/>
          <w:szCs w:val="24"/>
          <w:lang w:val="id-ID"/>
        </w:rPr>
        <w:t xml:space="preserve"> </w:t>
      </w:r>
      <w:r w:rsidRPr="0035519F">
        <w:rPr>
          <w:rFonts w:ascii="Arial" w:hAnsi="Arial" w:cs="Arial"/>
          <w:sz w:val="24"/>
          <w:szCs w:val="24"/>
          <w:lang w:val="es-ES"/>
        </w:rPr>
        <w:t>adalah</w:t>
      </w:r>
      <w:r w:rsidRPr="0035519F">
        <w:rPr>
          <w:rFonts w:ascii="Arial" w:hAnsi="Arial" w:cs="Arial"/>
          <w:sz w:val="24"/>
          <w:szCs w:val="24"/>
          <w:lang w:val="id-ID"/>
        </w:rPr>
        <w:t xml:space="preserve"> populasi terjangkau</w:t>
      </w:r>
      <w:r w:rsidRPr="0035519F">
        <w:rPr>
          <w:rFonts w:ascii="Arial" w:hAnsi="Arial" w:cs="Arial"/>
          <w:sz w:val="24"/>
          <w:szCs w:val="24"/>
        </w:rPr>
        <w:t xml:space="preserve"> yang memenuhi kriteria penelitian</w:t>
      </w:r>
      <w:r w:rsidR="000060EA" w:rsidRPr="0035519F">
        <w:rPr>
          <w:rFonts w:ascii="Arial" w:hAnsi="Arial" w:cs="Arial"/>
          <w:sz w:val="24"/>
          <w:szCs w:val="24"/>
        </w:rPr>
        <w:t xml:space="preserve"> (kriteria inklusi)</w:t>
      </w:r>
      <w:r w:rsidRPr="0035519F">
        <w:rPr>
          <w:rFonts w:ascii="Arial" w:hAnsi="Arial" w:cs="Arial"/>
          <w:sz w:val="24"/>
          <w:szCs w:val="24"/>
          <w:lang w:val="id-ID"/>
        </w:rPr>
        <w:t xml:space="preserve">. </w:t>
      </w:r>
    </w:p>
    <w:p w14:paraId="4F9C7A09" w14:textId="77777777" w:rsidR="004729DF" w:rsidRPr="0035519F" w:rsidRDefault="004729DF" w:rsidP="007757AB">
      <w:pPr>
        <w:tabs>
          <w:tab w:val="left" w:pos="720"/>
        </w:tabs>
        <w:spacing w:after="0" w:line="480" w:lineRule="auto"/>
        <w:ind w:right="49" w:firstLine="709"/>
        <w:jc w:val="both"/>
        <w:rPr>
          <w:rFonts w:ascii="Arial" w:hAnsi="Arial" w:cs="Arial"/>
          <w:sz w:val="24"/>
          <w:szCs w:val="24"/>
        </w:rPr>
      </w:pPr>
    </w:p>
    <w:p w14:paraId="410288C8" w14:textId="77777777" w:rsidR="007757AB" w:rsidRPr="0035519F" w:rsidRDefault="007757AB" w:rsidP="00891FA6">
      <w:pPr>
        <w:pStyle w:val="ListParagraph"/>
        <w:numPr>
          <w:ilvl w:val="2"/>
          <w:numId w:val="1"/>
        </w:numPr>
        <w:spacing w:after="0" w:line="480" w:lineRule="auto"/>
        <w:ind w:left="426" w:hanging="426"/>
        <w:jc w:val="center"/>
        <w:outlineLvl w:val="1"/>
        <w:rPr>
          <w:rFonts w:ascii="Arial" w:hAnsi="Arial" w:cs="Arial"/>
          <w:b/>
          <w:bCs/>
          <w:sz w:val="24"/>
          <w:szCs w:val="24"/>
        </w:rPr>
      </w:pPr>
      <w:bookmarkStart w:id="62" w:name="_Toc111022779"/>
      <w:r w:rsidRPr="0035519F">
        <w:rPr>
          <w:rFonts w:ascii="Arial" w:hAnsi="Arial" w:cs="Arial"/>
          <w:b/>
          <w:bCs/>
          <w:sz w:val="24"/>
          <w:szCs w:val="24"/>
        </w:rPr>
        <w:lastRenderedPageBreak/>
        <w:t>Perkiraan Besaran Sampel</w:t>
      </w:r>
      <w:bookmarkEnd w:id="62"/>
    </w:p>
    <w:p w14:paraId="19462E82" w14:textId="3F96E478" w:rsidR="00EE751F" w:rsidRPr="0035519F" w:rsidRDefault="00EE751F" w:rsidP="00EE751F">
      <w:pPr>
        <w:spacing w:after="0" w:line="480" w:lineRule="auto"/>
        <w:ind w:right="49"/>
        <w:jc w:val="both"/>
        <w:rPr>
          <w:rFonts w:ascii="Arial" w:hAnsi="Arial" w:cs="Arial"/>
          <w:sz w:val="24"/>
          <w:szCs w:val="24"/>
        </w:rPr>
      </w:pPr>
      <w:r w:rsidRPr="0035519F">
        <w:rPr>
          <w:rFonts w:ascii="Arial" w:hAnsi="Arial" w:cs="Arial"/>
          <w:sz w:val="24"/>
          <w:szCs w:val="24"/>
        </w:rPr>
        <w:t xml:space="preserve">Perkiraan </w:t>
      </w:r>
      <w:r w:rsidRPr="0035519F">
        <w:rPr>
          <w:rFonts w:ascii="Arial" w:hAnsi="Arial" w:cs="Arial"/>
          <w:bCs/>
          <w:sz w:val="24"/>
          <w:szCs w:val="24"/>
        </w:rPr>
        <w:t>besar</w:t>
      </w:r>
      <w:r w:rsidRPr="0035519F">
        <w:rPr>
          <w:rFonts w:ascii="Arial" w:hAnsi="Arial" w:cs="Arial"/>
          <w:sz w:val="24"/>
          <w:szCs w:val="24"/>
        </w:rPr>
        <w:t xml:space="preserve"> sampel dihitung berdasarkan rumus </w:t>
      </w:r>
      <w:r w:rsidR="00A566ED" w:rsidRPr="0035519F">
        <w:rPr>
          <w:rFonts w:ascii="Arial" w:hAnsi="Arial" w:cs="Arial"/>
          <w:i/>
          <w:sz w:val="24"/>
          <w:szCs w:val="24"/>
        </w:rPr>
        <w:t>Lemeshow</w:t>
      </w:r>
      <w:r w:rsidR="00A566ED" w:rsidRPr="0035519F">
        <w:rPr>
          <w:rFonts w:ascii="Arial" w:hAnsi="Arial" w:cs="Arial"/>
          <w:sz w:val="24"/>
          <w:szCs w:val="24"/>
        </w:rPr>
        <w:t xml:space="preserve"> </w:t>
      </w:r>
      <w:r w:rsidRPr="0035519F">
        <w:rPr>
          <w:rFonts w:ascii="Arial" w:hAnsi="Arial" w:cs="Arial"/>
          <w:sz w:val="24"/>
          <w:szCs w:val="24"/>
        </w:rPr>
        <w:t xml:space="preserve">untuk </w:t>
      </w:r>
      <w:r w:rsidR="00A566ED" w:rsidRPr="0035519F">
        <w:rPr>
          <w:rFonts w:ascii="Arial" w:hAnsi="Arial" w:cs="Arial"/>
          <w:sz w:val="24"/>
          <w:szCs w:val="24"/>
        </w:rPr>
        <w:t xml:space="preserve">kelompok yang </w:t>
      </w:r>
      <w:r w:rsidRPr="0035519F">
        <w:rPr>
          <w:rFonts w:ascii="Arial" w:hAnsi="Arial" w:cs="Arial"/>
          <w:sz w:val="24"/>
          <w:szCs w:val="24"/>
        </w:rPr>
        <w:t>tidak berpasangan adalah:</w:t>
      </w:r>
    </w:p>
    <w:tbl>
      <w:tblPr>
        <w:tblStyle w:val="TableGrid"/>
        <w:tblW w:w="0" w:type="auto"/>
        <w:tblInd w:w="2376" w:type="dxa"/>
        <w:tblLook w:val="04A0" w:firstRow="1" w:lastRow="0" w:firstColumn="1" w:lastColumn="0" w:noHBand="0" w:noVBand="1"/>
      </w:tblPr>
      <w:tblGrid>
        <w:gridCol w:w="3969"/>
      </w:tblGrid>
      <w:tr w:rsidR="00EE751F" w:rsidRPr="0035519F" w14:paraId="570C8E57" w14:textId="77777777" w:rsidTr="00FD1C9C">
        <w:tc>
          <w:tcPr>
            <w:tcW w:w="3969" w:type="dxa"/>
            <w:tcBorders>
              <w:top w:val="single" w:sz="4" w:space="0" w:color="000000"/>
              <w:left w:val="single" w:sz="4" w:space="0" w:color="000000"/>
              <w:bottom w:val="single" w:sz="4" w:space="0" w:color="000000"/>
              <w:right w:val="single" w:sz="4" w:space="0" w:color="000000"/>
            </w:tcBorders>
          </w:tcPr>
          <w:p w14:paraId="34730080" w14:textId="77777777" w:rsidR="00EE751F" w:rsidRPr="0035519F" w:rsidRDefault="00EE751F" w:rsidP="00EE751F">
            <w:pPr>
              <w:pStyle w:val="ListParagraph"/>
              <w:spacing w:line="480" w:lineRule="auto"/>
              <w:ind w:left="0"/>
              <w:jc w:val="both"/>
              <w:rPr>
                <w:rFonts w:ascii="Arial" w:hAnsi="Arial" w:cs="Arial"/>
                <w:b/>
                <w:sz w:val="24"/>
                <w:szCs w:val="24"/>
              </w:rPr>
            </w:pPr>
            <w:r w:rsidRPr="0035519F">
              <w:rPr>
                <w:rFonts w:ascii="Arial" w:hAnsi="Arial" w:cs="Arial"/>
                <w:noProof/>
                <w:sz w:val="24"/>
                <w:szCs w:val="24"/>
              </w:rPr>
              <mc:AlternateContent>
                <mc:Choice Requires="wps">
                  <w:drawing>
                    <wp:anchor distT="0" distB="0" distL="114300" distR="114300" simplePos="0" relativeHeight="251940864" behindDoc="0" locked="0" layoutInCell="1" allowOverlap="1" wp14:anchorId="14B9624D" wp14:editId="16F26C6F">
                      <wp:simplePos x="0" y="0"/>
                      <wp:positionH relativeFrom="column">
                        <wp:posOffset>1142838</wp:posOffset>
                      </wp:positionH>
                      <wp:positionV relativeFrom="paragraph">
                        <wp:posOffset>334645</wp:posOffset>
                      </wp:positionV>
                      <wp:extent cx="90805" cy="438150"/>
                      <wp:effectExtent l="0" t="0" r="23495" b="19050"/>
                      <wp:wrapNone/>
                      <wp:docPr id="51" name="Left Bracket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38150"/>
                              </a:xfrm>
                              <a:prstGeom prst="leftBracket">
                                <a:avLst>
                                  <a:gd name="adj" fmla="val 4021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DB1180"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51" o:spid="_x0000_s1026" type="#_x0000_t85" style="position:absolute;margin-left:90pt;margin-top:26.35pt;width:7.15pt;height:34.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"/>
                  </w:pict>
                </mc:Fallback>
              </mc:AlternateContent>
            </w:r>
            <w:r w:rsidRPr="0035519F">
              <w:rPr>
                <w:rFonts w:ascii="Arial" w:hAnsi="Arial" w:cs="Arial"/>
                <w:noProof/>
                <w:sz w:val="24"/>
                <w:szCs w:val="24"/>
              </w:rPr>
              <mc:AlternateContent>
                <mc:Choice Requires="wps">
                  <w:drawing>
                    <wp:anchor distT="0" distB="0" distL="114300" distR="114300" simplePos="0" relativeHeight="251941888" behindDoc="0" locked="0" layoutInCell="1" allowOverlap="1" wp14:anchorId="4CD3C918" wp14:editId="73D68BB6">
                      <wp:simplePos x="0" y="0"/>
                      <wp:positionH relativeFrom="column">
                        <wp:posOffset>2000250</wp:posOffset>
                      </wp:positionH>
                      <wp:positionV relativeFrom="paragraph">
                        <wp:posOffset>334645</wp:posOffset>
                      </wp:positionV>
                      <wp:extent cx="90805" cy="438150"/>
                      <wp:effectExtent l="0" t="0" r="23495" b="19050"/>
                      <wp:wrapNone/>
                      <wp:docPr id="39" name="Right Bracket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38150"/>
                              </a:xfrm>
                              <a:prstGeom prst="rightBracket">
                                <a:avLst>
                                  <a:gd name="adj" fmla="val 4021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191E1"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39" o:spid="_x0000_s1026" type="#_x0000_t86" style="position:absolute;margin-left:157.5pt;margin-top:26.35pt;width:7.15pt;height:34.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"/>
                  </w:pict>
                </mc:Fallback>
              </mc:AlternateContent>
            </w:r>
            <w:r w:rsidRPr="0035519F">
              <w:rPr>
                <w:rFonts w:ascii="Arial" w:hAnsi="Arial" w:cs="Arial"/>
                <w:noProof/>
                <w:sz w:val="24"/>
                <w:szCs w:val="24"/>
              </w:rPr>
              <mc:AlternateContent>
                <mc:Choice Requires="wps">
                  <w:drawing>
                    <wp:anchor distT="0" distB="0" distL="114300" distR="114300" simplePos="0" relativeHeight="251944960" behindDoc="0" locked="0" layoutInCell="1" allowOverlap="1" wp14:anchorId="08BAB7D6" wp14:editId="7E2B43D0">
                      <wp:simplePos x="0" y="0"/>
                      <wp:positionH relativeFrom="column">
                        <wp:posOffset>2018030</wp:posOffset>
                      </wp:positionH>
                      <wp:positionV relativeFrom="paragraph">
                        <wp:posOffset>208915</wp:posOffset>
                      </wp:positionV>
                      <wp:extent cx="180975" cy="257175"/>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257175"/>
                              </a:xfrm>
                              <a:prstGeom prst="rect">
                                <a:avLst/>
                              </a:prstGeom>
                              <a:noFill/>
                              <a:ln w="12700" cap="flat" cmpd="sng" algn="ctr">
                                <a:noFill/>
                                <a:prstDash val="solid"/>
                                <a:miter lim="800000"/>
                              </a:ln>
                              <a:effectLst/>
                            </wps:spPr>
                            <wps:txbx>
                              <w:txbxContent>
                                <w:p w14:paraId="0E0BFAF9" w14:textId="77777777" w:rsidR="00CE38BD" w:rsidRDefault="00CE38BD" w:rsidP="00EE751F">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AB7D6" id="Rectangle 21" o:spid="_x0000_s1057" style="position:absolute;left:0;text-align:left;margin-left:158.9pt;margin-top:16.45pt;width:14.25pt;height:20.2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" filled="f" stroked="f" strokeweight="1pt">
                      <v:path arrowok="t"/>
                      <v:textbox>
                        <w:txbxContent>
                          <w:p w14:paraId="0E0BFAF9" w14:textId="77777777" w:rsidR="00CE38BD" w:rsidRDefault="00CE38BD" w:rsidP="00EE751F">
                            <w:pPr>
                              <w:jc w:val="center"/>
                            </w:pPr>
                            <w:r>
                              <w:t>2</w:t>
                            </w:r>
                          </w:p>
                        </w:txbxContent>
                      </v:textbox>
                    </v:rect>
                  </w:pict>
                </mc:Fallback>
              </mc:AlternateContent>
            </w:r>
          </w:p>
          <w:p w14:paraId="3AE70F15" w14:textId="14BF8132" w:rsidR="00EE751F" w:rsidRPr="0035519F" w:rsidRDefault="00EE751F" w:rsidP="00EE751F">
            <w:pPr>
              <w:pStyle w:val="NormalWeb"/>
              <w:tabs>
                <w:tab w:val="left" w:pos="990"/>
              </w:tabs>
              <w:spacing w:before="0" w:beforeAutospacing="0" w:after="0" w:afterAutospacing="0" w:line="360" w:lineRule="auto"/>
              <w:jc w:val="center"/>
              <w:rPr>
                <w:rFonts w:ascii="Arial" w:hAnsi="Arial" w:cs="Arial"/>
                <w:b/>
                <w:vertAlign w:val="superscript"/>
              </w:rPr>
            </w:pPr>
            <w:r w:rsidRPr="0035519F">
              <w:rPr>
                <w:rFonts w:ascii="Arial" w:hAnsi="Arial" w:cs="Arial"/>
                <w:b/>
              </w:rPr>
              <w:t xml:space="preserve">n1= n2 </w:t>
            </w:r>
            <w:r w:rsidRPr="0035519F">
              <w:rPr>
                <w:rFonts w:ascii="Arial" w:hAnsi="Arial" w:cs="Arial"/>
                <w:b/>
                <w:lang w:val="id-ID"/>
              </w:rPr>
              <w:t>=</w:t>
            </w:r>
            <w:r w:rsidRPr="0035519F">
              <w:rPr>
                <w:rFonts w:ascii="Arial" w:hAnsi="Arial" w:cs="Arial"/>
                <w:b/>
              </w:rPr>
              <w:t xml:space="preserve">2   </w:t>
            </w:r>
            <w:r w:rsidRPr="0035519F">
              <w:rPr>
                <w:rFonts w:ascii="Arial" w:hAnsi="Arial" w:cs="Arial"/>
                <w:b/>
                <w:u w:val="single"/>
              </w:rPr>
              <w:t>Z</w:t>
            </w:r>
            <w:r w:rsidRPr="0035519F">
              <w:rPr>
                <w:rFonts w:ascii="Arial" w:hAnsi="Arial" w:cs="Arial"/>
                <w:b/>
                <w:u w:val="single"/>
                <w:lang w:val="id-ID"/>
              </w:rPr>
              <w:t>α</w:t>
            </w:r>
            <w:r w:rsidRPr="0035519F">
              <w:rPr>
                <w:rFonts w:ascii="Arial" w:hAnsi="Arial" w:cs="Arial"/>
                <w:b/>
                <w:u w:val="single"/>
              </w:rPr>
              <w:t xml:space="preserve"> + Zβ)S</w:t>
            </w:r>
          </w:p>
          <w:p w14:paraId="4D3A77A3" w14:textId="77777777" w:rsidR="00EE751F" w:rsidRPr="0035519F" w:rsidRDefault="00EE751F" w:rsidP="00EE751F">
            <w:pPr>
              <w:pStyle w:val="NormalWeb"/>
              <w:tabs>
                <w:tab w:val="left" w:pos="990"/>
              </w:tabs>
              <w:spacing w:before="0" w:beforeAutospacing="0" w:after="0" w:afterAutospacing="0" w:line="480" w:lineRule="auto"/>
              <w:jc w:val="center"/>
              <w:rPr>
                <w:rFonts w:ascii="Arial" w:hAnsi="Arial" w:cs="Arial"/>
                <w:b/>
                <w:vertAlign w:val="superscript"/>
              </w:rPr>
            </w:pPr>
            <w:r w:rsidRPr="0035519F">
              <w:rPr>
                <w:rFonts w:ascii="Arial" w:hAnsi="Arial" w:cs="Arial"/>
                <w:b/>
              </w:rPr>
              <w:t xml:space="preserve">                     X</w:t>
            </w:r>
            <w:r w:rsidRPr="0035519F">
              <w:rPr>
                <w:rFonts w:ascii="Arial" w:hAnsi="Arial" w:cs="Arial"/>
                <w:b/>
                <w:vertAlign w:val="subscript"/>
              </w:rPr>
              <w:t>1</w:t>
            </w:r>
            <w:r w:rsidRPr="0035519F">
              <w:rPr>
                <w:rFonts w:ascii="Arial" w:hAnsi="Arial" w:cs="Arial"/>
                <w:b/>
              </w:rPr>
              <w:t>-X</w:t>
            </w:r>
            <w:r w:rsidRPr="0035519F">
              <w:rPr>
                <w:rFonts w:ascii="Arial" w:hAnsi="Arial" w:cs="Arial"/>
                <w:b/>
                <w:vertAlign w:val="subscript"/>
              </w:rPr>
              <w:t>2</w:t>
            </w:r>
          </w:p>
        </w:tc>
      </w:tr>
    </w:tbl>
    <w:p w14:paraId="17BD8F8D" w14:textId="77777777" w:rsidR="00EE751F" w:rsidRPr="0035519F" w:rsidRDefault="00EE751F" w:rsidP="00EE751F">
      <w:pPr>
        <w:spacing w:after="0" w:line="480" w:lineRule="auto"/>
        <w:jc w:val="both"/>
        <w:rPr>
          <w:rFonts w:ascii="Arial" w:hAnsi="Arial" w:cs="Arial"/>
          <w:b/>
          <w:sz w:val="24"/>
          <w:szCs w:val="24"/>
        </w:rPr>
      </w:pPr>
    </w:p>
    <w:p w14:paraId="5E38D5EF" w14:textId="77777777" w:rsidR="00EE751F" w:rsidRPr="0035519F" w:rsidRDefault="00EE751F" w:rsidP="00EE751F">
      <w:pPr>
        <w:tabs>
          <w:tab w:val="left" w:pos="990"/>
        </w:tabs>
        <w:spacing w:after="0" w:line="480" w:lineRule="auto"/>
        <w:jc w:val="both"/>
        <w:rPr>
          <w:rFonts w:ascii="Arial" w:hAnsi="Arial" w:cs="Arial"/>
          <w:sz w:val="24"/>
          <w:szCs w:val="24"/>
        </w:rPr>
      </w:pPr>
      <w:r w:rsidRPr="0035519F">
        <w:rPr>
          <w:rFonts w:ascii="Arial" w:hAnsi="Arial" w:cs="Arial"/>
          <w:sz w:val="24"/>
          <w:szCs w:val="24"/>
        </w:rPr>
        <w:t>Keterangan:</w:t>
      </w:r>
    </w:p>
    <w:p w14:paraId="45741721" w14:textId="77777777" w:rsidR="00EE751F" w:rsidRPr="0035519F" w:rsidRDefault="00EE751F" w:rsidP="00EE751F">
      <w:pPr>
        <w:tabs>
          <w:tab w:val="left" w:pos="630"/>
          <w:tab w:val="left" w:pos="990"/>
        </w:tabs>
        <w:spacing w:after="0" w:line="480" w:lineRule="auto"/>
        <w:jc w:val="both"/>
        <w:rPr>
          <w:rFonts w:ascii="Arial" w:hAnsi="Arial" w:cs="Arial"/>
          <w:sz w:val="24"/>
          <w:szCs w:val="24"/>
        </w:rPr>
      </w:pPr>
      <w:r w:rsidRPr="0035519F">
        <w:rPr>
          <w:rFonts w:ascii="Arial" w:hAnsi="Arial" w:cs="Arial"/>
          <w:sz w:val="24"/>
          <w:szCs w:val="24"/>
          <w:lang w:val="id-ID"/>
        </w:rPr>
        <w:tab/>
      </w:r>
      <w:r w:rsidRPr="0035519F">
        <w:rPr>
          <w:rFonts w:ascii="Arial" w:hAnsi="Arial" w:cs="Arial"/>
          <w:sz w:val="24"/>
          <w:szCs w:val="24"/>
        </w:rPr>
        <w:t>Z</w:t>
      </w:r>
      <w:r w:rsidRPr="0035519F">
        <w:rPr>
          <w:rFonts w:ascii="Arial" w:hAnsi="Arial" w:cs="Arial"/>
          <w:sz w:val="24"/>
          <w:szCs w:val="24"/>
          <w:lang w:val="id-ID"/>
        </w:rPr>
        <w:t>α</w:t>
      </w:r>
      <w:r w:rsidRPr="0035519F">
        <w:rPr>
          <w:rFonts w:ascii="Arial" w:hAnsi="Arial" w:cs="Arial"/>
          <w:sz w:val="24"/>
          <w:szCs w:val="24"/>
        </w:rPr>
        <w:tab/>
      </w:r>
      <w:r w:rsidRPr="0035519F">
        <w:rPr>
          <w:rFonts w:ascii="Arial" w:hAnsi="Arial" w:cs="Arial"/>
          <w:sz w:val="24"/>
          <w:szCs w:val="24"/>
        </w:rPr>
        <w:tab/>
        <w:t>= Nilai standar untuk 0,05 = 1,645</w:t>
      </w:r>
    </w:p>
    <w:p w14:paraId="11A816A5" w14:textId="77777777" w:rsidR="00EE751F" w:rsidRPr="0035519F" w:rsidRDefault="00EE751F" w:rsidP="00EE751F">
      <w:pPr>
        <w:tabs>
          <w:tab w:val="left" w:pos="630"/>
          <w:tab w:val="left" w:pos="990"/>
        </w:tabs>
        <w:spacing w:after="0" w:line="480" w:lineRule="auto"/>
        <w:jc w:val="both"/>
        <w:rPr>
          <w:rFonts w:ascii="Arial" w:hAnsi="Arial" w:cs="Arial"/>
          <w:sz w:val="24"/>
          <w:szCs w:val="24"/>
        </w:rPr>
      </w:pPr>
      <w:r w:rsidRPr="0035519F">
        <w:rPr>
          <w:rFonts w:ascii="Arial" w:hAnsi="Arial" w:cs="Arial"/>
          <w:sz w:val="24"/>
          <w:szCs w:val="24"/>
          <w:lang w:val="id-ID"/>
        </w:rPr>
        <w:tab/>
      </w:r>
      <w:r w:rsidRPr="0035519F">
        <w:rPr>
          <w:rFonts w:ascii="Arial" w:hAnsi="Arial" w:cs="Arial"/>
          <w:sz w:val="24"/>
          <w:szCs w:val="24"/>
        </w:rPr>
        <w:t>Zβ</w:t>
      </w:r>
      <w:r w:rsidRPr="0035519F">
        <w:rPr>
          <w:rFonts w:ascii="Arial" w:hAnsi="Arial" w:cs="Arial"/>
          <w:sz w:val="24"/>
          <w:szCs w:val="24"/>
        </w:rPr>
        <w:tab/>
      </w:r>
      <w:r w:rsidRPr="0035519F">
        <w:rPr>
          <w:rFonts w:ascii="Arial" w:hAnsi="Arial" w:cs="Arial"/>
          <w:sz w:val="24"/>
          <w:szCs w:val="24"/>
        </w:rPr>
        <w:tab/>
        <w:t>= Nilai standar untuk 0,2 = 0,842</w:t>
      </w:r>
    </w:p>
    <w:p w14:paraId="7879809E" w14:textId="77777777" w:rsidR="00EE751F" w:rsidRPr="0035519F" w:rsidRDefault="00EE751F" w:rsidP="00EE751F">
      <w:pPr>
        <w:tabs>
          <w:tab w:val="left" w:pos="630"/>
          <w:tab w:val="left" w:pos="990"/>
        </w:tabs>
        <w:spacing w:after="0" w:line="480" w:lineRule="auto"/>
        <w:jc w:val="both"/>
        <w:rPr>
          <w:rFonts w:ascii="Arial" w:hAnsi="Arial" w:cs="Arial"/>
          <w:sz w:val="24"/>
          <w:szCs w:val="24"/>
        </w:rPr>
      </w:pPr>
      <w:r w:rsidRPr="0035519F">
        <w:rPr>
          <w:rFonts w:ascii="Arial" w:hAnsi="Arial" w:cs="Arial"/>
          <w:sz w:val="24"/>
          <w:szCs w:val="24"/>
          <w:lang w:val="id-ID"/>
        </w:rPr>
        <w:tab/>
      </w:r>
      <w:r w:rsidRPr="0035519F">
        <w:rPr>
          <w:rFonts w:ascii="Arial" w:hAnsi="Arial" w:cs="Arial"/>
          <w:sz w:val="24"/>
          <w:szCs w:val="24"/>
        </w:rPr>
        <w:t>S</w:t>
      </w:r>
      <w:r w:rsidRPr="0035519F">
        <w:rPr>
          <w:rFonts w:ascii="Arial" w:hAnsi="Arial" w:cs="Arial"/>
          <w:sz w:val="24"/>
          <w:szCs w:val="24"/>
        </w:rPr>
        <w:tab/>
      </w:r>
      <w:r w:rsidRPr="0035519F">
        <w:rPr>
          <w:rFonts w:ascii="Arial" w:hAnsi="Arial" w:cs="Arial"/>
          <w:sz w:val="24"/>
          <w:szCs w:val="24"/>
        </w:rPr>
        <w:tab/>
        <w:t>= Simpangan baku dari selisih rerata = 10</w:t>
      </w:r>
    </w:p>
    <w:p w14:paraId="684834F1" w14:textId="77777777" w:rsidR="00EE751F" w:rsidRPr="0035519F" w:rsidRDefault="00EE751F" w:rsidP="00EE751F">
      <w:pPr>
        <w:tabs>
          <w:tab w:val="left" w:pos="630"/>
          <w:tab w:val="left" w:pos="990"/>
        </w:tabs>
        <w:spacing w:after="0" w:line="480" w:lineRule="auto"/>
        <w:jc w:val="both"/>
        <w:rPr>
          <w:rFonts w:ascii="Arial" w:hAnsi="Arial" w:cs="Arial"/>
          <w:sz w:val="24"/>
          <w:szCs w:val="24"/>
          <w:lang w:val="id-ID"/>
        </w:rPr>
      </w:pPr>
      <w:r w:rsidRPr="0035519F">
        <w:rPr>
          <w:rFonts w:ascii="Arial" w:hAnsi="Arial" w:cs="Arial"/>
          <w:noProof/>
          <w:sz w:val="24"/>
          <w:szCs w:val="24"/>
        </w:rPr>
        <mc:AlternateContent>
          <mc:Choice Requires="wps">
            <w:drawing>
              <wp:anchor distT="0" distB="0" distL="114300" distR="114300" simplePos="0" relativeHeight="251945984" behindDoc="0" locked="0" layoutInCell="1" allowOverlap="1" wp14:anchorId="5CD56FCE" wp14:editId="032F2BC0">
                <wp:simplePos x="0" y="0"/>
                <wp:positionH relativeFrom="column">
                  <wp:posOffset>2095500</wp:posOffset>
                </wp:positionH>
                <wp:positionV relativeFrom="paragraph">
                  <wp:posOffset>198755</wp:posOffset>
                </wp:positionV>
                <wp:extent cx="180975" cy="2571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257175"/>
                        </a:xfrm>
                        <a:prstGeom prst="rect">
                          <a:avLst/>
                        </a:prstGeom>
                        <a:noFill/>
                        <a:ln w="12700" cap="flat" cmpd="sng" algn="ctr">
                          <a:noFill/>
                          <a:prstDash val="solid"/>
                          <a:miter lim="800000"/>
                        </a:ln>
                        <a:effectLst/>
                      </wps:spPr>
                      <wps:txbx>
                        <w:txbxContent>
                          <w:p w14:paraId="50DD7FEE" w14:textId="77777777" w:rsidR="00CE38BD" w:rsidRDefault="00CE38BD" w:rsidP="00EE751F">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56FCE" id="Rectangle 2" o:spid="_x0000_s1058" style="position:absolute;left:0;text-align:left;margin-left:165pt;margin-top:15.65pt;width:14.25pt;height:20.2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" filled="f" stroked="f" strokeweight="1pt">
                <v:path arrowok="t"/>
                <v:textbox>
                  <w:txbxContent>
                    <w:p w14:paraId="50DD7FEE" w14:textId="77777777" w:rsidR="00CE38BD" w:rsidRDefault="00CE38BD" w:rsidP="00EE751F">
                      <w:pPr>
                        <w:jc w:val="center"/>
                      </w:pPr>
                      <w:r>
                        <w:t>2</w:t>
                      </w:r>
                    </w:p>
                  </w:txbxContent>
                </v:textbox>
              </v:rect>
            </w:pict>
          </mc:Fallback>
        </mc:AlternateContent>
      </w:r>
      <w:r w:rsidRPr="0035519F">
        <w:rPr>
          <w:rFonts w:ascii="Arial" w:hAnsi="Arial" w:cs="Arial"/>
          <w:noProof/>
          <w:sz w:val="24"/>
          <w:szCs w:val="24"/>
        </w:rPr>
        <mc:AlternateContent>
          <mc:Choice Requires="wps">
            <w:drawing>
              <wp:anchor distT="0" distB="0" distL="114300" distR="114300" simplePos="0" relativeHeight="251943936" behindDoc="0" locked="0" layoutInCell="1" allowOverlap="1" wp14:anchorId="43AE062B" wp14:editId="062F79EA">
                <wp:simplePos x="0" y="0"/>
                <wp:positionH relativeFrom="column">
                  <wp:posOffset>2090420</wp:posOffset>
                </wp:positionH>
                <wp:positionV relativeFrom="paragraph">
                  <wp:posOffset>347345</wp:posOffset>
                </wp:positionV>
                <wp:extent cx="90805" cy="438150"/>
                <wp:effectExtent l="0" t="0" r="23495" b="19050"/>
                <wp:wrapNone/>
                <wp:docPr id="4" name="Right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38150"/>
                        </a:xfrm>
                        <a:prstGeom prst="rightBracket">
                          <a:avLst>
                            <a:gd name="adj" fmla="val 4021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3F67C" id="Right Bracket 4" o:spid="_x0000_s1026" type="#_x0000_t86" style="position:absolute;margin-left:164.6pt;margin-top:27.35pt;width:7.15pt;height:34.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"/>
            </w:pict>
          </mc:Fallback>
        </mc:AlternateContent>
      </w:r>
      <w:r w:rsidRPr="0035519F">
        <w:rPr>
          <w:rFonts w:ascii="Arial" w:hAnsi="Arial" w:cs="Arial"/>
          <w:noProof/>
          <w:sz w:val="24"/>
          <w:szCs w:val="24"/>
        </w:rPr>
        <mc:AlternateContent>
          <mc:Choice Requires="wps">
            <w:drawing>
              <wp:anchor distT="0" distB="0" distL="114300" distR="114300" simplePos="0" relativeHeight="251942912" behindDoc="0" locked="0" layoutInCell="1" allowOverlap="1" wp14:anchorId="6664CBC4" wp14:editId="43E9FC2A">
                <wp:simplePos x="0" y="0"/>
                <wp:positionH relativeFrom="column">
                  <wp:posOffset>802640</wp:posOffset>
                </wp:positionH>
                <wp:positionV relativeFrom="paragraph">
                  <wp:posOffset>350520</wp:posOffset>
                </wp:positionV>
                <wp:extent cx="90805" cy="438150"/>
                <wp:effectExtent l="0" t="0" r="23495" b="19050"/>
                <wp:wrapNone/>
                <wp:docPr id="18" name="Left Bracket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38150"/>
                        </a:xfrm>
                        <a:prstGeom prst="leftBracket">
                          <a:avLst>
                            <a:gd name="adj" fmla="val 4021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9E739" id="Left Bracket 18" o:spid="_x0000_s1026" type="#_x0000_t85" style="position:absolute;margin-left:63.2pt;margin-top:27.6pt;width:7.15pt;height:34.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"/>
            </w:pict>
          </mc:Fallback>
        </mc:AlternateContent>
      </w:r>
      <w:r w:rsidRPr="0035519F">
        <w:rPr>
          <w:rFonts w:ascii="Arial" w:hAnsi="Arial" w:cs="Arial"/>
          <w:sz w:val="24"/>
          <w:szCs w:val="24"/>
          <w:lang w:val="id-ID"/>
        </w:rPr>
        <w:tab/>
      </w:r>
      <w:r w:rsidRPr="0035519F">
        <w:rPr>
          <w:rFonts w:ascii="Arial" w:hAnsi="Arial" w:cs="Arial"/>
          <w:sz w:val="24"/>
          <w:szCs w:val="24"/>
        </w:rPr>
        <w:t>X</w:t>
      </w:r>
      <w:r w:rsidRPr="0035519F">
        <w:rPr>
          <w:rFonts w:ascii="Arial" w:hAnsi="Arial" w:cs="Arial"/>
          <w:sz w:val="24"/>
          <w:szCs w:val="24"/>
          <w:vertAlign w:val="subscript"/>
        </w:rPr>
        <w:t>1</w:t>
      </w:r>
      <w:r w:rsidRPr="0035519F">
        <w:rPr>
          <w:rFonts w:ascii="Arial" w:hAnsi="Arial" w:cs="Arial"/>
          <w:sz w:val="24"/>
          <w:szCs w:val="24"/>
        </w:rPr>
        <w:t>-X</w:t>
      </w:r>
      <w:r w:rsidRPr="0035519F">
        <w:rPr>
          <w:rFonts w:ascii="Arial" w:hAnsi="Arial" w:cs="Arial"/>
          <w:sz w:val="24"/>
          <w:szCs w:val="24"/>
          <w:vertAlign w:val="subscript"/>
        </w:rPr>
        <w:t>2</w:t>
      </w:r>
      <w:r w:rsidRPr="0035519F">
        <w:rPr>
          <w:rFonts w:ascii="Arial" w:hAnsi="Arial" w:cs="Arial"/>
          <w:sz w:val="24"/>
          <w:szCs w:val="24"/>
        </w:rPr>
        <w:tab/>
        <w:t>= Selisih rerata dua kelompok yang bermakna = 6</w:t>
      </w:r>
    </w:p>
    <w:p w14:paraId="3523F205" w14:textId="77777777" w:rsidR="00EE751F" w:rsidRPr="0035519F" w:rsidRDefault="00EE751F" w:rsidP="00EE751F">
      <w:pPr>
        <w:tabs>
          <w:tab w:val="left" w:pos="630"/>
          <w:tab w:val="left" w:pos="990"/>
        </w:tabs>
        <w:spacing w:after="0" w:line="480" w:lineRule="auto"/>
        <w:jc w:val="both"/>
        <w:rPr>
          <w:rFonts w:ascii="Arial" w:hAnsi="Arial" w:cs="Arial"/>
          <w:sz w:val="24"/>
          <w:szCs w:val="24"/>
        </w:rPr>
      </w:pPr>
      <w:r w:rsidRPr="0035519F">
        <w:rPr>
          <w:rFonts w:ascii="Arial" w:hAnsi="Arial" w:cs="Arial"/>
          <w:noProof/>
          <w:sz w:val="24"/>
          <w:szCs w:val="24"/>
        </w:rPr>
        <mc:AlternateContent>
          <mc:Choice Requires="wps">
            <w:drawing>
              <wp:anchor distT="0" distB="0" distL="114300" distR="114300" simplePos="0" relativeHeight="251947008" behindDoc="0" locked="0" layoutInCell="1" allowOverlap="1" wp14:anchorId="027BA88F" wp14:editId="5CFE2C7F">
                <wp:simplePos x="0" y="0"/>
                <wp:positionH relativeFrom="column">
                  <wp:posOffset>1274445</wp:posOffset>
                </wp:positionH>
                <wp:positionV relativeFrom="paragraph">
                  <wp:posOffset>190500</wp:posOffset>
                </wp:positionV>
                <wp:extent cx="276225" cy="247650"/>
                <wp:effectExtent l="0" t="0" r="0" b="0"/>
                <wp:wrapNone/>
                <wp:docPr id="239"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247650"/>
                        </a:xfrm>
                        <a:prstGeom prst="rect">
                          <a:avLst/>
                        </a:prstGeom>
                        <a:noFill/>
                        <a:ln w="12700" cap="flat" cmpd="sng" algn="ctr">
                          <a:noFill/>
                          <a:prstDash val="solid"/>
                          <a:miter lim="800000"/>
                        </a:ln>
                        <a:effectLst/>
                      </wps:spPr>
                      <wps:txbx>
                        <w:txbxContent>
                          <w:p w14:paraId="779128E5" w14:textId="77777777" w:rsidR="00CE38BD" w:rsidRDefault="00CE38BD" w:rsidP="00EE751F">
                            <w:pPr>
                              <w:rPr>
                                <w:sz w:val="24"/>
                                <w:szCs w:val="24"/>
                              </w:rPr>
                            </w:pPr>
                            <w:r>
                              <w:rPr>
                                <w:rFonts w:ascii="Arial" w:hAnsi="Arial" w:cs="Arial"/>
                                <w:sz w:val="24"/>
                                <w:szCs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BA88F" id="Rectangle 239" o:spid="_x0000_s1059" style="position:absolute;left:0;text-align:left;margin-left:100.35pt;margin-top:15pt;width:21.75pt;height:19.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" filled="f" stroked="f" strokeweight="1pt">
                <v:path arrowok="t"/>
                <v:textbox>
                  <w:txbxContent>
                    <w:p w14:paraId="779128E5" w14:textId="77777777" w:rsidR="00CE38BD" w:rsidRDefault="00CE38BD" w:rsidP="00EE751F">
                      <w:pPr>
                        <w:rPr>
                          <w:sz w:val="24"/>
                          <w:szCs w:val="24"/>
                        </w:rPr>
                      </w:pPr>
                      <w:r>
                        <w:rPr>
                          <w:rFonts w:ascii="Arial" w:hAnsi="Arial" w:cs="Arial"/>
                          <w:sz w:val="24"/>
                          <w:szCs w:val="24"/>
                        </w:rPr>
                        <w:t>6</w:t>
                      </w:r>
                    </w:p>
                  </w:txbxContent>
                </v:textbox>
              </v:rect>
            </w:pict>
          </mc:Fallback>
        </mc:AlternateContent>
      </w:r>
      <w:r w:rsidRPr="0035519F">
        <w:rPr>
          <w:rFonts w:ascii="Arial" w:hAnsi="Arial" w:cs="Arial"/>
          <w:sz w:val="24"/>
          <w:szCs w:val="24"/>
          <w:lang w:val="id-ID"/>
        </w:rPr>
        <w:t xml:space="preserve">         </w:t>
      </w:r>
      <w:r w:rsidRPr="0035519F">
        <w:rPr>
          <w:rFonts w:ascii="Arial" w:hAnsi="Arial" w:cs="Arial"/>
          <w:sz w:val="24"/>
          <w:szCs w:val="24"/>
        </w:rPr>
        <w:t xml:space="preserve">n = 2   </w:t>
      </w:r>
      <w:r w:rsidRPr="0035519F">
        <w:rPr>
          <w:rFonts w:ascii="Arial" w:hAnsi="Arial" w:cs="Arial"/>
          <w:sz w:val="24"/>
          <w:szCs w:val="24"/>
          <w:u w:val="single"/>
        </w:rPr>
        <w:t>(1,645 + 0,842) 10</w:t>
      </w:r>
      <w:r w:rsidRPr="0035519F">
        <w:rPr>
          <w:rFonts w:ascii="Arial" w:hAnsi="Arial" w:cs="Arial"/>
          <w:sz w:val="24"/>
          <w:szCs w:val="24"/>
          <w:vertAlign w:val="superscript"/>
        </w:rPr>
        <w:t xml:space="preserve">       </w:t>
      </w:r>
      <w:r w:rsidRPr="0035519F">
        <w:rPr>
          <w:rFonts w:ascii="Arial" w:hAnsi="Arial" w:cs="Arial"/>
          <w:sz w:val="24"/>
          <w:szCs w:val="24"/>
        </w:rPr>
        <w:t xml:space="preserve">= 34,2 </w:t>
      </w:r>
      <w:r w:rsidRPr="0035519F">
        <w:rPr>
          <w:rFonts w:ascii="Arial" w:hAnsi="Arial" w:cs="Arial"/>
          <w:sz w:val="24"/>
          <w:szCs w:val="24"/>
        </w:rPr>
        <w:sym w:font="Wingdings" w:char="F0E0"/>
      </w:r>
      <w:r w:rsidRPr="0035519F">
        <w:rPr>
          <w:rFonts w:ascii="Arial" w:hAnsi="Arial" w:cs="Arial"/>
          <w:sz w:val="24"/>
          <w:szCs w:val="24"/>
        </w:rPr>
        <w:t xml:space="preserve"> 35 sampel </w:t>
      </w:r>
    </w:p>
    <w:p w14:paraId="3F0875F2" w14:textId="77777777" w:rsidR="00EE751F" w:rsidRPr="0035519F" w:rsidRDefault="00EE751F" w:rsidP="00EE751F">
      <w:pPr>
        <w:tabs>
          <w:tab w:val="left" w:pos="810"/>
        </w:tabs>
        <w:spacing w:after="0" w:line="480" w:lineRule="auto"/>
        <w:jc w:val="both"/>
        <w:rPr>
          <w:rFonts w:ascii="Arial" w:hAnsi="Arial" w:cs="Arial"/>
          <w:sz w:val="24"/>
          <w:szCs w:val="24"/>
        </w:rPr>
      </w:pPr>
    </w:p>
    <w:p w14:paraId="42A18D5F" w14:textId="77777777" w:rsidR="00EE751F" w:rsidRPr="0035519F" w:rsidRDefault="00EE751F" w:rsidP="00EE751F">
      <w:pPr>
        <w:tabs>
          <w:tab w:val="left" w:pos="810"/>
        </w:tabs>
        <w:spacing w:after="0" w:line="480" w:lineRule="auto"/>
        <w:ind w:right="49"/>
        <w:jc w:val="both"/>
        <w:rPr>
          <w:rFonts w:ascii="Arial" w:hAnsi="Arial" w:cs="Arial"/>
          <w:sz w:val="24"/>
          <w:szCs w:val="24"/>
        </w:rPr>
      </w:pPr>
      <w:r w:rsidRPr="0035519F">
        <w:rPr>
          <w:rFonts w:ascii="Arial" w:hAnsi="Arial" w:cs="Arial"/>
          <w:sz w:val="24"/>
          <w:szCs w:val="24"/>
        </w:rPr>
        <w:t xml:space="preserve">Jumlah minimal sampel dalam penelitian ini adalah 35 sampel untuk masing-masing kelompok sehingga total sampel minimal 70 sampel. </w:t>
      </w:r>
    </w:p>
    <w:p w14:paraId="4AB941CA" w14:textId="77777777" w:rsidR="00583A43" w:rsidRPr="0035519F" w:rsidRDefault="00583A43" w:rsidP="00AB4536">
      <w:pPr>
        <w:pStyle w:val="ListParagraph"/>
        <w:spacing w:after="0" w:line="480" w:lineRule="auto"/>
        <w:ind w:left="0" w:firstLine="720"/>
        <w:jc w:val="both"/>
        <w:rPr>
          <w:rFonts w:ascii="Arial" w:hAnsi="Arial" w:cs="Arial"/>
          <w:bCs/>
          <w:sz w:val="24"/>
          <w:szCs w:val="24"/>
        </w:rPr>
      </w:pPr>
    </w:p>
    <w:p w14:paraId="401DB8C7" w14:textId="77777777" w:rsidR="007757AB" w:rsidRPr="0035519F" w:rsidRDefault="007757AB" w:rsidP="00891FA6">
      <w:pPr>
        <w:pStyle w:val="ListParagraph"/>
        <w:numPr>
          <w:ilvl w:val="2"/>
          <w:numId w:val="1"/>
        </w:numPr>
        <w:spacing w:before="240" w:line="480" w:lineRule="auto"/>
        <w:ind w:left="426" w:hanging="426"/>
        <w:jc w:val="center"/>
        <w:outlineLvl w:val="1"/>
        <w:rPr>
          <w:rFonts w:ascii="Arial" w:hAnsi="Arial" w:cs="Arial"/>
          <w:b/>
          <w:sz w:val="24"/>
          <w:szCs w:val="24"/>
        </w:rPr>
      </w:pPr>
      <w:bookmarkStart w:id="63" w:name="_Toc111022780"/>
      <w:r w:rsidRPr="0035519F">
        <w:rPr>
          <w:rFonts w:ascii="Arial" w:hAnsi="Arial" w:cs="Arial"/>
          <w:b/>
          <w:sz w:val="24"/>
          <w:szCs w:val="24"/>
        </w:rPr>
        <w:t>Kriteria Inklusi dan Eksklusi</w:t>
      </w:r>
      <w:bookmarkEnd w:id="63"/>
    </w:p>
    <w:p w14:paraId="4F466E54" w14:textId="77777777" w:rsidR="007757AB" w:rsidRPr="0035519F" w:rsidRDefault="007757AB" w:rsidP="007757AB">
      <w:pPr>
        <w:pStyle w:val="ListParagraph"/>
        <w:numPr>
          <w:ilvl w:val="0"/>
          <w:numId w:val="4"/>
        </w:numPr>
        <w:spacing w:before="240" w:line="480" w:lineRule="auto"/>
        <w:ind w:left="426" w:hanging="426"/>
        <w:jc w:val="both"/>
        <w:rPr>
          <w:rFonts w:ascii="Arial" w:hAnsi="Arial" w:cs="Arial"/>
          <w:b/>
          <w:sz w:val="24"/>
          <w:szCs w:val="24"/>
        </w:rPr>
      </w:pPr>
      <w:r w:rsidRPr="0035519F">
        <w:rPr>
          <w:rFonts w:ascii="Arial" w:hAnsi="Arial" w:cs="Arial"/>
          <w:b/>
          <w:sz w:val="24"/>
          <w:szCs w:val="24"/>
        </w:rPr>
        <w:t>Kriteria Inklusi</w:t>
      </w:r>
    </w:p>
    <w:p w14:paraId="5C0363A8" w14:textId="39FD71F6" w:rsidR="007757AB" w:rsidRPr="0035519F" w:rsidRDefault="007757AB" w:rsidP="007757AB">
      <w:pPr>
        <w:pStyle w:val="ListParagraph"/>
        <w:numPr>
          <w:ilvl w:val="0"/>
          <w:numId w:val="5"/>
        </w:numPr>
        <w:tabs>
          <w:tab w:val="left" w:pos="709"/>
        </w:tabs>
        <w:spacing w:after="0" w:line="480" w:lineRule="auto"/>
        <w:ind w:left="709" w:hanging="283"/>
        <w:jc w:val="both"/>
        <w:rPr>
          <w:rFonts w:ascii="Arial" w:hAnsi="Arial" w:cs="Arial"/>
          <w:bCs/>
          <w:sz w:val="24"/>
          <w:szCs w:val="24"/>
        </w:rPr>
      </w:pPr>
      <w:r w:rsidRPr="0035519F">
        <w:rPr>
          <w:rFonts w:ascii="Arial" w:hAnsi="Arial" w:cs="Arial"/>
          <w:sz w:val="24"/>
          <w:szCs w:val="24"/>
        </w:rPr>
        <w:t>Pria dan wanita</w:t>
      </w:r>
      <w:r w:rsidR="000060EA" w:rsidRPr="0035519F">
        <w:rPr>
          <w:rFonts w:ascii="Arial" w:hAnsi="Arial" w:cs="Arial"/>
          <w:sz w:val="24"/>
          <w:szCs w:val="24"/>
        </w:rPr>
        <w:t xml:space="preserve"> dewasa</w:t>
      </w:r>
      <w:r w:rsidRPr="0035519F">
        <w:rPr>
          <w:rFonts w:ascii="Arial" w:hAnsi="Arial" w:cs="Arial"/>
          <w:sz w:val="24"/>
          <w:szCs w:val="24"/>
        </w:rPr>
        <w:t xml:space="preserve"> </w:t>
      </w:r>
      <w:r w:rsidR="00583A43" w:rsidRPr="0035519F">
        <w:rPr>
          <w:rFonts w:ascii="Arial" w:hAnsi="Arial" w:cs="Arial"/>
          <w:i/>
          <w:sz w:val="24"/>
          <w:szCs w:val="24"/>
        </w:rPr>
        <w:t>Non</w:t>
      </w:r>
      <w:r w:rsidR="00583A43" w:rsidRPr="0035519F">
        <w:rPr>
          <w:rFonts w:ascii="Arial" w:hAnsi="Arial" w:cs="Arial"/>
          <w:sz w:val="24"/>
          <w:szCs w:val="24"/>
        </w:rPr>
        <w:t xml:space="preserve"> DM </w:t>
      </w:r>
      <w:r w:rsidRPr="0035519F">
        <w:rPr>
          <w:rFonts w:ascii="Arial" w:hAnsi="Arial" w:cs="Arial"/>
          <w:sz w:val="24"/>
          <w:szCs w:val="24"/>
        </w:rPr>
        <w:t xml:space="preserve">dengan dan tanpa obesitas sentral. </w:t>
      </w:r>
    </w:p>
    <w:p w14:paraId="09130764" w14:textId="1C7508DC" w:rsidR="00583A43" w:rsidRPr="0035519F" w:rsidRDefault="00583A43" w:rsidP="00583A43">
      <w:pPr>
        <w:pStyle w:val="ListParagraph"/>
        <w:numPr>
          <w:ilvl w:val="0"/>
          <w:numId w:val="5"/>
        </w:numPr>
        <w:spacing w:line="480" w:lineRule="auto"/>
        <w:ind w:left="720"/>
        <w:jc w:val="both"/>
        <w:rPr>
          <w:rFonts w:ascii="Arial" w:hAnsi="Arial" w:cs="Arial"/>
          <w:sz w:val="24"/>
          <w:szCs w:val="24"/>
          <w:lang w:val="id-ID"/>
        </w:rPr>
      </w:pPr>
      <w:r w:rsidRPr="0035519F">
        <w:rPr>
          <w:rFonts w:ascii="Arial" w:hAnsi="Arial" w:cs="Arial"/>
          <w:sz w:val="24"/>
          <w:szCs w:val="24"/>
        </w:rPr>
        <w:t>Subyek yang tidak seda</w:t>
      </w:r>
      <w:r w:rsidR="002C2C62" w:rsidRPr="0035519F">
        <w:rPr>
          <w:rFonts w:ascii="Arial" w:hAnsi="Arial" w:cs="Arial"/>
          <w:sz w:val="24"/>
          <w:szCs w:val="24"/>
        </w:rPr>
        <w:t>ng mengalami inflamasi/ infeksi berat.</w:t>
      </w:r>
    </w:p>
    <w:p w14:paraId="3A0F3543" w14:textId="5BFFC81E" w:rsidR="00583A43" w:rsidRPr="0035519F" w:rsidRDefault="00583A43" w:rsidP="00583A43">
      <w:pPr>
        <w:pStyle w:val="ListParagraph"/>
        <w:numPr>
          <w:ilvl w:val="0"/>
          <w:numId w:val="5"/>
        </w:numPr>
        <w:spacing w:line="480" w:lineRule="auto"/>
        <w:ind w:left="720"/>
        <w:jc w:val="both"/>
        <w:rPr>
          <w:rFonts w:ascii="Arial" w:hAnsi="Arial" w:cs="Arial"/>
          <w:sz w:val="24"/>
          <w:szCs w:val="24"/>
          <w:lang w:val="id-ID"/>
        </w:rPr>
      </w:pPr>
      <w:r w:rsidRPr="0035519F">
        <w:rPr>
          <w:rFonts w:ascii="Arial" w:hAnsi="Arial" w:cs="Arial"/>
          <w:sz w:val="24"/>
          <w:szCs w:val="24"/>
        </w:rPr>
        <w:t xml:space="preserve">Subyek tanpa riwayat atau sedang </w:t>
      </w:r>
      <w:r w:rsidR="00C222E7" w:rsidRPr="0035519F">
        <w:rPr>
          <w:rFonts w:ascii="Arial" w:hAnsi="Arial" w:cs="Arial"/>
          <w:sz w:val="24"/>
          <w:szCs w:val="24"/>
        </w:rPr>
        <w:t>menderita</w:t>
      </w:r>
      <w:r w:rsidRPr="0035519F">
        <w:rPr>
          <w:rFonts w:ascii="Arial" w:hAnsi="Arial" w:cs="Arial"/>
          <w:sz w:val="24"/>
          <w:szCs w:val="24"/>
        </w:rPr>
        <w:t xml:space="preserve"> penyakit jantung. </w:t>
      </w:r>
    </w:p>
    <w:p w14:paraId="747B0C13" w14:textId="4ACF5351" w:rsidR="00583A43" w:rsidRPr="0035519F" w:rsidRDefault="00583A43" w:rsidP="00583A43">
      <w:pPr>
        <w:pStyle w:val="ListParagraph"/>
        <w:numPr>
          <w:ilvl w:val="0"/>
          <w:numId w:val="5"/>
        </w:numPr>
        <w:spacing w:line="480" w:lineRule="auto"/>
        <w:ind w:left="720"/>
        <w:jc w:val="both"/>
        <w:rPr>
          <w:rFonts w:ascii="Arial" w:hAnsi="Arial" w:cs="Arial"/>
          <w:sz w:val="24"/>
          <w:szCs w:val="24"/>
          <w:lang w:val="id-ID"/>
        </w:rPr>
      </w:pPr>
      <w:r w:rsidRPr="0035519F">
        <w:rPr>
          <w:rFonts w:ascii="Arial" w:hAnsi="Arial" w:cs="Arial"/>
          <w:sz w:val="24"/>
          <w:szCs w:val="24"/>
        </w:rPr>
        <w:t>Subyek tanpa riwayat atau sedang menderita keganasan.</w:t>
      </w:r>
    </w:p>
    <w:p w14:paraId="2F8B32B5" w14:textId="77777777" w:rsidR="00583A43" w:rsidRPr="0035519F" w:rsidRDefault="00583A43" w:rsidP="00583A43">
      <w:pPr>
        <w:pStyle w:val="ListParagraph"/>
        <w:numPr>
          <w:ilvl w:val="0"/>
          <w:numId w:val="5"/>
        </w:numPr>
        <w:spacing w:line="480" w:lineRule="auto"/>
        <w:ind w:left="720"/>
        <w:jc w:val="both"/>
        <w:rPr>
          <w:rFonts w:ascii="Arial" w:hAnsi="Arial" w:cs="Arial"/>
          <w:sz w:val="24"/>
          <w:szCs w:val="24"/>
          <w:lang w:val="id-ID"/>
        </w:rPr>
      </w:pPr>
      <w:r w:rsidRPr="0035519F">
        <w:rPr>
          <w:rFonts w:ascii="Arial" w:hAnsi="Arial" w:cs="Arial"/>
          <w:sz w:val="24"/>
          <w:szCs w:val="24"/>
        </w:rPr>
        <w:lastRenderedPageBreak/>
        <w:t>Subyek yang tidak sedang mengkonsumsi obat kortikosteroid.</w:t>
      </w:r>
    </w:p>
    <w:p w14:paraId="0A2522B3" w14:textId="77777777" w:rsidR="00ED4E04" w:rsidRPr="0035519F" w:rsidRDefault="00583A43" w:rsidP="00583A43">
      <w:pPr>
        <w:pStyle w:val="ListParagraph"/>
        <w:numPr>
          <w:ilvl w:val="0"/>
          <w:numId w:val="5"/>
        </w:numPr>
        <w:spacing w:line="480" w:lineRule="auto"/>
        <w:ind w:left="720"/>
        <w:jc w:val="both"/>
        <w:rPr>
          <w:rFonts w:ascii="Arial" w:hAnsi="Arial" w:cs="Arial"/>
          <w:sz w:val="24"/>
          <w:szCs w:val="24"/>
          <w:lang w:val="id-ID"/>
        </w:rPr>
      </w:pPr>
      <w:r w:rsidRPr="0035519F">
        <w:rPr>
          <w:rFonts w:ascii="Arial" w:hAnsi="Arial" w:cs="Arial"/>
          <w:sz w:val="24"/>
          <w:szCs w:val="24"/>
        </w:rPr>
        <w:t xml:space="preserve">Bersedia ikut dalam penelitian dengan mengisi dan menandatangani </w:t>
      </w:r>
      <w:r w:rsidRPr="0035519F">
        <w:rPr>
          <w:rFonts w:ascii="Arial" w:hAnsi="Arial" w:cs="Arial"/>
          <w:i/>
          <w:sz w:val="24"/>
          <w:szCs w:val="24"/>
        </w:rPr>
        <w:t>informed consent</w:t>
      </w:r>
      <w:r w:rsidRPr="0035519F">
        <w:rPr>
          <w:rFonts w:ascii="Arial" w:hAnsi="Arial" w:cs="Arial"/>
          <w:b/>
          <w:i/>
          <w:sz w:val="24"/>
          <w:szCs w:val="24"/>
        </w:rPr>
        <w:t>.</w:t>
      </w:r>
    </w:p>
    <w:p w14:paraId="4DB0D171" w14:textId="77777777" w:rsidR="00583A43" w:rsidRPr="0035519F" w:rsidRDefault="00583A43" w:rsidP="00583A43">
      <w:pPr>
        <w:pStyle w:val="ListParagraph"/>
        <w:spacing w:line="480" w:lineRule="auto"/>
        <w:jc w:val="both"/>
        <w:rPr>
          <w:rFonts w:ascii="Arial" w:hAnsi="Arial" w:cs="Arial"/>
          <w:sz w:val="24"/>
          <w:szCs w:val="24"/>
          <w:lang w:val="id-ID"/>
        </w:rPr>
      </w:pPr>
    </w:p>
    <w:p w14:paraId="135FC088" w14:textId="77777777" w:rsidR="007757AB" w:rsidRPr="0035519F" w:rsidRDefault="007757AB" w:rsidP="007757AB">
      <w:pPr>
        <w:pStyle w:val="ListParagraph"/>
        <w:numPr>
          <w:ilvl w:val="0"/>
          <w:numId w:val="4"/>
        </w:numPr>
        <w:spacing w:line="480" w:lineRule="auto"/>
        <w:ind w:left="426" w:hanging="426"/>
        <w:jc w:val="both"/>
        <w:rPr>
          <w:rFonts w:ascii="Arial" w:hAnsi="Arial" w:cs="Arial"/>
          <w:b/>
          <w:sz w:val="24"/>
          <w:szCs w:val="24"/>
        </w:rPr>
      </w:pPr>
      <w:r w:rsidRPr="0035519F">
        <w:rPr>
          <w:rFonts w:ascii="Arial" w:hAnsi="Arial" w:cs="Arial"/>
          <w:b/>
          <w:sz w:val="24"/>
          <w:szCs w:val="24"/>
        </w:rPr>
        <w:t>Kriteria Eksklusi</w:t>
      </w:r>
    </w:p>
    <w:p w14:paraId="5B69EB22" w14:textId="77777777" w:rsidR="007757AB" w:rsidRPr="0035519F" w:rsidRDefault="007757AB" w:rsidP="007757AB">
      <w:pPr>
        <w:pStyle w:val="ListParagraph"/>
        <w:numPr>
          <w:ilvl w:val="0"/>
          <w:numId w:val="6"/>
        </w:numPr>
        <w:spacing w:after="0" w:line="480" w:lineRule="auto"/>
        <w:ind w:left="810"/>
        <w:jc w:val="both"/>
        <w:rPr>
          <w:rFonts w:ascii="Arial" w:hAnsi="Arial" w:cs="Arial"/>
          <w:sz w:val="24"/>
          <w:szCs w:val="24"/>
          <w:lang w:val="id-ID"/>
        </w:rPr>
      </w:pPr>
      <w:r w:rsidRPr="0035519F">
        <w:rPr>
          <w:rFonts w:ascii="Arial" w:hAnsi="Arial" w:cs="Arial"/>
          <w:sz w:val="24"/>
          <w:szCs w:val="24"/>
        </w:rPr>
        <w:t xml:space="preserve">Sampel serum ikterik, lipemik atau hemolisis. </w:t>
      </w:r>
    </w:p>
    <w:p w14:paraId="096E6D5E" w14:textId="77777777" w:rsidR="00583A43" w:rsidRPr="0035519F" w:rsidRDefault="00583A43" w:rsidP="00583A43">
      <w:pPr>
        <w:pStyle w:val="ListParagraph"/>
        <w:numPr>
          <w:ilvl w:val="0"/>
          <w:numId w:val="6"/>
        </w:numPr>
        <w:spacing w:after="0" w:line="480" w:lineRule="auto"/>
        <w:ind w:left="810"/>
        <w:jc w:val="both"/>
        <w:rPr>
          <w:rFonts w:ascii="Arial" w:hAnsi="Arial" w:cs="Arial"/>
          <w:sz w:val="24"/>
          <w:szCs w:val="24"/>
          <w:lang w:val="id-ID"/>
        </w:rPr>
      </w:pPr>
      <w:r w:rsidRPr="0035519F">
        <w:rPr>
          <w:rFonts w:ascii="Arial" w:hAnsi="Arial" w:cs="Arial"/>
          <w:sz w:val="24"/>
          <w:szCs w:val="24"/>
          <w:lang w:val="id-ID"/>
        </w:rPr>
        <w:t>GDP ≥ 126 mg/dL</w:t>
      </w:r>
    </w:p>
    <w:p w14:paraId="6C6665D8" w14:textId="77777777" w:rsidR="007757AB" w:rsidRPr="0035519F" w:rsidRDefault="007757AB" w:rsidP="007757AB">
      <w:pPr>
        <w:spacing w:after="0" w:line="480" w:lineRule="auto"/>
        <w:jc w:val="both"/>
        <w:rPr>
          <w:rFonts w:ascii="Arial" w:hAnsi="Arial" w:cs="Arial"/>
          <w:sz w:val="24"/>
          <w:szCs w:val="24"/>
          <w:lang w:val="id-ID"/>
        </w:rPr>
      </w:pPr>
    </w:p>
    <w:p w14:paraId="2F5E003D" w14:textId="77777777" w:rsidR="007757AB" w:rsidRPr="0035519F" w:rsidRDefault="007757AB" w:rsidP="00891FA6">
      <w:pPr>
        <w:pStyle w:val="ListParagraph"/>
        <w:numPr>
          <w:ilvl w:val="2"/>
          <w:numId w:val="1"/>
        </w:numPr>
        <w:spacing w:after="0" w:line="480" w:lineRule="auto"/>
        <w:ind w:left="426" w:hanging="426"/>
        <w:jc w:val="center"/>
        <w:outlineLvl w:val="1"/>
        <w:rPr>
          <w:rFonts w:ascii="Arial" w:hAnsi="Arial" w:cs="Arial"/>
          <w:b/>
          <w:sz w:val="24"/>
          <w:szCs w:val="24"/>
        </w:rPr>
      </w:pPr>
      <w:bookmarkStart w:id="64" w:name="_Toc111022781"/>
      <w:r w:rsidRPr="0035519F">
        <w:rPr>
          <w:rFonts w:ascii="Arial" w:hAnsi="Arial" w:cs="Arial"/>
          <w:b/>
          <w:sz w:val="24"/>
          <w:szCs w:val="24"/>
        </w:rPr>
        <w:t>Izin Penelitian dan Kelayakan Etik</w:t>
      </w:r>
      <w:bookmarkEnd w:id="64"/>
    </w:p>
    <w:p w14:paraId="443BE5DF" w14:textId="77777777" w:rsidR="007757AB" w:rsidRPr="0035519F" w:rsidRDefault="007757AB" w:rsidP="007757AB">
      <w:pPr>
        <w:tabs>
          <w:tab w:val="left" w:pos="709"/>
        </w:tabs>
        <w:spacing w:after="0" w:line="480" w:lineRule="auto"/>
        <w:ind w:firstLine="709"/>
        <w:jc w:val="both"/>
        <w:rPr>
          <w:rFonts w:ascii="Arial" w:hAnsi="Arial" w:cs="Arial"/>
          <w:sz w:val="24"/>
          <w:szCs w:val="24"/>
        </w:rPr>
      </w:pPr>
      <w:r w:rsidRPr="0035519F">
        <w:rPr>
          <w:rFonts w:ascii="Arial" w:hAnsi="Arial" w:cs="Arial"/>
          <w:sz w:val="24"/>
          <w:szCs w:val="24"/>
        </w:rPr>
        <w:tab/>
        <w:t xml:space="preserve">Dalam pelaksanaan penelitian ini, setiap tindakan dilakukan seizin dan sepengetahuan penderita yang dijadikan sampel penelitian melalui lembar </w:t>
      </w:r>
      <w:r w:rsidRPr="0035519F">
        <w:rPr>
          <w:rFonts w:ascii="Arial" w:hAnsi="Arial" w:cs="Arial"/>
          <w:i/>
          <w:sz w:val="24"/>
          <w:szCs w:val="24"/>
        </w:rPr>
        <w:t xml:space="preserve">informed consent </w:t>
      </w:r>
      <w:r w:rsidRPr="0035519F">
        <w:rPr>
          <w:rFonts w:ascii="Arial" w:hAnsi="Arial" w:cs="Arial"/>
          <w:sz w:val="24"/>
          <w:szCs w:val="24"/>
        </w:rPr>
        <w:t>dan dinyatakan memenuhi persyaratan etik untuk dilaksanakan dari Komisi Etik Penelitian Kesehatan (KEPK) Fakultas Kedokteran Universitas Hasanuddin</w:t>
      </w:r>
      <w:r w:rsidRPr="0035519F">
        <w:rPr>
          <w:rFonts w:ascii="Arial" w:hAnsi="Arial" w:cs="Arial"/>
          <w:sz w:val="24"/>
          <w:szCs w:val="24"/>
          <w:lang w:val="id-ID"/>
        </w:rPr>
        <w:t>-</w:t>
      </w:r>
      <w:r w:rsidRPr="0035519F">
        <w:rPr>
          <w:rFonts w:ascii="Arial" w:hAnsi="Arial" w:cs="Arial"/>
          <w:sz w:val="24"/>
          <w:szCs w:val="24"/>
        </w:rPr>
        <w:t>Rumah Sakit Pe</w:t>
      </w:r>
      <w:r w:rsidRPr="0035519F">
        <w:rPr>
          <w:rFonts w:ascii="Arial" w:hAnsi="Arial" w:cs="Arial"/>
          <w:sz w:val="24"/>
          <w:szCs w:val="24"/>
          <w:lang w:val="id-ID"/>
        </w:rPr>
        <w:t xml:space="preserve">rguruan </w:t>
      </w:r>
      <w:r w:rsidRPr="0035519F">
        <w:rPr>
          <w:rFonts w:ascii="Arial" w:hAnsi="Arial" w:cs="Arial"/>
          <w:sz w:val="24"/>
          <w:szCs w:val="24"/>
        </w:rPr>
        <w:t>Tinggi Negeri UNHAS</w:t>
      </w:r>
      <w:r w:rsidRPr="0035519F">
        <w:rPr>
          <w:rFonts w:ascii="Arial" w:hAnsi="Arial" w:cs="Arial"/>
          <w:sz w:val="24"/>
          <w:szCs w:val="24"/>
          <w:lang w:val="id-ID"/>
        </w:rPr>
        <w:t>-</w:t>
      </w:r>
      <w:r w:rsidRPr="0035519F">
        <w:rPr>
          <w:rFonts w:ascii="Arial" w:hAnsi="Arial" w:cs="Arial"/>
          <w:sz w:val="24"/>
          <w:szCs w:val="24"/>
        </w:rPr>
        <w:t>RSUP Dr. Wahidin Sudirohusodo, Makassar.</w:t>
      </w:r>
    </w:p>
    <w:p w14:paraId="48EE8151" w14:textId="77777777" w:rsidR="00583A43" w:rsidRPr="0035519F" w:rsidRDefault="00583A43" w:rsidP="007757AB">
      <w:pPr>
        <w:tabs>
          <w:tab w:val="left" w:pos="709"/>
        </w:tabs>
        <w:spacing w:after="0" w:line="480" w:lineRule="auto"/>
        <w:ind w:firstLine="709"/>
        <w:jc w:val="both"/>
        <w:rPr>
          <w:rFonts w:ascii="Arial" w:hAnsi="Arial" w:cs="Arial"/>
          <w:sz w:val="24"/>
          <w:szCs w:val="24"/>
        </w:rPr>
      </w:pPr>
    </w:p>
    <w:p w14:paraId="00E3CA16" w14:textId="77777777" w:rsidR="007757AB" w:rsidRPr="0035519F" w:rsidRDefault="007757AB" w:rsidP="00891FA6">
      <w:pPr>
        <w:pStyle w:val="ListParagraph"/>
        <w:numPr>
          <w:ilvl w:val="2"/>
          <w:numId w:val="1"/>
        </w:numPr>
        <w:spacing w:after="0" w:line="480" w:lineRule="auto"/>
        <w:ind w:left="426" w:hanging="426"/>
        <w:jc w:val="center"/>
        <w:outlineLvl w:val="1"/>
        <w:rPr>
          <w:rFonts w:ascii="Arial" w:hAnsi="Arial" w:cs="Arial"/>
          <w:b/>
          <w:sz w:val="24"/>
          <w:szCs w:val="24"/>
        </w:rPr>
      </w:pPr>
      <w:bookmarkStart w:id="65" w:name="_Toc111022782"/>
      <w:r w:rsidRPr="0035519F">
        <w:rPr>
          <w:rFonts w:ascii="Arial" w:hAnsi="Arial" w:cs="Arial"/>
          <w:b/>
          <w:sz w:val="24"/>
          <w:szCs w:val="24"/>
        </w:rPr>
        <w:t>Cara Kerja</w:t>
      </w:r>
      <w:bookmarkEnd w:id="65"/>
    </w:p>
    <w:p w14:paraId="3DCC504F" w14:textId="77777777" w:rsidR="007757AB" w:rsidRPr="0035519F" w:rsidRDefault="007757AB" w:rsidP="007757AB">
      <w:pPr>
        <w:pStyle w:val="ListParagraph"/>
        <w:numPr>
          <w:ilvl w:val="0"/>
          <w:numId w:val="7"/>
        </w:numPr>
        <w:spacing w:before="240" w:after="0" w:line="480" w:lineRule="auto"/>
        <w:ind w:left="426" w:hanging="426"/>
        <w:jc w:val="both"/>
        <w:rPr>
          <w:rFonts w:ascii="Arial" w:hAnsi="Arial" w:cs="Arial"/>
          <w:b/>
          <w:sz w:val="24"/>
          <w:szCs w:val="24"/>
        </w:rPr>
      </w:pPr>
      <w:r w:rsidRPr="0035519F">
        <w:rPr>
          <w:rFonts w:ascii="Arial" w:hAnsi="Arial" w:cs="Arial"/>
          <w:b/>
          <w:sz w:val="24"/>
          <w:szCs w:val="24"/>
        </w:rPr>
        <w:t>Alokasi Subyek</w:t>
      </w:r>
    </w:p>
    <w:p w14:paraId="6231C7E1" w14:textId="77777777" w:rsidR="007757AB" w:rsidRPr="0035519F" w:rsidRDefault="007757AB" w:rsidP="007757AB">
      <w:pPr>
        <w:pStyle w:val="ListParagraph"/>
        <w:spacing w:after="0" w:line="480" w:lineRule="auto"/>
        <w:ind w:left="426" w:firstLine="283"/>
        <w:jc w:val="both"/>
        <w:rPr>
          <w:rFonts w:ascii="Arial" w:hAnsi="Arial" w:cs="Arial"/>
          <w:sz w:val="24"/>
          <w:szCs w:val="24"/>
        </w:rPr>
      </w:pPr>
      <w:r w:rsidRPr="0035519F">
        <w:rPr>
          <w:rFonts w:ascii="Arial" w:hAnsi="Arial" w:cs="Arial"/>
          <w:sz w:val="24"/>
          <w:szCs w:val="24"/>
        </w:rPr>
        <w:t xml:space="preserve">Penelitian dilakukan pada semua </w:t>
      </w:r>
      <w:r w:rsidR="00CD2C58" w:rsidRPr="0035519F">
        <w:rPr>
          <w:rFonts w:ascii="Arial" w:hAnsi="Arial" w:cs="Arial"/>
          <w:sz w:val="24"/>
          <w:szCs w:val="24"/>
        </w:rPr>
        <w:t xml:space="preserve">sukarelawan dewasa </w:t>
      </w:r>
      <w:r w:rsidR="00CD2C58" w:rsidRPr="0035519F">
        <w:rPr>
          <w:rFonts w:ascii="Arial" w:hAnsi="Arial" w:cs="Arial"/>
          <w:i/>
          <w:sz w:val="24"/>
          <w:szCs w:val="24"/>
        </w:rPr>
        <w:t>Non Diabetes Mellitus</w:t>
      </w:r>
    </w:p>
    <w:p w14:paraId="2ACDFE99" w14:textId="77777777" w:rsidR="007757AB" w:rsidRPr="0035519F" w:rsidRDefault="007757AB" w:rsidP="007757AB">
      <w:pPr>
        <w:pStyle w:val="ListParagraph"/>
        <w:numPr>
          <w:ilvl w:val="0"/>
          <w:numId w:val="7"/>
        </w:numPr>
        <w:spacing w:line="480" w:lineRule="auto"/>
        <w:ind w:left="426" w:hanging="426"/>
        <w:jc w:val="both"/>
        <w:rPr>
          <w:rFonts w:ascii="Arial" w:hAnsi="Arial" w:cs="Arial"/>
          <w:b/>
          <w:sz w:val="24"/>
          <w:szCs w:val="24"/>
        </w:rPr>
      </w:pPr>
      <w:r w:rsidRPr="0035519F">
        <w:rPr>
          <w:rFonts w:ascii="Arial" w:hAnsi="Arial" w:cs="Arial"/>
          <w:b/>
          <w:sz w:val="24"/>
          <w:szCs w:val="24"/>
        </w:rPr>
        <w:t>Cara Penelitian</w:t>
      </w:r>
    </w:p>
    <w:p w14:paraId="3BACF0B9" w14:textId="77777777"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t>Dilakukan pencatatan identitas</w:t>
      </w:r>
      <w:r w:rsidRPr="0035519F">
        <w:rPr>
          <w:rFonts w:ascii="Arial" w:hAnsi="Arial" w:cs="Arial"/>
          <w:sz w:val="24"/>
          <w:szCs w:val="24"/>
          <w:lang w:val="id-ID"/>
        </w:rPr>
        <w:t xml:space="preserve"> pasien</w:t>
      </w:r>
      <w:r w:rsidRPr="0035519F">
        <w:rPr>
          <w:rFonts w:ascii="Arial" w:hAnsi="Arial" w:cs="Arial"/>
          <w:sz w:val="24"/>
          <w:szCs w:val="24"/>
        </w:rPr>
        <w:t xml:space="preserve"> yang memenuhi kriteria inklusi dan memberikan penjelasan lengkap</w:t>
      </w:r>
      <w:r w:rsidRPr="0035519F">
        <w:rPr>
          <w:rFonts w:ascii="Arial" w:hAnsi="Arial" w:cs="Arial"/>
          <w:sz w:val="24"/>
          <w:szCs w:val="24"/>
          <w:lang w:val="id-ID"/>
        </w:rPr>
        <w:t xml:space="preserve"> kepada pasien atau </w:t>
      </w:r>
      <w:r w:rsidRPr="0035519F">
        <w:rPr>
          <w:rFonts w:ascii="Arial" w:hAnsi="Arial" w:cs="Arial"/>
          <w:sz w:val="24"/>
          <w:szCs w:val="24"/>
          <w:lang w:val="id-ID"/>
        </w:rPr>
        <w:lastRenderedPageBreak/>
        <w:t>keluarganya</w:t>
      </w:r>
      <w:r w:rsidRPr="0035519F">
        <w:rPr>
          <w:rFonts w:ascii="Arial" w:hAnsi="Arial" w:cs="Arial"/>
          <w:sz w:val="24"/>
          <w:szCs w:val="24"/>
        </w:rPr>
        <w:t xml:space="preserve"> mengenai apa yang akan dilakukan terhadap mereka dan bila setuju mereka akan mengisi dan menandatangani </w:t>
      </w:r>
      <w:r w:rsidRPr="0035519F">
        <w:rPr>
          <w:rFonts w:ascii="Arial" w:hAnsi="Arial" w:cs="Arial"/>
          <w:i/>
          <w:sz w:val="24"/>
          <w:szCs w:val="24"/>
        </w:rPr>
        <w:t>informed consent</w:t>
      </w:r>
      <w:r w:rsidRPr="0035519F">
        <w:rPr>
          <w:rFonts w:ascii="Arial" w:hAnsi="Arial" w:cs="Arial"/>
          <w:sz w:val="24"/>
          <w:szCs w:val="24"/>
        </w:rPr>
        <w:t xml:space="preserve">. </w:t>
      </w:r>
    </w:p>
    <w:p w14:paraId="749BCB6F" w14:textId="77777777"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t xml:space="preserve">Dilakukan pemeriksaan antropometri </w:t>
      </w:r>
      <w:r w:rsidRPr="0035519F">
        <w:rPr>
          <w:rFonts w:ascii="Arial" w:hAnsi="Arial" w:cs="Arial"/>
          <w:bCs/>
          <w:sz w:val="24"/>
          <w:szCs w:val="24"/>
        </w:rPr>
        <w:t xml:space="preserve">lingkar pinggang pada subyek penelitian. </w:t>
      </w:r>
      <w:r w:rsidRPr="0035519F">
        <w:rPr>
          <w:rFonts w:ascii="Arial" w:hAnsi="Arial" w:cs="Arial"/>
          <w:sz w:val="24"/>
          <w:szCs w:val="24"/>
        </w:rPr>
        <w:t>Pengukuran ini dijadikan dasar untuk mengelompokkan</w:t>
      </w:r>
      <w:r w:rsidRPr="0035519F">
        <w:rPr>
          <w:rFonts w:ascii="Arial" w:hAnsi="Arial" w:cs="Arial"/>
          <w:spacing w:val="1"/>
          <w:sz w:val="24"/>
          <w:szCs w:val="24"/>
        </w:rPr>
        <w:t xml:space="preserve"> </w:t>
      </w:r>
      <w:r w:rsidRPr="0035519F">
        <w:rPr>
          <w:rFonts w:ascii="Arial" w:hAnsi="Arial" w:cs="Arial"/>
          <w:sz w:val="24"/>
          <w:szCs w:val="24"/>
        </w:rPr>
        <w:t>subyek</w:t>
      </w:r>
      <w:r w:rsidRPr="0035519F">
        <w:rPr>
          <w:rFonts w:ascii="Arial" w:hAnsi="Arial" w:cs="Arial"/>
          <w:spacing w:val="-1"/>
          <w:sz w:val="24"/>
          <w:szCs w:val="24"/>
        </w:rPr>
        <w:t xml:space="preserve"> </w:t>
      </w:r>
      <w:r w:rsidRPr="0035519F">
        <w:rPr>
          <w:rFonts w:ascii="Arial" w:hAnsi="Arial" w:cs="Arial"/>
          <w:sz w:val="24"/>
          <w:szCs w:val="24"/>
        </w:rPr>
        <w:t>menjadi kelompok obesitas</w:t>
      </w:r>
      <w:r w:rsidRPr="0035519F">
        <w:rPr>
          <w:rFonts w:ascii="Arial" w:hAnsi="Arial" w:cs="Arial"/>
          <w:spacing w:val="-4"/>
          <w:sz w:val="24"/>
          <w:szCs w:val="24"/>
        </w:rPr>
        <w:t xml:space="preserve"> </w:t>
      </w:r>
      <w:r w:rsidRPr="0035519F">
        <w:rPr>
          <w:rFonts w:ascii="Arial" w:hAnsi="Arial" w:cs="Arial"/>
          <w:sz w:val="24"/>
          <w:szCs w:val="24"/>
        </w:rPr>
        <w:t xml:space="preserve">sentral dan </w:t>
      </w:r>
      <w:r w:rsidR="002E13B4" w:rsidRPr="0035519F">
        <w:rPr>
          <w:rFonts w:ascii="Arial" w:hAnsi="Arial" w:cs="Arial"/>
          <w:sz w:val="24"/>
          <w:szCs w:val="24"/>
        </w:rPr>
        <w:t>tanpa obesitas sentral</w:t>
      </w:r>
      <w:r w:rsidRPr="0035519F">
        <w:rPr>
          <w:rFonts w:ascii="Arial" w:hAnsi="Arial" w:cs="Arial"/>
          <w:sz w:val="24"/>
          <w:szCs w:val="24"/>
        </w:rPr>
        <w:t xml:space="preserve">. Selain itu dilakukan pengukuran </w:t>
      </w:r>
      <w:r w:rsidRPr="0035519F">
        <w:rPr>
          <w:rFonts w:ascii="Arial" w:hAnsi="Arial" w:cs="Arial"/>
          <w:bCs/>
          <w:sz w:val="24"/>
          <w:szCs w:val="24"/>
        </w:rPr>
        <w:t xml:space="preserve">berat badan, tinggi badan, </w:t>
      </w:r>
      <w:r w:rsidR="00981646" w:rsidRPr="0035519F">
        <w:rPr>
          <w:rFonts w:ascii="Arial" w:hAnsi="Arial" w:cs="Arial"/>
          <w:bCs/>
          <w:sz w:val="24"/>
          <w:szCs w:val="24"/>
        </w:rPr>
        <w:t>IMT</w:t>
      </w:r>
      <w:r w:rsidRPr="0035519F">
        <w:rPr>
          <w:rFonts w:ascii="Arial" w:hAnsi="Arial" w:cs="Arial"/>
          <w:bCs/>
          <w:sz w:val="24"/>
          <w:szCs w:val="24"/>
        </w:rPr>
        <w:t xml:space="preserve">, lingkar </w:t>
      </w:r>
      <w:r w:rsidR="004729DF" w:rsidRPr="0035519F">
        <w:rPr>
          <w:rFonts w:ascii="Arial" w:hAnsi="Arial" w:cs="Arial"/>
          <w:bCs/>
          <w:sz w:val="24"/>
          <w:szCs w:val="24"/>
        </w:rPr>
        <w:t xml:space="preserve">pinggang, lingkar panggul, lingkar lengan atas, lingkar leher, % lemak viseral </w:t>
      </w:r>
      <w:r w:rsidRPr="0035519F">
        <w:rPr>
          <w:rFonts w:ascii="Arial" w:hAnsi="Arial" w:cs="Arial"/>
          <w:bCs/>
          <w:sz w:val="24"/>
          <w:szCs w:val="24"/>
        </w:rPr>
        <w:t>dan % lemak total</w:t>
      </w:r>
      <w:r w:rsidRPr="0035519F">
        <w:rPr>
          <w:rFonts w:ascii="Arial" w:hAnsi="Arial" w:cs="Arial"/>
          <w:sz w:val="24"/>
          <w:szCs w:val="24"/>
        </w:rPr>
        <w:t>.</w:t>
      </w:r>
    </w:p>
    <w:p w14:paraId="17D8668D" w14:textId="77777777"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t>Dilakukan</w:t>
      </w:r>
      <w:r w:rsidRPr="0035519F">
        <w:rPr>
          <w:rFonts w:ascii="Arial" w:hAnsi="Arial" w:cs="Arial"/>
          <w:spacing w:val="1"/>
          <w:sz w:val="24"/>
          <w:szCs w:val="24"/>
        </w:rPr>
        <w:t xml:space="preserve"> </w:t>
      </w:r>
      <w:r w:rsidRPr="0035519F">
        <w:rPr>
          <w:rFonts w:ascii="Arial" w:hAnsi="Arial" w:cs="Arial"/>
          <w:sz w:val="24"/>
          <w:szCs w:val="24"/>
        </w:rPr>
        <w:t>pengambilan</w:t>
      </w:r>
      <w:r w:rsidRPr="0035519F">
        <w:rPr>
          <w:rFonts w:ascii="Arial" w:hAnsi="Arial" w:cs="Arial"/>
          <w:spacing w:val="1"/>
          <w:sz w:val="24"/>
          <w:szCs w:val="24"/>
        </w:rPr>
        <w:t xml:space="preserve"> </w:t>
      </w:r>
      <w:r w:rsidRPr="0035519F">
        <w:rPr>
          <w:rFonts w:ascii="Arial" w:hAnsi="Arial" w:cs="Arial"/>
          <w:sz w:val="24"/>
          <w:szCs w:val="24"/>
        </w:rPr>
        <w:t>darah</w:t>
      </w:r>
      <w:r w:rsidRPr="0035519F">
        <w:rPr>
          <w:rFonts w:ascii="Arial" w:hAnsi="Arial" w:cs="Arial"/>
          <w:spacing w:val="1"/>
          <w:sz w:val="24"/>
          <w:szCs w:val="24"/>
        </w:rPr>
        <w:t xml:space="preserve"> </w:t>
      </w:r>
      <w:r w:rsidRPr="0035519F">
        <w:rPr>
          <w:rFonts w:ascii="Arial" w:hAnsi="Arial" w:cs="Arial"/>
          <w:sz w:val="24"/>
          <w:szCs w:val="24"/>
        </w:rPr>
        <w:t>vena</w:t>
      </w:r>
      <w:r w:rsidRPr="0035519F">
        <w:rPr>
          <w:rFonts w:ascii="Arial" w:hAnsi="Arial" w:cs="Arial"/>
          <w:spacing w:val="1"/>
          <w:sz w:val="24"/>
          <w:szCs w:val="24"/>
        </w:rPr>
        <w:t xml:space="preserve"> </w:t>
      </w:r>
      <w:r w:rsidRPr="0035519F">
        <w:rPr>
          <w:rFonts w:ascii="Arial" w:hAnsi="Arial" w:cs="Arial"/>
          <w:sz w:val="24"/>
          <w:szCs w:val="24"/>
        </w:rPr>
        <w:t>dari</w:t>
      </w:r>
      <w:r w:rsidRPr="0035519F">
        <w:rPr>
          <w:rFonts w:ascii="Arial" w:hAnsi="Arial" w:cs="Arial"/>
          <w:spacing w:val="1"/>
          <w:sz w:val="24"/>
          <w:szCs w:val="24"/>
        </w:rPr>
        <w:t xml:space="preserve"> </w:t>
      </w:r>
      <w:r w:rsidRPr="0035519F">
        <w:rPr>
          <w:rFonts w:ascii="Arial" w:hAnsi="Arial" w:cs="Arial"/>
          <w:sz w:val="24"/>
          <w:szCs w:val="24"/>
        </w:rPr>
        <w:t>vena</w:t>
      </w:r>
      <w:r w:rsidRPr="0035519F">
        <w:rPr>
          <w:rFonts w:ascii="Arial" w:hAnsi="Arial" w:cs="Arial"/>
          <w:spacing w:val="1"/>
          <w:sz w:val="24"/>
          <w:szCs w:val="24"/>
        </w:rPr>
        <w:t xml:space="preserve"> </w:t>
      </w:r>
      <w:r w:rsidRPr="0035519F">
        <w:rPr>
          <w:rFonts w:ascii="Arial" w:hAnsi="Arial" w:cs="Arial"/>
          <w:i/>
          <w:sz w:val="24"/>
          <w:szCs w:val="24"/>
        </w:rPr>
        <w:t>mediana</w:t>
      </w:r>
      <w:r w:rsidRPr="0035519F">
        <w:rPr>
          <w:rFonts w:ascii="Arial" w:hAnsi="Arial" w:cs="Arial"/>
          <w:i/>
          <w:spacing w:val="1"/>
          <w:sz w:val="24"/>
          <w:szCs w:val="24"/>
        </w:rPr>
        <w:t xml:space="preserve"> </w:t>
      </w:r>
      <w:r w:rsidRPr="0035519F">
        <w:rPr>
          <w:rFonts w:ascii="Arial" w:hAnsi="Arial" w:cs="Arial"/>
          <w:i/>
          <w:sz w:val="24"/>
          <w:szCs w:val="24"/>
        </w:rPr>
        <w:t>cubiti</w:t>
      </w:r>
      <w:r w:rsidRPr="0035519F">
        <w:rPr>
          <w:rFonts w:ascii="Arial" w:hAnsi="Arial" w:cs="Arial"/>
          <w:spacing w:val="1"/>
          <w:sz w:val="24"/>
          <w:szCs w:val="24"/>
        </w:rPr>
        <w:t xml:space="preserve"> </w:t>
      </w:r>
      <w:r w:rsidRPr="0035519F">
        <w:rPr>
          <w:rFonts w:ascii="Arial" w:hAnsi="Arial" w:cs="Arial"/>
          <w:sz w:val="24"/>
          <w:szCs w:val="24"/>
        </w:rPr>
        <w:t xml:space="preserve">sebanyak 3 cc menggunakan </w:t>
      </w:r>
      <w:r w:rsidRPr="0035519F">
        <w:rPr>
          <w:rFonts w:ascii="Arial" w:hAnsi="Arial" w:cs="Arial"/>
          <w:i/>
          <w:sz w:val="24"/>
          <w:szCs w:val="24"/>
        </w:rPr>
        <w:t xml:space="preserve">vacuum tube </w:t>
      </w:r>
      <w:r w:rsidRPr="0035519F">
        <w:rPr>
          <w:rFonts w:ascii="Arial" w:hAnsi="Arial" w:cs="Arial"/>
          <w:sz w:val="24"/>
          <w:szCs w:val="24"/>
        </w:rPr>
        <w:t>dengan penutup warna</w:t>
      </w:r>
      <w:r w:rsidRPr="0035519F">
        <w:rPr>
          <w:rFonts w:ascii="Arial" w:hAnsi="Arial" w:cs="Arial"/>
          <w:spacing w:val="1"/>
          <w:sz w:val="24"/>
          <w:szCs w:val="24"/>
        </w:rPr>
        <w:t xml:space="preserve"> </w:t>
      </w:r>
      <w:r w:rsidRPr="0035519F">
        <w:rPr>
          <w:rFonts w:ascii="Arial" w:hAnsi="Arial" w:cs="Arial"/>
          <w:sz w:val="24"/>
          <w:szCs w:val="24"/>
        </w:rPr>
        <w:t xml:space="preserve">merah (tanpa antikoagulan dan mengandung </w:t>
      </w:r>
      <w:r w:rsidRPr="0035519F">
        <w:rPr>
          <w:rFonts w:ascii="Arial" w:hAnsi="Arial" w:cs="Arial"/>
          <w:i/>
          <w:sz w:val="24"/>
          <w:szCs w:val="24"/>
        </w:rPr>
        <w:t>clot activator</w:t>
      </w:r>
      <w:r w:rsidRPr="0035519F">
        <w:rPr>
          <w:rFonts w:ascii="Arial" w:hAnsi="Arial" w:cs="Arial"/>
          <w:sz w:val="24"/>
          <w:szCs w:val="24"/>
        </w:rPr>
        <w:t>). Serum</w:t>
      </w:r>
      <w:r w:rsidRPr="0035519F">
        <w:rPr>
          <w:rFonts w:ascii="Arial" w:hAnsi="Arial" w:cs="Arial"/>
          <w:spacing w:val="1"/>
          <w:sz w:val="24"/>
          <w:szCs w:val="24"/>
        </w:rPr>
        <w:t xml:space="preserve"> </w:t>
      </w:r>
      <w:r w:rsidRPr="0035519F">
        <w:rPr>
          <w:rFonts w:ascii="Arial" w:hAnsi="Arial" w:cs="Arial"/>
          <w:sz w:val="24"/>
          <w:szCs w:val="24"/>
        </w:rPr>
        <w:t>diperoleh</w:t>
      </w:r>
      <w:r w:rsidRPr="0035519F">
        <w:rPr>
          <w:rFonts w:ascii="Arial" w:hAnsi="Arial" w:cs="Arial"/>
          <w:spacing w:val="1"/>
          <w:sz w:val="24"/>
          <w:szCs w:val="24"/>
        </w:rPr>
        <w:t xml:space="preserve"> </w:t>
      </w:r>
      <w:r w:rsidRPr="0035519F">
        <w:rPr>
          <w:rFonts w:ascii="Arial" w:hAnsi="Arial" w:cs="Arial"/>
          <w:sz w:val="24"/>
          <w:szCs w:val="24"/>
        </w:rPr>
        <w:t>setelah</w:t>
      </w:r>
      <w:r w:rsidRPr="0035519F">
        <w:rPr>
          <w:rFonts w:ascii="Arial" w:hAnsi="Arial" w:cs="Arial"/>
          <w:spacing w:val="1"/>
          <w:sz w:val="24"/>
          <w:szCs w:val="24"/>
        </w:rPr>
        <w:t xml:space="preserve"> </w:t>
      </w:r>
      <w:r w:rsidRPr="0035519F">
        <w:rPr>
          <w:rFonts w:ascii="Arial" w:hAnsi="Arial" w:cs="Arial"/>
          <w:sz w:val="24"/>
          <w:szCs w:val="24"/>
        </w:rPr>
        <w:t>tabung</w:t>
      </w:r>
      <w:r w:rsidRPr="0035519F">
        <w:rPr>
          <w:rFonts w:ascii="Arial" w:hAnsi="Arial" w:cs="Arial"/>
          <w:spacing w:val="1"/>
          <w:sz w:val="24"/>
          <w:szCs w:val="24"/>
        </w:rPr>
        <w:t xml:space="preserve"> </w:t>
      </w:r>
      <w:r w:rsidRPr="0035519F">
        <w:rPr>
          <w:rFonts w:ascii="Arial" w:hAnsi="Arial" w:cs="Arial"/>
          <w:sz w:val="24"/>
          <w:szCs w:val="24"/>
        </w:rPr>
        <w:t>yang</w:t>
      </w:r>
      <w:r w:rsidRPr="0035519F">
        <w:rPr>
          <w:rFonts w:ascii="Arial" w:hAnsi="Arial" w:cs="Arial"/>
          <w:spacing w:val="1"/>
          <w:sz w:val="24"/>
          <w:szCs w:val="24"/>
        </w:rPr>
        <w:t xml:space="preserve"> </w:t>
      </w:r>
      <w:r w:rsidRPr="0035519F">
        <w:rPr>
          <w:rFonts w:ascii="Arial" w:hAnsi="Arial" w:cs="Arial"/>
          <w:sz w:val="24"/>
          <w:szCs w:val="24"/>
        </w:rPr>
        <w:t>berisi</w:t>
      </w:r>
      <w:r w:rsidRPr="0035519F">
        <w:rPr>
          <w:rFonts w:ascii="Arial" w:hAnsi="Arial" w:cs="Arial"/>
          <w:spacing w:val="1"/>
          <w:sz w:val="24"/>
          <w:szCs w:val="24"/>
        </w:rPr>
        <w:t xml:space="preserve"> </w:t>
      </w:r>
      <w:r w:rsidRPr="0035519F">
        <w:rPr>
          <w:rFonts w:ascii="Arial" w:hAnsi="Arial" w:cs="Arial"/>
          <w:sz w:val="24"/>
          <w:szCs w:val="24"/>
        </w:rPr>
        <w:t>darah</w:t>
      </w:r>
      <w:r w:rsidRPr="0035519F">
        <w:rPr>
          <w:rFonts w:ascii="Arial" w:hAnsi="Arial" w:cs="Arial"/>
          <w:spacing w:val="1"/>
          <w:sz w:val="24"/>
          <w:szCs w:val="24"/>
        </w:rPr>
        <w:t xml:space="preserve"> </w:t>
      </w:r>
      <w:r w:rsidRPr="0035519F">
        <w:rPr>
          <w:rFonts w:ascii="Arial" w:hAnsi="Arial" w:cs="Arial"/>
          <w:sz w:val="24"/>
          <w:szCs w:val="24"/>
        </w:rPr>
        <w:t>dibiarkan</w:t>
      </w:r>
      <w:r w:rsidRPr="0035519F">
        <w:rPr>
          <w:rFonts w:ascii="Arial" w:hAnsi="Arial" w:cs="Arial"/>
          <w:spacing w:val="1"/>
          <w:sz w:val="24"/>
          <w:szCs w:val="24"/>
        </w:rPr>
        <w:t xml:space="preserve"> </w:t>
      </w:r>
      <w:r w:rsidRPr="0035519F">
        <w:rPr>
          <w:rFonts w:ascii="Arial" w:hAnsi="Arial" w:cs="Arial"/>
          <w:sz w:val="24"/>
          <w:szCs w:val="24"/>
        </w:rPr>
        <w:t>membeku</w:t>
      </w:r>
      <w:r w:rsidR="00FD7137" w:rsidRPr="0035519F">
        <w:rPr>
          <w:rFonts w:ascii="Arial" w:hAnsi="Arial" w:cs="Arial"/>
          <w:sz w:val="24"/>
          <w:szCs w:val="24"/>
        </w:rPr>
        <w:t xml:space="preserve"> </w:t>
      </w:r>
      <w:r w:rsidRPr="0035519F">
        <w:rPr>
          <w:rFonts w:ascii="Arial" w:hAnsi="Arial" w:cs="Arial"/>
          <w:sz w:val="24"/>
          <w:szCs w:val="24"/>
        </w:rPr>
        <w:t>selama</w:t>
      </w:r>
      <w:r w:rsidRPr="0035519F">
        <w:rPr>
          <w:rFonts w:ascii="Arial" w:hAnsi="Arial" w:cs="Arial"/>
          <w:spacing w:val="1"/>
          <w:sz w:val="24"/>
          <w:szCs w:val="24"/>
        </w:rPr>
        <w:t xml:space="preserve"> </w:t>
      </w:r>
      <w:r w:rsidRPr="0035519F">
        <w:rPr>
          <w:rFonts w:ascii="Arial" w:hAnsi="Arial" w:cs="Arial"/>
          <w:sz w:val="24"/>
          <w:szCs w:val="24"/>
        </w:rPr>
        <w:t>30</w:t>
      </w:r>
      <w:r w:rsidRPr="0035519F">
        <w:rPr>
          <w:rFonts w:ascii="Arial" w:hAnsi="Arial" w:cs="Arial"/>
          <w:spacing w:val="1"/>
          <w:sz w:val="24"/>
          <w:szCs w:val="24"/>
        </w:rPr>
        <w:t xml:space="preserve"> </w:t>
      </w:r>
      <w:r w:rsidRPr="0035519F">
        <w:rPr>
          <w:rFonts w:ascii="Arial" w:hAnsi="Arial" w:cs="Arial"/>
          <w:sz w:val="24"/>
          <w:szCs w:val="24"/>
        </w:rPr>
        <w:t>menit</w:t>
      </w:r>
      <w:r w:rsidRPr="0035519F">
        <w:rPr>
          <w:rFonts w:ascii="Arial" w:hAnsi="Arial" w:cs="Arial"/>
          <w:spacing w:val="1"/>
          <w:sz w:val="24"/>
          <w:szCs w:val="24"/>
        </w:rPr>
        <w:t xml:space="preserve"> </w:t>
      </w:r>
      <w:r w:rsidRPr="0035519F">
        <w:rPr>
          <w:rFonts w:ascii="Arial" w:hAnsi="Arial" w:cs="Arial"/>
          <w:sz w:val="24"/>
          <w:szCs w:val="24"/>
        </w:rPr>
        <w:t>pada</w:t>
      </w:r>
      <w:r w:rsidRPr="0035519F">
        <w:rPr>
          <w:rFonts w:ascii="Arial" w:hAnsi="Arial" w:cs="Arial"/>
          <w:spacing w:val="1"/>
          <w:sz w:val="24"/>
          <w:szCs w:val="24"/>
        </w:rPr>
        <w:t xml:space="preserve"> </w:t>
      </w:r>
      <w:r w:rsidRPr="0035519F">
        <w:rPr>
          <w:rFonts w:ascii="Arial" w:hAnsi="Arial" w:cs="Arial"/>
          <w:sz w:val="24"/>
          <w:szCs w:val="24"/>
        </w:rPr>
        <w:t>suhu</w:t>
      </w:r>
      <w:r w:rsidRPr="0035519F">
        <w:rPr>
          <w:rFonts w:ascii="Arial" w:hAnsi="Arial" w:cs="Arial"/>
          <w:spacing w:val="1"/>
          <w:sz w:val="24"/>
          <w:szCs w:val="24"/>
        </w:rPr>
        <w:t xml:space="preserve"> </w:t>
      </w:r>
      <w:r w:rsidRPr="0035519F">
        <w:rPr>
          <w:rFonts w:ascii="Arial" w:hAnsi="Arial" w:cs="Arial"/>
          <w:sz w:val="24"/>
          <w:szCs w:val="24"/>
        </w:rPr>
        <w:t>ruangan</w:t>
      </w:r>
      <w:r w:rsidRPr="0035519F">
        <w:rPr>
          <w:rFonts w:ascii="Arial" w:hAnsi="Arial" w:cs="Arial"/>
          <w:spacing w:val="1"/>
          <w:sz w:val="24"/>
          <w:szCs w:val="24"/>
        </w:rPr>
        <w:t xml:space="preserve"> </w:t>
      </w:r>
      <w:r w:rsidRPr="0035519F">
        <w:rPr>
          <w:rFonts w:ascii="Arial" w:hAnsi="Arial" w:cs="Arial"/>
          <w:sz w:val="24"/>
          <w:szCs w:val="24"/>
        </w:rPr>
        <w:t>dan</w:t>
      </w:r>
      <w:r w:rsidRPr="0035519F">
        <w:rPr>
          <w:rFonts w:ascii="Arial" w:hAnsi="Arial" w:cs="Arial"/>
          <w:spacing w:val="1"/>
          <w:sz w:val="24"/>
          <w:szCs w:val="24"/>
        </w:rPr>
        <w:t xml:space="preserve"> </w:t>
      </w:r>
      <w:r w:rsidRPr="0035519F">
        <w:rPr>
          <w:rFonts w:ascii="Arial" w:hAnsi="Arial" w:cs="Arial"/>
          <w:sz w:val="24"/>
          <w:szCs w:val="24"/>
        </w:rPr>
        <w:t>disentrifus</w:t>
      </w:r>
      <w:r w:rsidRPr="0035519F">
        <w:rPr>
          <w:rFonts w:ascii="Arial" w:hAnsi="Arial" w:cs="Arial"/>
          <w:spacing w:val="66"/>
          <w:sz w:val="24"/>
          <w:szCs w:val="24"/>
        </w:rPr>
        <w:t xml:space="preserve"> </w:t>
      </w:r>
      <w:r w:rsidRPr="0035519F">
        <w:rPr>
          <w:rFonts w:ascii="Arial" w:hAnsi="Arial" w:cs="Arial"/>
          <w:sz w:val="24"/>
          <w:szCs w:val="24"/>
        </w:rPr>
        <w:t>selama</w:t>
      </w:r>
      <w:r w:rsidRPr="0035519F">
        <w:rPr>
          <w:rFonts w:ascii="Arial" w:hAnsi="Arial" w:cs="Arial"/>
          <w:spacing w:val="67"/>
          <w:sz w:val="24"/>
          <w:szCs w:val="24"/>
        </w:rPr>
        <w:t xml:space="preserve"> </w:t>
      </w:r>
      <w:r w:rsidRPr="0035519F">
        <w:rPr>
          <w:rFonts w:ascii="Arial" w:hAnsi="Arial" w:cs="Arial"/>
          <w:sz w:val="24"/>
          <w:szCs w:val="24"/>
        </w:rPr>
        <w:t>5</w:t>
      </w:r>
      <w:r w:rsidR="00C53DE0" w:rsidRPr="0035519F">
        <w:rPr>
          <w:rFonts w:ascii="Arial" w:hAnsi="Arial" w:cs="Arial"/>
          <w:sz w:val="24"/>
          <w:szCs w:val="24"/>
        </w:rPr>
        <w:t xml:space="preserve"> </w:t>
      </w:r>
      <w:r w:rsidRPr="0035519F">
        <w:rPr>
          <w:rFonts w:ascii="Arial" w:hAnsi="Arial" w:cs="Arial"/>
          <w:spacing w:val="-64"/>
          <w:sz w:val="24"/>
          <w:szCs w:val="24"/>
        </w:rPr>
        <w:t xml:space="preserve">  </w:t>
      </w:r>
      <w:r w:rsidRPr="0035519F">
        <w:rPr>
          <w:rFonts w:ascii="Arial" w:hAnsi="Arial" w:cs="Arial"/>
          <w:sz w:val="24"/>
          <w:szCs w:val="24"/>
        </w:rPr>
        <w:t>menit dengan kecepatan 3000 rpm. Sampel serum ikterik, lipemik</w:t>
      </w:r>
      <w:r w:rsidRPr="0035519F">
        <w:rPr>
          <w:rFonts w:ascii="Arial" w:hAnsi="Arial" w:cs="Arial"/>
          <w:spacing w:val="1"/>
          <w:sz w:val="24"/>
          <w:szCs w:val="24"/>
        </w:rPr>
        <w:t xml:space="preserve"> </w:t>
      </w:r>
      <w:r w:rsidRPr="0035519F">
        <w:rPr>
          <w:rFonts w:ascii="Arial" w:hAnsi="Arial" w:cs="Arial"/>
          <w:sz w:val="24"/>
          <w:szCs w:val="24"/>
        </w:rPr>
        <w:t>atau</w:t>
      </w:r>
      <w:r w:rsidRPr="0035519F">
        <w:rPr>
          <w:rFonts w:ascii="Arial" w:hAnsi="Arial" w:cs="Arial"/>
          <w:spacing w:val="1"/>
          <w:sz w:val="24"/>
          <w:szCs w:val="24"/>
        </w:rPr>
        <w:t xml:space="preserve"> </w:t>
      </w:r>
      <w:r w:rsidRPr="0035519F">
        <w:rPr>
          <w:rFonts w:ascii="Arial" w:hAnsi="Arial" w:cs="Arial"/>
          <w:sz w:val="24"/>
          <w:szCs w:val="24"/>
        </w:rPr>
        <w:t>hemolisis</w:t>
      </w:r>
      <w:r w:rsidRPr="0035519F">
        <w:rPr>
          <w:rFonts w:ascii="Arial" w:hAnsi="Arial" w:cs="Arial"/>
          <w:spacing w:val="1"/>
          <w:sz w:val="24"/>
          <w:szCs w:val="24"/>
        </w:rPr>
        <w:t xml:space="preserve"> </w:t>
      </w:r>
      <w:r w:rsidRPr="0035519F">
        <w:rPr>
          <w:rFonts w:ascii="Arial" w:hAnsi="Arial" w:cs="Arial"/>
          <w:sz w:val="24"/>
          <w:szCs w:val="24"/>
        </w:rPr>
        <w:t>dikeluarkan</w:t>
      </w:r>
      <w:r w:rsidRPr="0035519F">
        <w:rPr>
          <w:rFonts w:ascii="Arial" w:hAnsi="Arial" w:cs="Arial"/>
          <w:spacing w:val="1"/>
          <w:sz w:val="24"/>
          <w:szCs w:val="24"/>
        </w:rPr>
        <w:t xml:space="preserve"> </w:t>
      </w:r>
      <w:r w:rsidRPr="0035519F">
        <w:rPr>
          <w:rFonts w:ascii="Arial" w:hAnsi="Arial" w:cs="Arial"/>
          <w:sz w:val="24"/>
          <w:szCs w:val="24"/>
        </w:rPr>
        <w:t>dari</w:t>
      </w:r>
      <w:r w:rsidRPr="0035519F">
        <w:rPr>
          <w:rFonts w:ascii="Arial" w:hAnsi="Arial" w:cs="Arial"/>
          <w:spacing w:val="1"/>
          <w:sz w:val="24"/>
          <w:szCs w:val="24"/>
        </w:rPr>
        <w:t xml:space="preserve"> </w:t>
      </w:r>
      <w:r w:rsidRPr="0035519F">
        <w:rPr>
          <w:rFonts w:ascii="Arial" w:hAnsi="Arial" w:cs="Arial"/>
          <w:sz w:val="24"/>
          <w:szCs w:val="24"/>
        </w:rPr>
        <w:t>penelitian</w:t>
      </w:r>
      <w:r w:rsidRPr="0035519F">
        <w:rPr>
          <w:rFonts w:ascii="Arial" w:hAnsi="Arial" w:cs="Arial"/>
          <w:spacing w:val="1"/>
          <w:sz w:val="24"/>
          <w:szCs w:val="24"/>
        </w:rPr>
        <w:t xml:space="preserve"> </w:t>
      </w:r>
      <w:r w:rsidRPr="0035519F">
        <w:rPr>
          <w:rFonts w:ascii="Arial" w:hAnsi="Arial" w:cs="Arial"/>
          <w:sz w:val="24"/>
          <w:szCs w:val="24"/>
        </w:rPr>
        <w:t>ini.</w:t>
      </w:r>
      <w:r w:rsidRPr="0035519F">
        <w:rPr>
          <w:rFonts w:ascii="Arial" w:hAnsi="Arial" w:cs="Arial"/>
          <w:spacing w:val="1"/>
          <w:sz w:val="24"/>
          <w:szCs w:val="24"/>
        </w:rPr>
        <w:t xml:space="preserve"> </w:t>
      </w:r>
      <w:r w:rsidRPr="0035519F">
        <w:rPr>
          <w:rFonts w:ascii="Arial" w:hAnsi="Arial" w:cs="Arial"/>
          <w:sz w:val="24"/>
          <w:szCs w:val="24"/>
        </w:rPr>
        <w:t>Sampel</w:t>
      </w:r>
      <w:r w:rsidRPr="0035519F">
        <w:rPr>
          <w:rFonts w:ascii="Arial" w:hAnsi="Arial" w:cs="Arial"/>
          <w:spacing w:val="1"/>
          <w:sz w:val="24"/>
          <w:szCs w:val="24"/>
        </w:rPr>
        <w:t xml:space="preserve"> </w:t>
      </w:r>
      <w:r w:rsidRPr="0035519F">
        <w:rPr>
          <w:rFonts w:ascii="Arial" w:hAnsi="Arial" w:cs="Arial"/>
          <w:sz w:val="24"/>
          <w:szCs w:val="24"/>
        </w:rPr>
        <w:t>biologis</w:t>
      </w:r>
      <w:r w:rsidRPr="0035519F">
        <w:rPr>
          <w:rFonts w:ascii="Arial" w:hAnsi="Arial" w:cs="Arial"/>
          <w:spacing w:val="1"/>
          <w:sz w:val="24"/>
          <w:szCs w:val="24"/>
        </w:rPr>
        <w:t xml:space="preserve"> </w:t>
      </w:r>
      <w:r w:rsidRPr="0035519F">
        <w:rPr>
          <w:rFonts w:ascii="Arial" w:hAnsi="Arial" w:cs="Arial"/>
          <w:sz w:val="24"/>
          <w:szCs w:val="24"/>
        </w:rPr>
        <w:t>disimpan</w:t>
      </w:r>
      <w:r w:rsidRPr="0035519F">
        <w:rPr>
          <w:rFonts w:ascii="Arial" w:hAnsi="Arial" w:cs="Arial"/>
          <w:spacing w:val="-2"/>
          <w:sz w:val="24"/>
          <w:szCs w:val="24"/>
        </w:rPr>
        <w:t xml:space="preserve"> </w:t>
      </w:r>
      <w:r w:rsidRPr="0035519F">
        <w:rPr>
          <w:rFonts w:ascii="Arial" w:hAnsi="Arial" w:cs="Arial"/>
          <w:sz w:val="24"/>
          <w:szCs w:val="24"/>
        </w:rPr>
        <w:t>pada</w:t>
      </w:r>
      <w:r w:rsidRPr="0035519F">
        <w:rPr>
          <w:rFonts w:ascii="Arial" w:hAnsi="Arial" w:cs="Arial"/>
          <w:spacing w:val="-1"/>
          <w:sz w:val="24"/>
          <w:szCs w:val="24"/>
        </w:rPr>
        <w:t xml:space="preserve"> </w:t>
      </w:r>
      <w:r w:rsidRPr="0035519F">
        <w:rPr>
          <w:rFonts w:ascii="Arial" w:hAnsi="Arial" w:cs="Arial"/>
          <w:sz w:val="24"/>
          <w:szCs w:val="24"/>
        </w:rPr>
        <w:t>suhu</w:t>
      </w:r>
      <w:r w:rsidRPr="0035519F">
        <w:rPr>
          <w:rFonts w:ascii="Arial" w:hAnsi="Arial" w:cs="Arial"/>
          <w:spacing w:val="2"/>
          <w:sz w:val="24"/>
          <w:szCs w:val="24"/>
        </w:rPr>
        <w:t xml:space="preserve"> </w:t>
      </w:r>
      <w:r w:rsidRPr="0035519F">
        <w:rPr>
          <w:rFonts w:ascii="Arial" w:hAnsi="Arial" w:cs="Arial"/>
          <w:sz w:val="24"/>
          <w:szCs w:val="24"/>
        </w:rPr>
        <w:t>-20</w:t>
      </w:r>
      <w:r w:rsidRPr="0035519F">
        <w:rPr>
          <w:rFonts w:ascii="Arial" w:hAnsi="Arial" w:cs="Arial"/>
          <w:position w:val="8"/>
          <w:sz w:val="24"/>
          <w:szCs w:val="24"/>
          <w:vertAlign w:val="superscript"/>
        </w:rPr>
        <w:t>o</w:t>
      </w:r>
      <w:r w:rsidRPr="0035519F">
        <w:rPr>
          <w:rFonts w:ascii="Arial" w:hAnsi="Arial" w:cs="Arial"/>
          <w:sz w:val="24"/>
          <w:szCs w:val="24"/>
        </w:rPr>
        <w:t>C</w:t>
      </w:r>
      <w:r w:rsidRPr="0035519F">
        <w:rPr>
          <w:rFonts w:ascii="Arial" w:hAnsi="Arial" w:cs="Arial"/>
          <w:spacing w:val="-1"/>
          <w:sz w:val="24"/>
          <w:szCs w:val="24"/>
        </w:rPr>
        <w:t xml:space="preserve"> </w:t>
      </w:r>
      <w:r w:rsidRPr="0035519F">
        <w:rPr>
          <w:rFonts w:ascii="Arial" w:hAnsi="Arial" w:cs="Arial"/>
          <w:sz w:val="24"/>
          <w:szCs w:val="24"/>
        </w:rPr>
        <w:t>hingga</w:t>
      </w:r>
      <w:r w:rsidRPr="0035519F">
        <w:rPr>
          <w:rFonts w:ascii="Arial" w:hAnsi="Arial" w:cs="Arial"/>
          <w:spacing w:val="-1"/>
          <w:sz w:val="24"/>
          <w:szCs w:val="24"/>
        </w:rPr>
        <w:t xml:space="preserve"> </w:t>
      </w:r>
      <w:r w:rsidRPr="0035519F">
        <w:rPr>
          <w:rFonts w:ascii="Arial" w:hAnsi="Arial" w:cs="Arial"/>
          <w:sz w:val="24"/>
          <w:szCs w:val="24"/>
        </w:rPr>
        <w:t>jumlah</w:t>
      </w:r>
      <w:r w:rsidRPr="0035519F">
        <w:rPr>
          <w:rFonts w:ascii="Arial" w:hAnsi="Arial" w:cs="Arial"/>
          <w:spacing w:val="-1"/>
          <w:sz w:val="24"/>
          <w:szCs w:val="24"/>
        </w:rPr>
        <w:t xml:space="preserve"> </w:t>
      </w:r>
      <w:r w:rsidRPr="0035519F">
        <w:rPr>
          <w:rFonts w:ascii="Arial" w:hAnsi="Arial" w:cs="Arial"/>
          <w:sz w:val="24"/>
          <w:szCs w:val="24"/>
        </w:rPr>
        <w:t>sampel</w:t>
      </w:r>
      <w:r w:rsidRPr="0035519F">
        <w:rPr>
          <w:rFonts w:ascii="Arial" w:hAnsi="Arial" w:cs="Arial"/>
          <w:spacing w:val="-4"/>
          <w:sz w:val="24"/>
          <w:szCs w:val="24"/>
        </w:rPr>
        <w:t xml:space="preserve"> </w:t>
      </w:r>
      <w:r w:rsidRPr="0035519F">
        <w:rPr>
          <w:rFonts w:ascii="Arial" w:hAnsi="Arial" w:cs="Arial"/>
          <w:sz w:val="24"/>
          <w:szCs w:val="24"/>
        </w:rPr>
        <w:t xml:space="preserve">mencukupi. </w:t>
      </w:r>
    </w:p>
    <w:p w14:paraId="63E2E133" w14:textId="6D96E8E1"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t>Dilakukan tes</w:t>
      </w:r>
      <w:r w:rsidRPr="0035519F">
        <w:rPr>
          <w:rFonts w:ascii="Arial" w:hAnsi="Arial" w:cs="Arial"/>
          <w:spacing w:val="1"/>
          <w:sz w:val="24"/>
          <w:szCs w:val="24"/>
        </w:rPr>
        <w:t xml:space="preserve"> </w:t>
      </w:r>
      <w:r w:rsidRPr="0035519F">
        <w:rPr>
          <w:rFonts w:ascii="Arial" w:hAnsi="Arial" w:cs="Arial"/>
          <w:sz w:val="24"/>
          <w:szCs w:val="24"/>
        </w:rPr>
        <w:t>insulin dengan metode</w:t>
      </w:r>
      <w:r w:rsidRPr="0035519F">
        <w:rPr>
          <w:rFonts w:ascii="Arial" w:hAnsi="Arial" w:cs="Arial"/>
          <w:spacing w:val="1"/>
          <w:sz w:val="24"/>
          <w:szCs w:val="24"/>
        </w:rPr>
        <w:t xml:space="preserve"> </w:t>
      </w:r>
      <w:r w:rsidRPr="0035519F">
        <w:rPr>
          <w:rFonts w:ascii="Arial" w:hAnsi="Arial" w:cs="Arial"/>
          <w:i/>
          <w:sz w:val="24"/>
          <w:szCs w:val="24"/>
        </w:rPr>
        <w:t>electro-chemiluminescence</w:t>
      </w:r>
      <w:r w:rsidRPr="0035519F">
        <w:rPr>
          <w:rFonts w:ascii="Arial" w:hAnsi="Arial" w:cs="Arial"/>
          <w:i/>
          <w:spacing w:val="1"/>
          <w:sz w:val="24"/>
          <w:szCs w:val="24"/>
        </w:rPr>
        <w:t xml:space="preserve"> </w:t>
      </w:r>
      <w:r w:rsidRPr="0035519F">
        <w:rPr>
          <w:rFonts w:ascii="Arial" w:hAnsi="Arial" w:cs="Arial"/>
          <w:i/>
          <w:sz w:val="24"/>
          <w:szCs w:val="24"/>
        </w:rPr>
        <w:t>immunoassay</w:t>
      </w:r>
      <w:r w:rsidRPr="0035519F">
        <w:rPr>
          <w:rFonts w:ascii="Arial" w:hAnsi="Arial" w:cs="Arial"/>
          <w:i/>
          <w:spacing w:val="47"/>
          <w:sz w:val="24"/>
          <w:szCs w:val="24"/>
        </w:rPr>
        <w:t xml:space="preserve"> </w:t>
      </w:r>
      <w:r w:rsidR="003964BA" w:rsidRPr="0035519F">
        <w:rPr>
          <w:rFonts w:ascii="Arial" w:hAnsi="Arial" w:cs="Arial"/>
          <w:sz w:val="24"/>
          <w:szCs w:val="24"/>
        </w:rPr>
        <w:t>(</w:t>
      </w:r>
      <w:r w:rsidR="00A6398E" w:rsidRPr="0035519F">
        <w:rPr>
          <w:rFonts w:ascii="Arial" w:hAnsi="Arial" w:cs="Arial"/>
          <w:sz w:val="24"/>
          <w:szCs w:val="24"/>
        </w:rPr>
        <w:t>E</w:t>
      </w:r>
      <w:r w:rsidRPr="0035519F">
        <w:rPr>
          <w:rFonts w:ascii="Arial" w:hAnsi="Arial" w:cs="Arial"/>
          <w:sz w:val="24"/>
          <w:szCs w:val="24"/>
        </w:rPr>
        <w:t xml:space="preserve">CLIA) di Laboratorium Patologi Klinik </w:t>
      </w:r>
      <w:r w:rsidRPr="0035519F">
        <w:rPr>
          <w:rFonts w:ascii="Arial" w:hAnsi="Arial" w:cs="Arial"/>
          <w:sz w:val="24"/>
          <w:szCs w:val="24"/>
          <w:lang w:val="id-ID"/>
        </w:rPr>
        <w:t>RS</w:t>
      </w:r>
      <w:r w:rsidR="003964BA" w:rsidRPr="0035519F">
        <w:rPr>
          <w:rFonts w:ascii="Arial" w:hAnsi="Arial" w:cs="Arial"/>
          <w:sz w:val="24"/>
          <w:szCs w:val="24"/>
        </w:rPr>
        <w:t>UD</w:t>
      </w:r>
      <w:r w:rsidR="00A6398E" w:rsidRPr="0035519F">
        <w:rPr>
          <w:rFonts w:ascii="Arial" w:hAnsi="Arial" w:cs="Arial"/>
          <w:sz w:val="24"/>
          <w:szCs w:val="24"/>
        </w:rPr>
        <w:t xml:space="preserve"> </w:t>
      </w:r>
      <w:r w:rsidR="003964BA" w:rsidRPr="0035519F">
        <w:rPr>
          <w:rFonts w:ascii="Arial" w:hAnsi="Arial" w:cs="Arial"/>
          <w:sz w:val="24"/>
          <w:szCs w:val="24"/>
        </w:rPr>
        <w:t>Labuang Baji</w:t>
      </w:r>
      <w:r w:rsidR="00461E06" w:rsidRPr="0035519F">
        <w:rPr>
          <w:rFonts w:ascii="Arial" w:hAnsi="Arial" w:cs="Arial"/>
          <w:sz w:val="24"/>
          <w:szCs w:val="24"/>
        </w:rPr>
        <w:t xml:space="preserve"> Provinsi </w:t>
      </w:r>
      <w:r w:rsidR="003964BA" w:rsidRPr="0035519F">
        <w:rPr>
          <w:rFonts w:ascii="Arial" w:hAnsi="Arial" w:cs="Arial"/>
          <w:sz w:val="24"/>
          <w:szCs w:val="24"/>
        </w:rPr>
        <w:t>Sul</w:t>
      </w:r>
      <w:r w:rsidR="00461E06" w:rsidRPr="0035519F">
        <w:rPr>
          <w:rFonts w:ascii="Arial" w:hAnsi="Arial" w:cs="Arial"/>
          <w:sz w:val="24"/>
          <w:szCs w:val="24"/>
        </w:rPr>
        <w:t>awaei S</w:t>
      </w:r>
      <w:r w:rsidR="003964BA" w:rsidRPr="0035519F">
        <w:rPr>
          <w:rFonts w:ascii="Arial" w:hAnsi="Arial" w:cs="Arial"/>
          <w:sz w:val="24"/>
          <w:szCs w:val="24"/>
        </w:rPr>
        <w:t>el</w:t>
      </w:r>
      <w:r w:rsidR="00461E06" w:rsidRPr="0035519F">
        <w:rPr>
          <w:rFonts w:ascii="Arial" w:hAnsi="Arial" w:cs="Arial"/>
          <w:sz w:val="24"/>
          <w:szCs w:val="24"/>
        </w:rPr>
        <w:t>atan</w:t>
      </w:r>
      <w:r w:rsidRPr="0035519F">
        <w:rPr>
          <w:rFonts w:ascii="Arial" w:hAnsi="Arial" w:cs="Arial"/>
          <w:sz w:val="24"/>
          <w:szCs w:val="24"/>
        </w:rPr>
        <w:t xml:space="preserve">. </w:t>
      </w:r>
    </w:p>
    <w:p w14:paraId="11E6414A" w14:textId="77777777"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t>Dilakukan tes</w:t>
      </w:r>
      <w:r w:rsidRPr="0035519F">
        <w:rPr>
          <w:rFonts w:ascii="Arial" w:hAnsi="Arial" w:cs="Arial"/>
          <w:spacing w:val="1"/>
          <w:sz w:val="24"/>
          <w:szCs w:val="24"/>
        </w:rPr>
        <w:t xml:space="preserve"> </w:t>
      </w:r>
      <w:r w:rsidRPr="0035519F">
        <w:rPr>
          <w:rFonts w:ascii="Arial" w:hAnsi="Arial" w:cs="Arial"/>
          <w:sz w:val="24"/>
          <w:szCs w:val="24"/>
        </w:rPr>
        <w:t>glukosa</w:t>
      </w:r>
      <w:r w:rsidRPr="0035519F">
        <w:rPr>
          <w:rFonts w:ascii="Arial" w:hAnsi="Arial" w:cs="Arial"/>
          <w:spacing w:val="1"/>
          <w:sz w:val="24"/>
          <w:szCs w:val="24"/>
        </w:rPr>
        <w:t xml:space="preserve"> </w:t>
      </w:r>
      <w:r w:rsidRPr="0035519F">
        <w:rPr>
          <w:rFonts w:ascii="Arial" w:hAnsi="Arial" w:cs="Arial"/>
          <w:sz w:val="24"/>
          <w:szCs w:val="24"/>
        </w:rPr>
        <w:t>dengan</w:t>
      </w:r>
      <w:r w:rsidRPr="0035519F">
        <w:rPr>
          <w:rFonts w:ascii="Arial" w:hAnsi="Arial" w:cs="Arial"/>
          <w:spacing w:val="1"/>
          <w:sz w:val="24"/>
          <w:szCs w:val="24"/>
        </w:rPr>
        <w:t xml:space="preserve"> </w:t>
      </w:r>
      <w:r w:rsidRPr="0035519F">
        <w:rPr>
          <w:rFonts w:ascii="Arial" w:hAnsi="Arial" w:cs="Arial"/>
          <w:sz w:val="24"/>
          <w:szCs w:val="24"/>
        </w:rPr>
        <w:t>metode</w:t>
      </w:r>
      <w:r w:rsidRPr="0035519F">
        <w:rPr>
          <w:rFonts w:ascii="Arial" w:hAnsi="Arial" w:cs="Arial"/>
          <w:spacing w:val="1"/>
          <w:sz w:val="24"/>
          <w:szCs w:val="24"/>
        </w:rPr>
        <w:t xml:space="preserve"> </w:t>
      </w:r>
      <w:r w:rsidRPr="0035519F">
        <w:rPr>
          <w:rFonts w:ascii="Arial" w:hAnsi="Arial" w:cs="Arial"/>
          <w:sz w:val="24"/>
          <w:szCs w:val="24"/>
        </w:rPr>
        <w:t>enzimatik</w:t>
      </w:r>
      <w:r w:rsidRPr="0035519F">
        <w:rPr>
          <w:rFonts w:ascii="Arial" w:hAnsi="Arial" w:cs="Arial"/>
          <w:spacing w:val="1"/>
          <w:sz w:val="24"/>
          <w:szCs w:val="24"/>
        </w:rPr>
        <w:t xml:space="preserve"> </w:t>
      </w:r>
      <w:r w:rsidRPr="0035519F">
        <w:rPr>
          <w:rFonts w:ascii="Arial" w:hAnsi="Arial" w:cs="Arial"/>
          <w:i/>
          <w:sz w:val="24"/>
          <w:szCs w:val="24"/>
        </w:rPr>
        <w:t>hexokinase</w:t>
      </w:r>
      <w:r w:rsidRPr="0035519F">
        <w:rPr>
          <w:rFonts w:ascii="Arial" w:hAnsi="Arial" w:cs="Arial"/>
          <w:i/>
          <w:spacing w:val="1"/>
          <w:sz w:val="24"/>
          <w:szCs w:val="24"/>
        </w:rPr>
        <w:t xml:space="preserve"> </w:t>
      </w:r>
      <w:r w:rsidRPr="0035519F">
        <w:rPr>
          <w:rFonts w:ascii="Arial" w:hAnsi="Arial" w:cs="Arial"/>
          <w:sz w:val="24"/>
          <w:szCs w:val="24"/>
        </w:rPr>
        <w:t>di</w:t>
      </w:r>
      <w:r w:rsidRPr="0035519F">
        <w:rPr>
          <w:rFonts w:ascii="Arial" w:hAnsi="Arial" w:cs="Arial"/>
          <w:spacing w:val="1"/>
          <w:sz w:val="24"/>
          <w:szCs w:val="24"/>
        </w:rPr>
        <w:t xml:space="preserve"> </w:t>
      </w:r>
      <w:r w:rsidRPr="0035519F">
        <w:rPr>
          <w:rFonts w:ascii="Arial" w:hAnsi="Arial" w:cs="Arial"/>
          <w:sz w:val="24"/>
          <w:szCs w:val="24"/>
        </w:rPr>
        <w:t>Instalasi</w:t>
      </w:r>
      <w:r w:rsidRPr="0035519F">
        <w:rPr>
          <w:rFonts w:ascii="Arial" w:hAnsi="Arial" w:cs="Arial"/>
          <w:spacing w:val="1"/>
          <w:sz w:val="24"/>
          <w:szCs w:val="24"/>
        </w:rPr>
        <w:t xml:space="preserve"> </w:t>
      </w:r>
      <w:r w:rsidRPr="0035519F">
        <w:rPr>
          <w:rFonts w:ascii="Arial" w:hAnsi="Arial" w:cs="Arial"/>
          <w:sz w:val="24"/>
          <w:szCs w:val="24"/>
        </w:rPr>
        <w:t>Laboratorium</w:t>
      </w:r>
      <w:r w:rsidRPr="0035519F">
        <w:rPr>
          <w:rFonts w:ascii="Arial" w:hAnsi="Arial" w:cs="Arial"/>
          <w:spacing w:val="1"/>
          <w:sz w:val="24"/>
          <w:szCs w:val="24"/>
        </w:rPr>
        <w:t xml:space="preserve"> </w:t>
      </w:r>
      <w:r w:rsidRPr="0035519F">
        <w:rPr>
          <w:rFonts w:ascii="Arial" w:hAnsi="Arial" w:cs="Arial"/>
          <w:sz w:val="24"/>
          <w:szCs w:val="24"/>
        </w:rPr>
        <w:t>Patologi</w:t>
      </w:r>
      <w:r w:rsidRPr="0035519F">
        <w:rPr>
          <w:rFonts w:ascii="Arial" w:hAnsi="Arial" w:cs="Arial"/>
          <w:spacing w:val="-1"/>
          <w:sz w:val="24"/>
          <w:szCs w:val="24"/>
        </w:rPr>
        <w:t xml:space="preserve"> </w:t>
      </w:r>
      <w:r w:rsidRPr="0035519F">
        <w:rPr>
          <w:rFonts w:ascii="Arial" w:hAnsi="Arial" w:cs="Arial"/>
          <w:sz w:val="24"/>
          <w:szCs w:val="24"/>
        </w:rPr>
        <w:t>Klinik RSPTN</w:t>
      </w:r>
      <w:r w:rsidRPr="0035519F">
        <w:rPr>
          <w:rFonts w:ascii="Arial" w:hAnsi="Arial" w:cs="Arial"/>
          <w:spacing w:val="-3"/>
          <w:sz w:val="24"/>
          <w:szCs w:val="24"/>
        </w:rPr>
        <w:t xml:space="preserve"> </w:t>
      </w:r>
      <w:r w:rsidRPr="0035519F">
        <w:rPr>
          <w:rFonts w:ascii="Arial" w:hAnsi="Arial" w:cs="Arial"/>
          <w:sz w:val="24"/>
          <w:szCs w:val="24"/>
          <w:lang w:val="id-ID"/>
        </w:rPr>
        <w:t>U</w:t>
      </w:r>
      <w:r w:rsidRPr="0035519F">
        <w:rPr>
          <w:rFonts w:ascii="Arial" w:hAnsi="Arial" w:cs="Arial"/>
          <w:sz w:val="24"/>
          <w:szCs w:val="24"/>
        </w:rPr>
        <w:t xml:space="preserve">niversitas </w:t>
      </w:r>
      <w:r w:rsidRPr="0035519F">
        <w:rPr>
          <w:rFonts w:ascii="Arial" w:hAnsi="Arial" w:cs="Arial"/>
          <w:sz w:val="24"/>
          <w:szCs w:val="24"/>
          <w:lang w:val="id-ID"/>
        </w:rPr>
        <w:t>H</w:t>
      </w:r>
      <w:r w:rsidRPr="0035519F">
        <w:rPr>
          <w:rFonts w:ascii="Arial" w:hAnsi="Arial" w:cs="Arial"/>
          <w:sz w:val="24"/>
          <w:szCs w:val="24"/>
        </w:rPr>
        <w:t xml:space="preserve">asanuddin, Makassar. </w:t>
      </w:r>
    </w:p>
    <w:p w14:paraId="49636C9A" w14:textId="77777777" w:rsidR="007757AB" w:rsidRPr="0035519F" w:rsidRDefault="007757AB" w:rsidP="007757AB">
      <w:pPr>
        <w:pStyle w:val="ListParagraph"/>
        <w:numPr>
          <w:ilvl w:val="0"/>
          <w:numId w:val="8"/>
        </w:numPr>
        <w:spacing w:line="480" w:lineRule="auto"/>
        <w:ind w:left="720" w:hanging="294"/>
        <w:jc w:val="both"/>
        <w:rPr>
          <w:rFonts w:ascii="Arial" w:hAnsi="Arial" w:cs="Arial"/>
          <w:sz w:val="24"/>
          <w:szCs w:val="24"/>
        </w:rPr>
      </w:pPr>
      <w:r w:rsidRPr="0035519F">
        <w:rPr>
          <w:rFonts w:ascii="Arial" w:hAnsi="Arial" w:cs="Arial"/>
          <w:sz w:val="24"/>
          <w:szCs w:val="24"/>
        </w:rPr>
        <w:lastRenderedPageBreak/>
        <w:t xml:space="preserve">Dilakukan pemeriksaan </w:t>
      </w:r>
      <w:r w:rsidR="00C53DE0" w:rsidRPr="0035519F">
        <w:rPr>
          <w:rFonts w:ascii="Arial" w:hAnsi="Arial" w:cs="Arial"/>
          <w:sz w:val="24"/>
          <w:szCs w:val="24"/>
        </w:rPr>
        <w:t>IGF-1</w:t>
      </w:r>
      <w:r w:rsidRPr="0035519F">
        <w:rPr>
          <w:rFonts w:ascii="Arial" w:hAnsi="Arial" w:cs="Arial"/>
          <w:sz w:val="24"/>
          <w:szCs w:val="24"/>
        </w:rPr>
        <w:t xml:space="preserve"> dengan metode </w:t>
      </w:r>
      <w:r w:rsidRPr="0035519F">
        <w:rPr>
          <w:rFonts w:ascii="Arial" w:hAnsi="Arial" w:cs="Arial"/>
          <w:i/>
          <w:sz w:val="24"/>
          <w:szCs w:val="24"/>
        </w:rPr>
        <w:t>Enzime-linked immun</w:t>
      </w:r>
      <w:r w:rsidR="004729DF" w:rsidRPr="0035519F">
        <w:rPr>
          <w:rFonts w:ascii="Arial" w:hAnsi="Arial" w:cs="Arial"/>
          <w:i/>
          <w:sz w:val="24"/>
          <w:szCs w:val="24"/>
        </w:rPr>
        <w:t>o</w:t>
      </w:r>
      <w:r w:rsidRPr="0035519F">
        <w:rPr>
          <w:rFonts w:ascii="Arial" w:hAnsi="Arial" w:cs="Arial"/>
          <w:i/>
          <w:sz w:val="24"/>
          <w:szCs w:val="24"/>
        </w:rPr>
        <w:t>sorbent assay</w:t>
      </w:r>
      <w:r w:rsidRPr="0035519F">
        <w:rPr>
          <w:rFonts w:ascii="Arial" w:hAnsi="Arial" w:cs="Arial"/>
          <w:sz w:val="24"/>
          <w:szCs w:val="24"/>
        </w:rPr>
        <w:t xml:space="preserve"> (ELISA) di Unit Penelitian FK</w:t>
      </w:r>
      <w:r w:rsidRPr="0035519F">
        <w:rPr>
          <w:rFonts w:ascii="Arial" w:hAnsi="Arial" w:cs="Arial"/>
          <w:sz w:val="24"/>
          <w:szCs w:val="24"/>
          <w:lang w:val="id-ID"/>
        </w:rPr>
        <w:t>U</w:t>
      </w:r>
      <w:r w:rsidRPr="0035519F">
        <w:rPr>
          <w:rFonts w:ascii="Arial" w:hAnsi="Arial" w:cs="Arial"/>
          <w:sz w:val="24"/>
          <w:szCs w:val="24"/>
        </w:rPr>
        <w:t>H</w:t>
      </w:r>
      <w:r w:rsidRPr="0035519F">
        <w:rPr>
          <w:rFonts w:ascii="Arial" w:hAnsi="Arial" w:cs="Arial"/>
          <w:sz w:val="24"/>
          <w:szCs w:val="24"/>
          <w:lang w:val="id-ID"/>
        </w:rPr>
        <w:t>/RSPTN U</w:t>
      </w:r>
      <w:r w:rsidRPr="0035519F">
        <w:rPr>
          <w:rFonts w:ascii="Arial" w:hAnsi="Arial" w:cs="Arial"/>
          <w:sz w:val="24"/>
          <w:szCs w:val="24"/>
        </w:rPr>
        <w:t xml:space="preserve">niversitas </w:t>
      </w:r>
      <w:r w:rsidRPr="0035519F">
        <w:rPr>
          <w:rFonts w:ascii="Arial" w:hAnsi="Arial" w:cs="Arial"/>
          <w:sz w:val="24"/>
          <w:szCs w:val="24"/>
          <w:lang w:val="id-ID"/>
        </w:rPr>
        <w:t>H</w:t>
      </w:r>
      <w:r w:rsidRPr="0035519F">
        <w:rPr>
          <w:rFonts w:ascii="Arial" w:hAnsi="Arial" w:cs="Arial"/>
          <w:sz w:val="24"/>
          <w:szCs w:val="24"/>
        </w:rPr>
        <w:t xml:space="preserve">asanuddin, Makassar. </w:t>
      </w:r>
    </w:p>
    <w:p w14:paraId="064A3D0B" w14:textId="77777777" w:rsidR="007757AB" w:rsidRPr="0035519F" w:rsidRDefault="00FD7137" w:rsidP="007757AB">
      <w:pPr>
        <w:pStyle w:val="NoSpacing"/>
        <w:numPr>
          <w:ilvl w:val="2"/>
          <w:numId w:val="1"/>
        </w:numPr>
        <w:spacing w:line="480" w:lineRule="auto"/>
        <w:ind w:left="426" w:hanging="426"/>
        <w:jc w:val="center"/>
        <w:outlineLvl w:val="1"/>
        <w:rPr>
          <w:rFonts w:ascii="Arial" w:hAnsi="Arial" w:cs="Arial"/>
          <w:b/>
          <w:sz w:val="24"/>
          <w:szCs w:val="24"/>
          <w:lang w:val="id-ID"/>
        </w:rPr>
      </w:pPr>
      <w:bookmarkStart w:id="66" w:name="_Toc111022783"/>
      <w:r w:rsidRPr="0035519F">
        <w:rPr>
          <w:rFonts w:ascii="Arial" w:hAnsi="Arial" w:cs="Arial"/>
          <w:b/>
          <w:sz w:val="24"/>
          <w:szCs w:val="24"/>
        </w:rPr>
        <w:t>Prosedur Tes</w:t>
      </w:r>
      <w:r w:rsidR="007757AB" w:rsidRPr="0035519F">
        <w:rPr>
          <w:rFonts w:ascii="Arial" w:hAnsi="Arial" w:cs="Arial"/>
          <w:b/>
          <w:sz w:val="24"/>
          <w:szCs w:val="24"/>
          <w:lang w:val="id-ID"/>
        </w:rPr>
        <w:t xml:space="preserve"> </w:t>
      </w:r>
      <w:r w:rsidR="007757AB" w:rsidRPr="0035519F">
        <w:rPr>
          <w:rFonts w:ascii="Arial" w:hAnsi="Arial" w:cs="Arial"/>
          <w:b/>
          <w:sz w:val="24"/>
          <w:szCs w:val="24"/>
        </w:rPr>
        <w:t>Laboratorium</w:t>
      </w:r>
      <w:bookmarkEnd w:id="66"/>
    </w:p>
    <w:p w14:paraId="69149474" w14:textId="77777777" w:rsidR="007757AB" w:rsidRPr="0035519F" w:rsidRDefault="007757AB" w:rsidP="00B124CB">
      <w:pPr>
        <w:pStyle w:val="NoSpacing"/>
        <w:numPr>
          <w:ilvl w:val="0"/>
          <w:numId w:val="9"/>
        </w:numPr>
        <w:spacing w:line="480" w:lineRule="auto"/>
        <w:ind w:left="426" w:hanging="426"/>
        <w:rPr>
          <w:rFonts w:ascii="Arial" w:hAnsi="Arial" w:cs="Arial"/>
          <w:b/>
          <w:sz w:val="24"/>
          <w:szCs w:val="24"/>
        </w:rPr>
      </w:pPr>
      <w:r w:rsidRPr="0035519F">
        <w:rPr>
          <w:rFonts w:ascii="Arial" w:hAnsi="Arial" w:cs="Arial"/>
          <w:b/>
          <w:sz w:val="24"/>
          <w:szCs w:val="24"/>
        </w:rPr>
        <w:t xml:space="preserve">Kadar Insulin </w:t>
      </w:r>
    </w:p>
    <w:p w14:paraId="55900E97"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Persiapan pasien </w:t>
      </w:r>
    </w:p>
    <w:p w14:paraId="128C98A4" w14:textId="77777777" w:rsidR="007757AB" w:rsidRPr="0035519F" w:rsidRDefault="007757AB" w:rsidP="007757AB">
      <w:pPr>
        <w:pStyle w:val="NoSpacing"/>
        <w:spacing w:line="480" w:lineRule="auto"/>
        <w:ind w:left="720" w:firstLine="273"/>
        <w:jc w:val="both"/>
        <w:rPr>
          <w:rFonts w:ascii="Arial" w:hAnsi="Arial" w:cs="Arial"/>
          <w:sz w:val="24"/>
          <w:szCs w:val="24"/>
          <w:lang w:val="es-ES"/>
        </w:rPr>
      </w:pPr>
      <w:r w:rsidRPr="0035519F">
        <w:rPr>
          <w:rFonts w:ascii="Arial" w:hAnsi="Arial" w:cs="Arial"/>
          <w:sz w:val="24"/>
          <w:szCs w:val="24"/>
          <w:lang w:val="es-ES"/>
        </w:rPr>
        <w:t xml:space="preserve">Pasien puasa selama minimal 8 jam. </w:t>
      </w:r>
    </w:p>
    <w:p w14:paraId="36C880A1"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Persiapan sampel </w:t>
      </w:r>
    </w:p>
    <w:p w14:paraId="44FB6B0B" w14:textId="77777777" w:rsidR="007757AB" w:rsidRPr="0035519F" w:rsidRDefault="007757AB" w:rsidP="007757AB">
      <w:pPr>
        <w:pStyle w:val="NoSpacing"/>
        <w:tabs>
          <w:tab w:val="left" w:pos="709"/>
        </w:tabs>
        <w:spacing w:line="480" w:lineRule="auto"/>
        <w:ind w:left="709" w:firstLine="284"/>
        <w:jc w:val="both"/>
        <w:rPr>
          <w:rFonts w:ascii="Arial" w:hAnsi="Arial" w:cs="Arial"/>
          <w:sz w:val="24"/>
          <w:szCs w:val="24"/>
        </w:rPr>
      </w:pPr>
      <w:r w:rsidRPr="0035519F">
        <w:rPr>
          <w:rFonts w:ascii="Arial" w:hAnsi="Arial" w:cs="Arial"/>
          <w:sz w:val="24"/>
          <w:szCs w:val="24"/>
        </w:rPr>
        <w:t>Sampel serum dapat disimpan selama 24 jam pada suhu 2-8</w:t>
      </w:r>
      <w:r w:rsidRPr="0035519F">
        <w:rPr>
          <w:rFonts w:cs="Calibri"/>
          <w:sz w:val="24"/>
          <w:szCs w:val="24"/>
        </w:rPr>
        <w:t>°</w:t>
      </w:r>
      <w:r w:rsidRPr="0035519F">
        <w:rPr>
          <w:rFonts w:ascii="Arial" w:hAnsi="Arial" w:cs="Arial"/>
          <w:sz w:val="24"/>
          <w:szCs w:val="24"/>
        </w:rPr>
        <w:t>C atau pada suhu -20</w:t>
      </w:r>
      <w:r w:rsidRPr="0035519F">
        <w:rPr>
          <w:rFonts w:cs="Calibri"/>
          <w:sz w:val="24"/>
          <w:szCs w:val="24"/>
        </w:rPr>
        <w:t>°</w:t>
      </w:r>
      <w:r w:rsidRPr="0035519F">
        <w:rPr>
          <w:rFonts w:ascii="Arial" w:hAnsi="Arial" w:cs="Arial"/>
          <w:sz w:val="24"/>
          <w:szCs w:val="24"/>
        </w:rPr>
        <w:t>C selama 6 bulan.</w:t>
      </w:r>
    </w:p>
    <w:p w14:paraId="7C465491"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Alat dan bahan penelitian </w:t>
      </w:r>
      <w:r w:rsidRPr="0035519F">
        <w:rPr>
          <w:rFonts w:ascii="Arial" w:hAnsi="Arial" w:cs="Arial"/>
          <w:b/>
          <w:sz w:val="24"/>
          <w:szCs w:val="24"/>
        </w:rPr>
        <w:fldChar w:fldCharType="begin" w:fldLock="1"/>
      </w:r>
      <w:r w:rsidR="00D11F03" w:rsidRPr="0035519F">
        <w:rPr>
          <w:rFonts w:ascii="Arial" w:hAnsi="Arial" w:cs="Arial"/>
          <w:b/>
          <w:sz w:val="24"/>
          <w:szCs w:val="24"/>
        </w:rPr>
        <w:instrText>ADDIN CSL_CITATION {"citationItems":[{"id":"ITEM-1","itemData":{"author":[{"dropping-particle":"","family":"Roche","given":"","non-dropping-particle":"","parse-names":false,"suffix":""}],"id":"ITEM-1","issued":{"date-parts":[["2013"]]},"publisher":"Roche Diagnostic","publisher-place":"Indianapolis","title":"Insulin","type":"book"},"uris":["http://www.mendeley.com/documents/?uuid=8e454564-205d-4f76-8e32-f585e7009e22","http://www.mendeley.com/documents/?uuid=072e0852-7c4b-4c80-a743-b559e63db977"]}],"mendeley":{"formattedCitation":"(Roche, 2013)","plainTextFormattedCitation":"(Roche, 2013)","previouslyFormattedCitation":"(Roche, 2013)"},"properties":{"noteIndex":0},"schema":"https://github.com/citation-style-language/schema/raw/master/csl-citation.json"}</w:instrText>
      </w:r>
      <w:r w:rsidRPr="0035519F">
        <w:rPr>
          <w:rFonts w:ascii="Arial" w:hAnsi="Arial" w:cs="Arial"/>
          <w:b/>
          <w:sz w:val="24"/>
          <w:szCs w:val="24"/>
        </w:rPr>
        <w:fldChar w:fldCharType="separate"/>
      </w:r>
      <w:r w:rsidR="00D11F03" w:rsidRPr="0035519F">
        <w:rPr>
          <w:rFonts w:ascii="Arial" w:hAnsi="Arial" w:cs="Arial"/>
          <w:noProof/>
          <w:sz w:val="24"/>
          <w:szCs w:val="24"/>
        </w:rPr>
        <w:t>(Roche, 2013)</w:t>
      </w:r>
      <w:r w:rsidRPr="0035519F">
        <w:rPr>
          <w:rFonts w:ascii="Arial" w:hAnsi="Arial" w:cs="Arial"/>
          <w:b/>
          <w:sz w:val="24"/>
          <w:szCs w:val="24"/>
        </w:rPr>
        <w:fldChar w:fldCharType="end"/>
      </w:r>
    </w:p>
    <w:p w14:paraId="31273B22" w14:textId="77777777" w:rsidR="007757AB" w:rsidRPr="0035519F" w:rsidRDefault="007757AB" w:rsidP="00B124CB">
      <w:pPr>
        <w:pStyle w:val="NoSpacing"/>
        <w:numPr>
          <w:ilvl w:val="0"/>
          <w:numId w:val="10"/>
        </w:numPr>
        <w:spacing w:line="480" w:lineRule="auto"/>
        <w:ind w:left="993" w:hanging="284"/>
        <w:jc w:val="both"/>
        <w:rPr>
          <w:rFonts w:ascii="Arial" w:hAnsi="Arial" w:cs="Arial"/>
          <w:sz w:val="24"/>
          <w:szCs w:val="24"/>
        </w:rPr>
      </w:pPr>
      <w:r w:rsidRPr="0035519F">
        <w:rPr>
          <w:rFonts w:ascii="Arial" w:hAnsi="Arial" w:cs="Arial"/>
          <w:sz w:val="24"/>
          <w:szCs w:val="24"/>
        </w:rPr>
        <w:t xml:space="preserve">Mikropipet dan </w:t>
      </w:r>
      <w:r w:rsidRPr="0035519F">
        <w:rPr>
          <w:rFonts w:ascii="Arial" w:hAnsi="Arial" w:cs="Arial"/>
          <w:i/>
          <w:sz w:val="24"/>
          <w:szCs w:val="24"/>
        </w:rPr>
        <w:t>tip</w:t>
      </w:r>
      <w:r w:rsidRPr="0035519F">
        <w:rPr>
          <w:rFonts w:ascii="Arial" w:hAnsi="Arial" w:cs="Arial"/>
          <w:sz w:val="24"/>
          <w:szCs w:val="24"/>
        </w:rPr>
        <w:t xml:space="preserve"> </w:t>
      </w:r>
    </w:p>
    <w:p w14:paraId="491455F3" w14:textId="77777777" w:rsidR="007757AB" w:rsidRPr="0035519F" w:rsidRDefault="00A6398E" w:rsidP="00B124CB">
      <w:pPr>
        <w:pStyle w:val="NoSpacing"/>
        <w:numPr>
          <w:ilvl w:val="0"/>
          <w:numId w:val="10"/>
        </w:numPr>
        <w:spacing w:line="480" w:lineRule="auto"/>
        <w:ind w:left="993" w:hanging="284"/>
        <w:jc w:val="both"/>
        <w:rPr>
          <w:rFonts w:ascii="Arial" w:hAnsi="Arial" w:cs="Arial"/>
          <w:sz w:val="24"/>
          <w:szCs w:val="24"/>
        </w:rPr>
      </w:pPr>
      <w:r w:rsidRPr="0035519F">
        <w:rPr>
          <w:rFonts w:ascii="Arial" w:hAnsi="Arial" w:cs="Arial"/>
          <w:sz w:val="24"/>
          <w:szCs w:val="24"/>
        </w:rPr>
        <w:t>Alat Cobas e411</w:t>
      </w:r>
      <w:r w:rsidR="007757AB" w:rsidRPr="0035519F">
        <w:rPr>
          <w:rFonts w:ascii="Arial" w:hAnsi="Arial" w:cs="Arial"/>
          <w:sz w:val="24"/>
          <w:szCs w:val="24"/>
        </w:rPr>
        <w:t xml:space="preserve"> </w:t>
      </w:r>
    </w:p>
    <w:p w14:paraId="2C3239DF" w14:textId="77777777" w:rsidR="007757AB" w:rsidRPr="0035519F" w:rsidRDefault="007757AB" w:rsidP="00B124CB">
      <w:pPr>
        <w:pStyle w:val="NoSpacing"/>
        <w:numPr>
          <w:ilvl w:val="0"/>
          <w:numId w:val="10"/>
        </w:numPr>
        <w:spacing w:line="480" w:lineRule="auto"/>
        <w:ind w:left="993" w:hanging="284"/>
        <w:jc w:val="both"/>
        <w:rPr>
          <w:rFonts w:ascii="Arial" w:hAnsi="Arial" w:cs="Arial"/>
          <w:sz w:val="24"/>
          <w:szCs w:val="24"/>
        </w:rPr>
      </w:pPr>
      <w:r w:rsidRPr="0035519F">
        <w:rPr>
          <w:rFonts w:ascii="Arial" w:hAnsi="Arial" w:cs="Arial"/>
          <w:sz w:val="24"/>
          <w:szCs w:val="24"/>
        </w:rPr>
        <w:t xml:space="preserve">Reagen Insulin </w:t>
      </w:r>
    </w:p>
    <w:p w14:paraId="1DE2FDC0" w14:textId="77777777" w:rsidR="007757AB" w:rsidRPr="0035519F" w:rsidRDefault="007757AB" w:rsidP="00B124CB">
      <w:pPr>
        <w:pStyle w:val="NoSpacing"/>
        <w:numPr>
          <w:ilvl w:val="2"/>
          <w:numId w:val="10"/>
        </w:numPr>
        <w:spacing w:line="480" w:lineRule="auto"/>
        <w:ind w:left="1276"/>
        <w:jc w:val="both"/>
        <w:rPr>
          <w:rFonts w:ascii="Arial" w:hAnsi="Arial" w:cs="Arial"/>
          <w:sz w:val="24"/>
          <w:szCs w:val="24"/>
        </w:rPr>
      </w:pPr>
      <w:r w:rsidRPr="0035519F">
        <w:rPr>
          <w:rFonts w:ascii="Arial" w:hAnsi="Arial" w:cs="Arial"/>
          <w:sz w:val="24"/>
          <w:szCs w:val="24"/>
        </w:rPr>
        <w:t xml:space="preserve">M: </w:t>
      </w:r>
      <w:r w:rsidRPr="0035519F">
        <w:rPr>
          <w:rFonts w:ascii="Arial" w:hAnsi="Arial" w:cs="Arial"/>
          <w:i/>
          <w:sz w:val="24"/>
        </w:rPr>
        <w:t>Streptavidin</w:t>
      </w:r>
      <w:r w:rsidRPr="0035519F">
        <w:rPr>
          <w:rFonts w:ascii="Arial" w:hAnsi="Arial" w:cs="Arial"/>
          <w:i/>
          <w:spacing w:val="-2"/>
          <w:sz w:val="24"/>
        </w:rPr>
        <w:t xml:space="preserve"> </w:t>
      </w:r>
      <w:r w:rsidRPr="0035519F">
        <w:rPr>
          <w:rFonts w:ascii="Arial" w:hAnsi="Arial" w:cs="Arial"/>
          <w:i/>
          <w:sz w:val="24"/>
        </w:rPr>
        <w:t>coated</w:t>
      </w:r>
      <w:r w:rsidRPr="0035519F">
        <w:rPr>
          <w:rFonts w:ascii="Arial" w:hAnsi="Arial" w:cs="Arial"/>
          <w:i/>
          <w:spacing w:val="-4"/>
          <w:sz w:val="24"/>
        </w:rPr>
        <w:t xml:space="preserve"> </w:t>
      </w:r>
      <w:r w:rsidRPr="0035519F">
        <w:rPr>
          <w:rFonts w:ascii="Arial" w:hAnsi="Arial" w:cs="Arial"/>
          <w:i/>
          <w:sz w:val="24"/>
        </w:rPr>
        <w:t>microparticles</w:t>
      </w:r>
      <w:r w:rsidRPr="0035519F">
        <w:rPr>
          <w:rFonts w:ascii="Arial" w:hAnsi="Arial" w:cs="Arial"/>
          <w:i/>
          <w:spacing w:val="2"/>
          <w:sz w:val="24"/>
        </w:rPr>
        <w:t xml:space="preserve"> </w:t>
      </w:r>
      <w:r w:rsidRPr="0035519F">
        <w:rPr>
          <w:rFonts w:ascii="Arial" w:hAnsi="Arial" w:cs="Arial"/>
          <w:sz w:val="24"/>
        </w:rPr>
        <w:t>6,5</w:t>
      </w:r>
      <w:r w:rsidRPr="0035519F">
        <w:rPr>
          <w:rFonts w:ascii="Arial" w:hAnsi="Arial" w:cs="Arial"/>
          <w:spacing w:val="-3"/>
          <w:sz w:val="24"/>
        </w:rPr>
        <w:t xml:space="preserve"> </w:t>
      </w:r>
      <w:r w:rsidRPr="0035519F">
        <w:rPr>
          <w:rFonts w:ascii="Arial" w:hAnsi="Arial" w:cs="Arial"/>
          <w:sz w:val="24"/>
        </w:rPr>
        <w:t>mL</w:t>
      </w:r>
    </w:p>
    <w:p w14:paraId="282D6B25" w14:textId="77777777" w:rsidR="007757AB" w:rsidRPr="0035519F" w:rsidRDefault="007757AB" w:rsidP="007757AB">
      <w:pPr>
        <w:pStyle w:val="NoSpacing"/>
        <w:spacing w:line="480" w:lineRule="auto"/>
        <w:ind w:left="1418" w:hanging="425"/>
        <w:jc w:val="both"/>
        <w:rPr>
          <w:rFonts w:ascii="Arial" w:hAnsi="Arial" w:cs="Arial"/>
          <w:sz w:val="24"/>
          <w:szCs w:val="24"/>
        </w:rPr>
      </w:pPr>
      <w:r w:rsidRPr="0035519F">
        <w:rPr>
          <w:rFonts w:ascii="Arial" w:hAnsi="Arial" w:cs="Arial"/>
          <w:sz w:val="24"/>
          <w:szCs w:val="24"/>
        </w:rPr>
        <w:t xml:space="preserve">ii. R1: </w:t>
      </w:r>
      <w:r w:rsidRPr="0035519F">
        <w:rPr>
          <w:rFonts w:ascii="Arial" w:hAnsi="Arial" w:cs="Arial"/>
          <w:i/>
          <w:sz w:val="24"/>
        </w:rPr>
        <w:t>Anti</w:t>
      </w:r>
      <w:r w:rsidRPr="0035519F">
        <w:rPr>
          <w:rFonts w:ascii="Arial" w:hAnsi="Arial" w:cs="Arial"/>
          <w:i/>
          <w:spacing w:val="1"/>
          <w:sz w:val="24"/>
        </w:rPr>
        <w:t xml:space="preserve"> </w:t>
      </w:r>
      <w:r w:rsidRPr="0035519F">
        <w:rPr>
          <w:rFonts w:ascii="Arial" w:hAnsi="Arial" w:cs="Arial"/>
          <w:i/>
          <w:sz w:val="24"/>
        </w:rPr>
        <w:t>insulin</w:t>
      </w:r>
      <w:r w:rsidRPr="0035519F">
        <w:rPr>
          <w:rFonts w:ascii="Arial" w:hAnsi="Arial" w:cs="Arial"/>
          <w:i/>
          <w:spacing w:val="1"/>
          <w:sz w:val="24"/>
        </w:rPr>
        <w:t xml:space="preserve"> </w:t>
      </w:r>
      <w:r w:rsidRPr="0035519F">
        <w:rPr>
          <w:rFonts w:ascii="Arial" w:hAnsi="Arial" w:cs="Arial"/>
          <w:i/>
          <w:sz w:val="24"/>
        </w:rPr>
        <w:t>antibody-biotin</w:t>
      </w:r>
      <w:r w:rsidRPr="0035519F">
        <w:rPr>
          <w:rFonts w:ascii="Arial" w:hAnsi="Arial" w:cs="Arial"/>
          <w:i/>
          <w:spacing w:val="1"/>
          <w:sz w:val="24"/>
        </w:rPr>
        <w:t xml:space="preserve"> </w:t>
      </w:r>
      <w:r w:rsidRPr="0035519F">
        <w:rPr>
          <w:rFonts w:ascii="Arial" w:hAnsi="Arial" w:cs="Arial"/>
          <w:sz w:val="24"/>
        </w:rPr>
        <w:t>10</w:t>
      </w:r>
      <w:r w:rsidRPr="0035519F">
        <w:rPr>
          <w:rFonts w:ascii="Arial" w:hAnsi="Arial" w:cs="Arial"/>
          <w:spacing w:val="1"/>
          <w:sz w:val="24"/>
        </w:rPr>
        <w:t xml:space="preserve"> </w:t>
      </w:r>
      <w:r w:rsidRPr="0035519F">
        <w:rPr>
          <w:rFonts w:ascii="Arial" w:hAnsi="Arial" w:cs="Arial"/>
          <w:sz w:val="24"/>
        </w:rPr>
        <w:t>mL.</w:t>
      </w:r>
      <w:r w:rsidRPr="0035519F">
        <w:rPr>
          <w:rFonts w:ascii="Arial" w:hAnsi="Arial" w:cs="Arial"/>
          <w:spacing w:val="1"/>
          <w:sz w:val="24"/>
        </w:rPr>
        <w:t xml:space="preserve"> </w:t>
      </w:r>
      <w:r w:rsidRPr="0035519F">
        <w:rPr>
          <w:rFonts w:ascii="Arial" w:hAnsi="Arial" w:cs="Arial"/>
          <w:i/>
          <w:sz w:val="24"/>
        </w:rPr>
        <w:t>Biotinylated</w:t>
      </w:r>
      <w:r w:rsidRPr="0035519F">
        <w:rPr>
          <w:rFonts w:ascii="Arial" w:hAnsi="Arial" w:cs="Arial"/>
          <w:i/>
          <w:spacing w:val="1"/>
          <w:sz w:val="24"/>
        </w:rPr>
        <w:t xml:space="preserve"> </w:t>
      </w:r>
      <w:r w:rsidRPr="0035519F">
        <w:rPr>
          <w:rFonts w:ascii="Arial" w:hAnsi="Arial" w:cs="Arial"/>
          <w:i/>
          <w:sz w:val="24"/>
        </w:rPr>
        <w:t xml:space="preserve">monoclonal anti-insulin antibody </w:t>
      </w:r>
      <w:r w:rsidRPr="0035519F">
        <w:rPr>
          <w:rFonts w:ascii="Arial" w:hAnsi="Arial" w:cs="Arial"/>
          <w:sz w:val="24"/>
        </w:rPr>
        <w:t>(mouse) 1mg/L; MES (2-</w:t>
      </w:r>
      <w:r w:rsidRPr="0035519F">
        <w:rPr>
          <w:rFonts w:ascii="Arial" w:hAnsi="Arial" w:cs="Arial"/>
          <w:spacing w:val="1"/>
          <w:sz w:val="24"/>
        </w:rPr>
        <w:t xml:space="preserve"> </w:t>
      </w:r>
      <w:r w:rsidRPr="0035519F">
        <w:rPr>
          <w:rFonts w:ascii="Arial" w:hAnsi="Arial" w:cs="Arial"/>
          <w:i/>
          <w:sz w:val="24"/>
        </w:rPr>
        <w:t>morpholino-ethane</w:t>
      </w:r>
      <w:r w:rsidRPr="0035519F">
        <w:rPr>
          <w:rFonts w:ascii="Arial" w:hAnsi="Arial" w:cs="Arial"/>
          <w:i/>
          <w:spacing w:val="-3"/>
          <w:sz w:val="24"/>
        </w:rPr>
        <w:t xml:space="preserve"> </w:t>
      </w:r>
      <w:r w:rsidRPr="0035519F">
        <w:rPr>
          <w:rFonts w:ascii="Arial" w:hAnsi="Arial" w:cs="Arial"/>
          <w:i/>
          <w:sz w:val="24"/>
        </w:rPr>
        <w:t>sulfonic</w:t>
      </w:r>
      <w:r w:rsidRPr="0035519F">
        <w:rPr>
          <w:rFonts w:ascii="Arial" w:hAnsi="Arial" w:cs="Arial"/>
          <w:i/>
          <w:spacing w:val="-2"/>
          <w:sz w:val="24"/>
        </w:rPr>
        <w:t xml:space="preserve"> </w:t>
      </w:r>
      <w:r w:rsidRPr="0035519F">
        <w:rPr>
          <w:rFonts w:ascii="Arial" w:hAnsi="Arial" w:cs="Arial"/>
          <w:i/>
          <w:sz w:val="24"/>
        </w:rPr>
        <w:t>acid</w:t>
      </w:r>
      <w:r w:rsidRPr="0035519F">
        <w:rPr>
          <w:rFonts w:ascii="Arial" w:hAnsi="Arial" w:cs="Arial"/>
          <w:sz w:val="24"/>
        </w:rPr>
        <w:t>)</w:t>
      </w:r>
      <w:r w:rsidRPr="0035519F">
        <w:rPr>
          <w:rFonts w:ascii="Arial" w:hAnsi="Arial" w:cs="Arial"/>
          <w:spacing w:val="-6"/>
          <w:sz w:val="24"/>
        </w:rPr>
        <w:t xml:space="preserve"> </w:t>
      </w:r>
      <w:r w:rsidRPr="0035519F">
        <w:rPr>
          <w:rFonts w:ascii="Arial" w:hAnsi="Arial" w:cs="Arial"/>
          <w:i/>
          <w:sz w:val="24"/>
        </w:rPr>
        <w:t>buffer</w:t>
      </w:r>
      <w:r w:rsidRPr="0035519F">
        <w:rPr>
          <w:rFonts w:ascii="Arial" w:hAnsi="Arial" w:cs="Arial"/>
          <w:i/>
          <w:spacing w:val="-2"/>
          <w:sz w:val="24"/>
        </w:rPr>
        <w:t xml:space="preserve"> </w:t>
      </w:r>
      <w:r w:rsidRPr="0035519F">
        <w:rPr>
          <w:rFonts w:ascii="Arial" w:hAnsi="Arial" w:cs="Arial"/>
          <w:sz w:val="24"/>
        </w:rPr>
        <w:t>50mmol/L,</w:t>
      </w:r>
      <w:r w:rsidRPr="0035519F">
        <w:rPr>
          <w:rFonts w:ascii="Arial" w:hAnsi="Arial" w:cs="Arial"/>
          <w:spacing w:val="-5"/>
          <w:sz w:val="24"/>
        </w:rPr>
        <w:t xml:space="preserve"> </w:t>
      </w:r>
      <w:r w:rsidRPr="0035519F">
        <w:rPr>
          <w:rFonts w:ascii="Arial" w:hAnsi="Arial" w:cs="Arial"/>
          <w:sz w:val="24"/>
        </w:rPr>
        <w:t>pH</w:t>
      </w:r>
      <w:r w:rsidRPr="0035519F">
        <w:rPr>
          <w:rFonts w:ascii="Arial" w:hAnsi="Arial" w:cs="Arial"/>
          <w:spacing w:val="-2"/>
          <w:sz w:val="24"/>
        </w:rPr>
        <w:t xml:space="preserve"> </w:t>
      </w:r>
      <w:r w:rsidRPr="0035519F">
        <w:rPr>
          <w:rFonts w:ascii="Arial" w:hAnsi="Arial" w:cs="Arial"/>
          <w:sz w:val="24"/>
        </w:rPr>
        <w:t>6,0.</w:t>
      </w:r>
    </w:p>
    <w:p w14:paraId="71742D5A" w14:textId="77777777" w:rsidR="007757AB" w:rsidRPr="0035519F" w:rsidRDefault="007757AB" w:rsidP="007757AB">
      <w:pPr>
        <w:pStyle w:val="NoSpacing"/>
        <w:spacing w:line="480" w:lineRule="auto"/>
        <w:ind w:left="1418" w:hanging="425"/>
        <w:jc w:val="both"/>
        <w:rPr>
          <w:rFonts w:ascii="Arial" w:hAnsi="Arial" w:cs="Arial"/>
          <w:sz w:val="24"/>
        </w:rPr>
      </w:pPr>
      <w:r w:rsidRPr="0035519F">
        <w:rPr>
          <w:rFonts w:ascii="Arial" w:hAnsi="Arial" w:cs="Arial"/>
          <w:sz w:val="24"/>
          <w:szCs w:val="24"/>
        </w:rPr>
        <w:t xml:space="preserve">iii. R2: </w:t>
      </w:r>
      <w:r w:rsidRPr="0035519F">
        <w:rPr>
          <w:rFonts w:ascii="Arial" w:hAnsi="Arial" w:cs="Arial"/>
          <w:i/>
          <w:sz w:val="24"/>
        </w:rPr>
        <w:t>Anti</w:t>
      </w:r>
      <w:r w:rsidRPr="0035519F">
        <w:rPr>
          <w:rFonts w:ascii="Arial" w:hAnsi="Arial" w:cs="Arial"/>
          <w:i/>
          <w:spacing w:val="1"/>
          <w:sz w:val="24"/>
        </w:rPr>
        <w:t xml:space="preserve"> </w:t>
      </w:r>
      <w:r w:rsidRPr="0035519F">
        <w:rPr>
          <w:rFonts w:ascii="Arial" w:hAnsi="Arial" w:cs="Arial"/>
          <w:i/>
          <w:sz w:val="24"/>
        </w:rPr>
        <w:t>insulin</w:t>
      </w:r>
      <w:r w:rsidRPr="0035519F">
        <w:rPr>
          <w:rFonts w:ascii="Arial" w:hAnsi="Arial" w:cs="Arial"/>
          <w:i/>
          <w:spacing w:val="1"/>
          <w:sz w:val="24"/>
        </w:rPr>
        <w:t xml:space="preserve"> </w:t>
      </w:r>
      <w:r w:rsidRPr="0035519F">
        <w:rPr>
          <w:rFonts w:ascii="Arial" w:hAnsi="Arial" w:cs="Arial"/>
          <w:i/>
          <w:sz w:val="24"/>
        </w:rPr>
        <w:t>antibody</w:t>
      </w:r>
      <w:r w:rsidRPr="0035519F">
        <w:rPr>
          <w:rFonts w:ascii="Arial" w:hAnsi="Arial" w:cs="Arial"/>
          <w:i/>
          <w:spacing w:val="1"/>
          <w:sz w:val="24"/>
        </w:rPr>
        <w:t xml:space="preserve"> </w:t>
      </w:r>
      <w:r w:rsidRPr="0035519F">
        <w:rPr>
          <w:rFonts w:ascii="Arial" w:hAnsi="Arial" w:cs="Arial"/>
          <w:i/>
          <w:sz w:val="24"/>
        </w:rPr>
        <w:t>Ru</w:t>
      </w:r>
      <w:r w:rsidRPr="0035519F">
        <w:rPr>
          <w:rFonts w:ascii="Arial" w:hAnsi="Arial" w:cs="Arial"/>
          <w:sz w:val="24"/>
        </w:rPr>
        <w:t>,</w:t>
      </w:r>
      <w:r w:rsidRPr="0035519F">
        <w:rPr>
          <w:rFonts w:ascii="Arial" w:hAnsi="Arial" w:cs="Arial"/>
          <w:spacing w:val="1"/>
          <w:sz w:val="24"/>
        </w:rPr>
        <w:t xml:space="preserve"> </w:t>
      </w:r>
      <w:r w:rsidRPr="0035519F">
        <w:rPr>
          <w:rFonts w:ascii="Arial" w:hAnsi="Arial" w:cs="Arial"/>
          <w:sz w:val="24"/>
        </w:rPr>
        <w:t>10</w:t>
      </w:r>
      <w:r w:rsidRPr="0035519F">
        <w:rPr>
          <w:rFonts w:ascii="Arial" w:hAnsi="Arial" w:cs="Arial"/>
          <w:spacing w:val="1"/>
          <w:sz w:val="24"/>
        </w:rPr>
        <w:t xml:space="preserve"> </w:t>
      </w:r>
      <w:r w:rsidRPr="0035519F">
        <w:rPr>
          <w:rFonts w:ascii="Arial" w:hAnsi="Arial" w:cs="Arial"/>
          <w:sz w:val="24"/>
        </w:rPr>
        <w:t>mL.</w:t>
      </w:r>
      <w:r w:rsidRPr="0035519F">
        <w:rPr>
          <w:rFonts w:ascii="Arial" w:hAnsi="Arial" w:cs="Arial"/>
          <w:spacing w:val="1"/>
          <w:sz w:val="24"/>
        </w:rPr>
        <w:t xml:space="preserve"> </w:t>
      </w:r>
      <w:r w:rsidRPr="0035519F">
        <w:rPr>
          <w:rFonts w:ascii="Arial" w:hAnsi="Arial" w:cs="Arial"/>
          <w:i/>
          <w:sz w:val="24"/>
        </w:rPr>
        <w:t>Monoclonal</w:t>
      </w:r>
      <w:r w:rsidRPr="0035519F">
        <w:rPr>
          <w:rFonts w:ascii="Arial" w:hAnsi="Arial" w:cs="Arial"/>
          <w:i/>
          <w:spacing w:val="66"/>
          <w:sz w:val="24"/>
        </w:rPr>
        <w:t xml:space="preserve"> </w:t>
      </w:r>
      <w:r w:rsidRPr="0035519F">
        <w:rPr>
          <w:rFonts w:ascii="Arial" w:hAnsi="Arial" w:cs="Arial"/>
          <w:i/>
          <w:sz w:val="24"/>
        </w:rPr>
        <w:t>anti</w:t>
      </w:r>
      <w:r w:rsidRPr="0035519F">
        <w:rPr>
          <w:rFonts w:ascii="Arial" w:hAnsi="Arial" w:cs="Arial"/>
          <w:i/>
          <w:spacing w:val="1"/>
          <w:sz w:val="24"/>
        </w:rPr>
        <w:t xml:space="preserve"> </w:t>
      </w:r>
      <w:r w:rsidRPr="0035519F">
        <w:rPr>
          <w:rFonts w:ascii="Arial" w:hAnsi="Arial" w:cs="Arial"/>
          <w:i/>
          <w:sz w:val="24"/>
        </w:rPr>
        <w:t>insulin antibody (mouse) labelled with ruthenium complex</w:t>
      </w:r>
      <w:r w:rsidRPr="0035519F">
        <w:rPr>
          <w:rFonts w:ascii="Arial" w:hAnsi="Arial" w:cs="Arial"/>
          <w:i/>
          <w:spacing w:val="1"/>
          <w:sz w:val="24"/>
        </w:rPr>
        <w:t xml:space="preserve"> </w:t>
      </w:r>
      <w:r w:rsidRPr="0035519F">
        <w:rPr>
          <w:rFonts w:ascii="Arial" w:hAnsi="Arial" w:cs="Arial"/>
          <w:sz w:val="24"/>
        </w:rPr>
        <w:t>1,75</w:t>
      </w:r>
      <w:r w:rsidRPr="0035519F">
        <w:rPr>
          <w:rFonts w:ascii="Arial" w:hAnsi="Arial" w:cs="Arial"/>
          <w:spacing w:val="-3"/>
          <w:sz w:val="24"/>
        </w:rPr>
        <w:t xml:space="preserve"> </w:t>
      </w:r>
      <w:r w:rsidRPr="0035519F">
        <w:rPr>
          <w:rFonts w:ascii="Arial" w:hAnsi="Arial" w:cs="Arial"/>
          <w:sz w:val="24"/>
        </w:rPr>
        <w:t>mg/L;</w:t>
      </w:r>
      <w:r w:rsidRPr="0035519F">
        <w:rPr>
          <w:rFonts w:ascii="Arial" w:hAnsi="Arial" w:cs="Arial"/>
          <w:spacing w:val="-2"/>
          <w:sz w:val="24"/>
        </w:rPr>
        <w:t xml:space="preserve"> </w:t>
      </w:r>
      <w:r w:rsidRPr="0035519F">
        <w:rPr>
          <w:rFonts w:ascii="Arial" w:hAnsi="Arial" w:cs="Arial"/>
          <w:sz w:val="24"/>
        </w:rPr>
        <w:t>MES</w:t>
      </w:r>
      <w:r w:rsidRPr="0035519F">
        <w:rPr>
          <w:rFonts w:ascii="Arial" w:hAnsi="Arial" w:cs="Arial"/>
          <w:spacing w:val="-1"/>
          <w:sz w:val="24"/>
        </w:rPr>
        <w:t xml:space="preserve"> </w:t>
      </w:r>
      <w:r w:rsidRPr="0035519F">
        <w:rPr>
          <w:rFonts w:ascii="Arial" w:hAnsi="Arial" w:cs="Arial"/>
          <w:sz w:val="24"/>
        </w:rPr>
        <w:t>buffer 50</w:t>
      </w:r>
      <w:r w:rsidRPr="0035519F">
        <w:rPr>
          <w:rFonts w:ascii="Arial" w:hAnsi="Arial" w:cs="Arial"/>
          <w:spacing w:val="-2"/>
          <w:sz w:val="24"/>
        </w:rPr>
        <w:t xml:space="preserve"> </w:t>
      </w:r>
      <w:r w:rsidRPr="0035519F">
        <w:rPr>
          <w:rFonts w:ascii="Arial" w:hAnsi="Arial" w:cs="Arial"/>
          <w:sz w:val="24"/>
        </w:rPr>
        <w:t>mmol/L, pH</w:t>
      </w:r>
      <w:r w:rsidRPr="0035519F">
        <w:rPr>
          <w:rFonts w:ascii="Arial" w:hAnsi="Arial" w:cs="Arial"/>
          <w:spacing w:val="-3"/>
          <w:sz w:val="24"/>
        </w:rPr>
        <w:t xml:space="preserve"> </w:t>
      </w:r>
      <w:r w:rsidRPr="0035519F">
        <w:rPr>
          <w:rFonts w:ascii="Arial" w:hAnsi="Arial" w:cs="Arial"/>
          <w:sz w:val="24"/>
        </w:rPr>
        <w:t>6,0.</w:t>
      </w:r>
    </w:p>
    <w:p w14:paraId="10FCB768" w14:textId="77777777" w:rsidR="00583A43" w:rsidRPr="0035519F" w:rsidRDefault="00583A43" w:rsidP="007757AB">
      <w:pPr>
        <w:pStyle w:val="NoSpacing"/>
        <w:spacing w:line="480" w:lineRule="auto"/>
        <w:ind w:left="1418" w:hanging="425"/>
        <w:jc w:val="both"/>
        <w:rPr>
          <w:rFonts w:ascii="Arial" w:hAnsi="Arial" w:cs="Arial"/>
          <w:sz w:val="24"/>
          <w:szCs w:val="24"/>
        </w:rPr>
      </w:pPr>
    </w:p>
    <w:p w14:paraId="4A14BEDD" w14:textId="77777777" w:rsidR="00583A43" w:rsidRPr="0035519F" w:rsidRDefault="00583A43" w:rsidP="007757AB">
      <w:pPr>
        <w:pStyle w:val="NoSpacing"/>
        <w:spacing w:line="480" w:lineRule="auto"/>
        <w:ind w:left="1418" w:hanging="425"/>
        <w:jc w:val="both"/>
        <w:rPr>
          <w:rFonts w:ascii="Arial" w:hAnsi="Arial" w:cs="Arial"/>
          <w:sz w:val="24"/>
          <w:szCs w:val="24"/>
        </w:rPr>
      </w:pPr>
    </w:p>
    <w:p w14:paraId="18EAF2F6" w14:textId="77777777" w:rsidR="007757AB" w:rsidRPr="0035519F" w:rsidRDefault="007757AB" w:rsidP="00B124CB">
      <w:pPr>
        <w:pStyle w:val="NoSpacing"/>
        <w:numPr>
          <w:ilvl w:val="4"/>
          <w:numId w:val="9"/>
        </w:numPr>
        <w:tabs>
          <w:tab w:val="left" w:pos="851"/>
        </w:tabs>
        <w:spacing w:line="480" w:lineRule="auto"/>
        <w:ind w:left="709" w:hanging="283"/>
        <w:jc w:val="both"/>
        <w:rPr>
          <w:rFonts w:ascii="Arial" w:hAnsi="Arial" w:cs="Arial"/>
          <w:b/>
          <w:sz w:val="24"/>
          <w:szCs w:val="24"/>
        </w:rPr>
      </w:pPr>
      <w:r w:rsidRPr="0035519F">
        <w:rPr>
          <w:rFonts w:ascii="Arial" w:hAnsi="Arial" w:cs="Arial"/>
          <w:b/>
          <w:sz w:val="24"/>
          <w:szCs w:val="24"/>
        </w:rPr>
        <w:lastRenderedPageBreak/>
        <w:t xml:space="preserve">Prinsip tes </w:t>
      </w:r>
    </w:p>
    <w:p w14:paraId="08779692" w14:textId="77777777" w:rsidR="007757AB" w:rsidRPr="0035519F" w:rsidRDefault="007757AB" w:rsidP="007757AB">
      <w:pPr>
        <w:pStyle w:val="NoSpacing"/>
        <w:tabs>
          <w:tab w:val="left" w:pos="709"/>
        </w:tabs>
        <w:spacing w:line="480" w:lineRule="auto"/>
        <w:ind w:left="709" w:firstLine="284"/>
        <w:jc w:val="both"/>
        <w:rPr>
          <w:rFonts w:ascii="Arial" w:hAnsi="Arial" w:cs="Arial"/>
          <w:sz w:val="24"/>
          <w:szCs w:val="24"/>
        </w:rPr>
      </w:pPr>
      <w:r w:rsidRPr="0035519F">
        <w:rPr>
          <w:rFonts w:ascii="Arial" w:hAnsi="Arial" w:cs="Arial"/>
          <w:sz w:val="24"/>
          <w:szCs w:val="24"/>
        </w:rPr>
        <w:t>Tes</w:t>
      </w:r>
      <w:r w:rsidRPr="0035519F">
        <w:rPr>
          <w:rFonts w:ascii="Arial" w:hAnsi="Arial" w:cs="Arial"/>
          <w:spacing w:val="1"/>
          <w:sz w:val="24"/>
          <w:szCs w:val="24"/>
        </w:rPr>
        <w:t xml:space="preserve"> </w:t>
      </w:r>
      <w:r w:rsidRPr="0035519F">
        <w:rPr>
          <w:rFonts w:ascii="Arial" w:hAnsi="Arial" w:cs="Arial"/>
          <w:sz w:val="24"/>
          <w:szCs w:val="24"/>
        </w:rPr>
        <w:t>insulin</w:t>
      </w:r>
      <w:r w:rsidRPr="0035519F">
        <w:rPr>
          <w:rFonts w:ascii="Arial" w:hAnsi="Arial" w:cs="Arial"/>
          <w:spacing w:val="1"/>
          <w:sz w:val="24"/>
          <w:szCs w:val="24"/>
        </w:rPr>
        <w:t xml:space="preserve"> </w:t>
      </w:r>
      <w:r w:rsidRPr="0035519F">
        <w:rPr>
          <w:rFonts w:ascii="Arial" w:hAnsi="Arial" w:cs="Arial"/>
          <w:sz w:val="24"/>
          <w:szCs w:val="24"/>
        </w:rPr>
        <w:t>menggunakan</w:t>
      </w:r>
      <w:r w:rsidRPr="0035519F">
        <w:rPr>
          <w:rFonts w:ascii="Arial" w:hAnsi="Arial" w:cs="Arial"/>
          <w:spacing w:val="1"/>
          <w:sz w:val="24"/>
          <w:szCs w:val="24"/>
        </w:rPr>
        <w:t xml:space="preserve"> </w:t>
      </w:r>
      <w:r w:rsidRPr="0035519F">
        <w:rPr>
          <w:rFonts w:ascii="Arial" w:hAnsi="Arial" w:cs="Arial"/>
          <w:sz w:val="24"/>
          <w:szCs w:val="24"/>
        </w:rPr>
        <w:t>prinsip</w:t>
      </w:r>
      <w:r w:rsidRPr="0035519F">
        <w:rPr>
          <w:rFonts w:ascii="Arial" w:hAnsi="Arial" w:cs="Arial"/>
          <w:spacing w:val="1"/>
          <w:sz w:val="24"/>
          <w:szCs w:val="24"/>
        </w:rPr>
        <w:t xml:space="preserve"> </w:t>
      </w:r>
      <w:r w:rsidRPr="0035519F">
        <w:rPr>
          <w:rFonts w:ascii="Arial" w:hAnsi="Arial" w:cs="Arial"/>
          <w:i/>
          <w:sz w:val="24"/>
          <w:szCs w:val="24"/>
        </w:rPr>
        <w:t>sandwich</w:t>
      </w:r>
      <w:r w:rsidRPr="0035519F">
        <w:rPr>
          <w:rFonts w:ascii="Arial" w:hAnsi="Arial" w:cs="Arial"/>
          <w:i/>
          <w:spacing w:val="1"/>
          <w:sz w:val="24"/>
          <w:szCs w:val="24"/>
        </w:rPr>
        <w:t xml:space="preserve"> </w:t>
      </w:r>
      <w:r w:rsidRPr="0035519F">
        <w:rPr>
          <w:rFonts w:ascii="Arial" w:hAnsi="Arial" w:cs="Arial"/>
          <w:sz w:val="24"/>
          <w:szCs w:val="24"/>
        </w:rPr>
        <w:t>dengan</w:t>
      </w:r>
      <w:r w:rsidRPr="0035519F">
        <w:rPr>
          <w:rFonts w:ascii="Arial" w:hAnsi="Arial" w:cs="Arial"/>
          <w:spacing w:val="1"/>
          <w:sz w:val="24"/>
          <w:szCs w:val="24"/>
        </w:rPr>
        <w:t xml:space="preserve"> </w:t>
      </w:r>
      <w:r w:rsidRPr="0035519F">
        <w:rPr>
          <w:rFonts w:ascii="Arial" w:hAnsi="Arial" w:cs="Arial"/>
          <w:sz w:val="24"/>
          <w:szCs w:val="24"/>
        </w:rPr>
        <w:t>dua</w:t>
      </w:r>
      <w:r w:rsidRPr="0035519F">
        <w:rPr>
          <w:rFonts w:ascii="Arial" w:hAnsi="Arial" w:cs="Arial"/>
          <w:spacing w:val="1"/>
          <w:sz w:val="24"/>
          <w:szCs w:val="24"/>
        </w:rPr>
        <w:t xml:space="preserve"> </w:t>
      </w:r>
      <w:r w:rsidRPr="0035519F">
        <w:rPr>
          <w:rFonts w:ascii="Arial" w:hAnsi="Arial" w:cs="Arial"/>
          <w:sz w:val="24"/>
          <w:szCs w:val="24"/>
        </w:rPr>
        <w:t>antibodi</w:t>
      </w:r>
      <w:r w:rsidRPr="0035519F">
        <w:rPr>
          <w:rFonts w:ascii="Arial" w:hAnsi="Arial" w:cs="Arial"/>
          <w:spacing w:val="1"/>
          <w:sz w:val="24"/>
          <w:szCs w:val="24"/>
        </w:rPr>
        <w:t xml:space="preserve"> </w:t>
      </w:r>
      <w:r w:rsidRPr="0035519F">
        <w:rPr>
          <w:rFonts w:ascii="Arial" w:hAnsi="Arial" w:cs="Arial"/>
          <w:sz w:val="24"/>
          <w:szCs w:val="24"/>
        </w:rPr>
        <w:t>monoklonal</w:t>
      </w:r>
      <w:r w:rsidRPr="0035519F">
        <w:rPr>
          <w:rFonts w:ascii="Arial" w:hAnsi="Arial" w:cs="Arial"/>
          <w:spacing w:val="1"/>
          <w:sz w:val="24"/>
          <w:szCs w:val="24"/>
        </w:rPr>
        <w:t xml:space="preserve"> </w:t>
      </w:r>
      <w:r w:rsidRPr="0035519F">
        <w:rPr>
          <w:rFonts w:ascii="Arial" w:hAnsi="Arial" w:cs="Arial"/>
          <w:sz w:val="24"/>
          <w:szCs w:val="24"/>
        </w:rPr>
        <w:t>yang</w:t>
      </w:r>
      <w:r w:rsidRPr="0035519F">
        <w:rPr>
          <w:rFonts w:ascii="Arial" w:hAnsi="Arial" w:cs="Arial"/>
          <w:spacing w:val="1"/>
          <w:sz w:val="24"/>
          <w:szCs w:val="24"/>
        </w:rPr>
        <w:t xml:space="preserve"> </w:t>
      </w:r>
      <w:r w:rsidRPr="0035519F">
        <w:rPr>
          <w:rFonts w:ascii="Arial" w:hAnsi="Arial" w:cs="Arial"/>
          <w:sz w:val="24"/>
          <w:szCs w:val="24"/>
        </w:rPr>
        <w:t>spesifik</w:t>
      </w:r>
      <w:r w:rsidRPr="0035519F">
        <w:rPr>
          <w:rFonts w:ascii="Arial" w:hAnsi="Arial" w:cs="Arial"/>
          <w:spacing w:val="1"/>
          <w:sz w:val="24"/>
          <w:szCs w:val="24"/>
        </w:rPr>
        <w:t xml:space="preserve"> </w:t>
      </w:r>
      <w:r w:rsidRPr="0035519F">
        <w:rPr>
          <w:rFonts w:ascii="Arial" w:hAnsi="Arial" w:cs="Arial"/>
          <w:sz w:val="24"/>
          <w:szCs w:val="24"/>
        </w:rPr>
        <w:t>terhadap</w:t>
      </w:r>
      <w:r w:rsidRPr="0035519F">
        <w:rPr>
          <w:rFonts w:ascii="Arial" w:hAnsi="Arial" w:cs="Arial"/>
          <w:spacing w:val="1"/>
          <w:sz w:val="24"/>
          <w:szCs w:val="24"/>
        </w:rPr>
        <w:t xml:space="preserve"> </w:t>
      </w:r>
      <w:r w:rsidRPr="0035519F">
        <w:rPr>
          <w:rFonts w:ascii="Arial" w:hAnsi="Arial" w:cs="Arial"/>
          <w:sz w:val="24"/>
          <w:szCs w:val="24"/>
        </w:rPr>
        <w:t>insulin</w:t>
      </w:r>
      <w:r w:rsidRPr="0035519F">
        <w:rPr>
          <w:rFonts w:ascii="Arial" w:hAnsi="Arial" w:cs="Arial"/>
          <w:spacing w:val="1"/>
          <w:sz w:val="24"/>
          <w:szCs w:val="24"/>
        </w:rPr>
        <w:t xml:space="preserve"> </w:t>
      </w:r>
      <w:r w:rsidRPr="0035519F">
        <w:rPr>
          <w:rFonts w:ascii="Arial" w:hAnsi="Arial" w:cs="Arial"/>
          <w:sz w:val="24"/>
          <w:szCs w:val="24"/>
        </w:rPr>
        <w:t>manusia.</w:t>
      </w:r>
      <w:r w:rsidRPr="0035519F">
        <w:rPr>
          <w:rFonts w:ascii="Arial" w:hAnsi="Arial" w:cs="Arial"/>
          <w:spacing w:val="1"/>
          <w:sz w:val="24"/>
          <w:szCs w:val="24"/>
        </w:rPr>
        <w:t xml:space="preserve"> </w:t>
      </w:r>
      <w:r w:rsidRPr="0035519F">
        <w:rPr>
          <w:rFonts w:ascii="Arial" w:hAnsi="Arial" w:cs="Arial"/>
          <w:sz w:val="24"/>
          <w:szCs w:val="24"/>
        </w:rPr>
        <w:t>Inkubasi</w:t>
      </w:r>
      <w:r w:rsidRPr="0035519F">
        <w:rPr>
          <w:rFonts w:ascii="Arial" w:hAnsi="Arial" w:cs="Arial"/>
          <w:spacing w:val="1"/>
          <w:sz w:val="24"/>
          <w:szCs w:val="24"/>
        </w:rPr>
        <w:t xml:space="preserve"> </w:t>
      </w:r>
      <w:r w:rsidRPr="0035519F">
        <w:rPr>
          <w:rFonts w:ascii="Arial" w:hAnsi="Arial" w:cs="Arial"/>
          <w:sz w:val="24"/>
          <w:szCs w:val="24"/>
        </w:rPr>
        <w:t>pertama:</w:t>
      </w:r>
      <w:r w:rsidRPr="0035519F">
        <w:rPr>
          <w:rFonts w:ascii="Arial" w:hAnsi="Arial" w:cs="Arial"/>
          <w:spacing w:val="1"/>
          <w:sz w:val="24"/>
          <w:szCs w:val="24"/>
        </w:rPr>
        <w:t xml:space="preserve"> </w:t>
      </w:r>
      <w:r w:rsidRPr="0035519F">
        <w:rPr>
          <w:rFonts w:ascii="Arial" w:hAnsi="Arial" w:cs="Arial"/>
          <w:sz w:val="24"/>
          <w:szCs w:val="24"/>
        </w:rPr>
        <w:t>insulin</w:t>
      </w:r>
      <w:r w:rsidRPr="0035519F">
        <w:rPr>
          <w:rFonts w:ascii="Arial" w:hAnsi="Arial" w:cs="Arial"/>
          <w:spacing w:val="1"/>
          <w:sz w:val="24"/>
          <w:szCs w:val="24"/>
        </w:rPr>
        <w:t xml:space="preserve"> </w:t>
      </w:r>
      <w:r w:rsidRPr="0035519F">
        <w:rPr>
          <w:rFonts w:ascii="Arial" w:hAnsi="Arial" w:cs="Arial"/>
          <w:sz w:val="24"/>
          <w:szCs w:val="24"/>
        </w:rPr>
        <w:t>dari</w:t>
      </w:r>
      <w:r w:rsidRPr="0035519F">
        <w:rPr>
          <w:rFonts w:ascii="Arial" w:hAnsi="Arial" w:cs="Arial"/>
          <w:spacing w:val="1"/>
          <w:sz w:val="24"/>
          <w:szCs w:val="24"/>
        </w:rPr>
        <w:t xml:space="preserve"> </w:t>
      </w:r>
      <w:r w:rsidR="00A6398E" w:rsidRPr="0035519F">
        <w:rPr>
          <w:rFonts w:ascii="Arial" w:hAnsi="Arial" w:cs="Arial"/>
          <w:sz w:val="24"/>
          <w:szCs w:val="24"/>
        </w:rPr>
        <w:t>10</w:t>
      </w:r>
      <w:r w:rsidRPr="0035519F">
        <w:rPr>
          <w:rFonts w:ascii="Arial" w:hAnsi="Arial" w:cs="Arial"/>
          <w:sz w:val="24"/>
          <w:szCs w:val="24"/>
        </w:rPr>
        <w:t>0</w:t>
      </w:r>
      <w:r w:rsidRPr="0035519F">
        <w:rPr>
          <w:rFonts w:ascii="Arial" w:hAnsi="Arial" w:cs="Arial"/>
          <w:spacing w:val="1"/>
          <w:sz w:val="24"/>
          <w:szCs w:val="24"/>
        </w:rPr>
        <w:t xml:space="preserve"> </w:t>
      </w:r>
      <w:r w:rsidRPr="0035519F">
        <w:rPr>
          <w:rFonts w:ascii="Arial" w:hAnsi="Arial" w:cs="Arial"/>
          <w:sz w:val="24"/>
          <w:szCs w:val="24"/>
        </w:rPr>
        <w:t>µL</w:t>
      </w:r>
      <w:r w:rsidRPr="0035519F">
        <w:rPr>
          <w:rFonts w:ascii="Arial" w:hAnsi="Arial" w:cs="Arial"/>
          <w:spacing w:val="1"/>
          <w:sz w:val="24"/>
          <w:szCs w:val="24"/>
        </w:rPr>
        <w:t xml:space="preserve"> </w:t>
      </w:r>
      <w:r w:rsidRPr="0035519F">
        <w:rPr>
          <w:rFonts w:ascii="Arial" w:hAnsi="Arial" w:cs="Arial"/>
          <w:sz w:val="24"/>
          <w:szCs w:val="24"/>
        </w:rPr>
        <w:t>sampel,</w:t>
      </w:r>
      <w:r w:rsidRPr="0035519F">
        <w:rPr>
          <w:rFonts w:ascii="Arial" w:hAnsi="Arial" w:cs="Arial"/>
          <w:spacing w:val="1"/>
          <w:sz w:val="24"/>
          <w:szCs w:val="24"/>
        </w:rPr>
        <w:t xml:space="preserve"> </w:t>
      </w:r>
      <w:r w:rsidRPr="0035519F">
        <w:rPr>
          <w:rFonts w:ascii="Arial" w:hAnsi="Arial" w:cs="Arial"/>
          <w:i/>
          <w:sz w:val="24"/>
          <w:szCs w:val="24"/>
        </w:rPr>
        <w:t>biotinylated</w:t>
      </w:r>
      <w:r w:rsidRPr="0035519F">
        <w:rPr>
          <w:rFonts w:ascii="Arial" w:hAnsi="Arial" w:cs="Arial"/>
          <w:i/>
          <w:spacing w:val="1"/>
          <w:sz w:val="24"/>
          <w:szCs w:val="24"/>
        </w:rPr>
        <w:t xml:space="preserve"> </w:t>
      </w:r>
      <w:r w:rsidRPr="0035519F">
        <w:rPr>
          <w:rFonts w:ascii="Arial" w:hAnsi="Arial" w:cs="Arial"/>
          <w:i/>
          <w:sz w:val="24"/>
          <w:szCs w:val="24"/>
        </w:rPr>
        <w:t>monoclonal</w:t>
      </w:r>
      <w:r w:rsidRPr="0035519F">
        <w:rPr>
          <w:rFonts w:ascii="Arial" w:hAnsi="Arial" w:cs="Arial"/>
          <w:i/>
          <w:spacing w:val="1"/>
          <w:sz w:val="24"/>
          <w:szCs w:val="24"/>
        </w:rPr>
        <w:t xml:space="preserve"> </w:t>
      </w:r>
      <w:r w:rsidRPr="0035519F">
        <w:rPr>
          <w:rFonts w:ascii="Arial" w:hAnsi="Arial" w:cs="Arial"/>
          <w:i/>
          <w:sz w:val="24"/>
          <w:szCs w:val="24"/>
        </w:rPr>
        <w:t>specific</w:t>
      </w:r>
      <w:r w:rsidRPr="0035519F">
        <w:rPr>
          <w:rFonts w:ascii="Arial" w:hAnsi="Arial" w:cs="Arial"/>
          <w:i/>
          <w:spacing w:val="1"/>
          <w:sz w:val="24"/>
          <w:szCs w:val="24"/>
        </w:rPr>
        <w:t xml:space="preserve"> </w:t>
      </w:r>
      <w:r w:rsidRPr="0035519F">
        <w:rPr>
          <w:rFonts w:ascii="Arial" w:hAnsi="Arial" w:cs="Arial"/>
          <w:i/>
          <w:sz w:val="24"/>
          <w:szCs w:val="24"/>
        </w:rPr>
        <w:t>antibody</w:t>
      </w:r>
      <w:r w:rsidRPr="0035519F">
        <w:rPr>
          <w:rFonts w:ascii="Arial" w:hAnsi="Arial" w:cs="Arial"/>
          <w:i/>
          <w:spacing w:val="1"/>
          <w:sz w:val="24"/>
          <w:szCs w:val="24"/>
        </w:rPr>
        <w:t xml:space="preserve"> </w:t>
      </w:r>
      <w:r w:rsidRPr="0035519F">
        <w:rPr>
          <w:rFonts w:ascii="Arial" w:hAnsi="Arial" w:cs="Arial"/>
          <w:sz w:val="24"/>
          <w:szCs w:val="24"/>
        </w:rPr>
        <w:t>dan</w:t>
      </w:r>
      <w:r w:rsidRPr="0035519F">
        <w:rPr>
          <w:rFonts w:ascii="Arial" w:hAnsi="Arial" w:cs="Arial"/>
          <w:spacing w:val="1"/>
          <w:sz w:val="24"/>
          <w:szCs w:val="24"/>
        </w:rPr>
        <w:t xml:space="preserve"> </w:t>
      </w:r>
      <w:r w:rsidRPr="0035519F">
        <w:rPr>
          <w:rFonts w:ascii="Arial" w:hAnsi="Arial" w:cs="Arial"/>
          <w:i/>
          <w:sz w:val="24"/>
          <w:szCs w:val="24"/>
        </w:rPr>
        <w:t>monoclonal</w:t>
      </w:r>
      <w:r w:rsidRPr="0035519F">
        <w:rPr>
          <w:rFonts w:ascii="Arial" w:hAnsi="Arial" w:cs="Arial"/>
          <w:i/>
          <w:spacing w:val="1"/>
          <w:sz w:val="24"/>
          <w:szCs w:val="24"/>
        </w:rPr>
        <w:t xml:space="preserve"> </w:t>
      </w:r>
      <w:r w:rsidRPr="0035519F">
        <w:rPr>
          <w:rFonts w:ascii="Arial" w:hAnsi="Arial" w:cs="Arial"/>
          <w:i/>
          <w:sz w:val="24"/>
          <w:szCs w:val="24"/>
        </w:rPr>
        <w:t>insulin</w:t>
      </w:r>
      <w:r w:rsidRPr="0035519F">
        <w:rPr>
          <w:rFonts w:ascii="Arial" w:hAnsi="Arial" w:cs="Arial"/>
          <w:i/>
          <w:spacing w:val="1"/>
          <w:sz w:val="24"/>
          <w:szCs w:val="24"/>
        </w:rPr>
        <w:t xml:space="preserve"> </w:t>
      </w:r>
      <w:r w:rsidRPr="0035519F">
        <w:rPr>
          <w:rFonts w:ascii="Arial" w:hAnsi="Arial" w:cs="Arial"/>
          <w:i/>
          <w:sz w:val="24"/>
          <w:szCs w:val="24"/>
        </w:rPr>
        <w:t>specific</w:t>
      </w:r>
      <w:r w:rsidRPr="0035519F">
        <w:rPr>
          <w:rFonts w:ascii="Arial" w:hAnsi="Arial" w:cs="Arial"/>
          <w:i/>
          <w:spacing w:val="1"/>
          <w:sz w:val="24"/>
          <w:szCs w:val="24"/>
        </w:rPr>
        <w:t xml:space="preserve"> </w:t>
      </w:r>
      <w:r w:rsidRPr="0035519F">
        <w:rPr>
          <w:rFonts w:ascii="Arial" w:hAnsi="Arial" w:cs="Arial"/>
          <w:i/>
          <w:sz w:val="24"/>
          <w:szCs w:val="24"/>
        </w:rPr>
        <w:t>antibody</w:t>
      </w:r>
      <w:r w:rsidRPr="0035519F">
        <w:rPr>
          <w:rFonts w:ascii="Arial" w:hAnsi="Arial" w:cs="Arial"/>
          <w:i/>
          <w:spacing w:val="1"/>
          <w:sz w:val="24"/>
          <w:szCs w:val="24"/>
        </w:rPr>
        <w:t xml:space="preserve"> </w:t>
      </w:r>
      <w:r w:rsidRPr="0035519F">
        <w:rPr>
          <w:rFonts w:ascii="Arial" w:hAnsi="Arial" w:cs="Arial"/>
          <w:sz w:val="24"/>
          <w:szCs w:val="24"/>
        </w:rPr>
        <w:t>berlabel</w:t>
      </w:r>
      <w:r w:rsidRPr="0035519F">
        <w:rPr>
          <w:rFonts w:ascii="Arial" w:hAnsi="Arial" w:cs="Arial"/>
          <w:spacing w:val="1"/>
          <w:sz w:val="24"/>
          <w:szCs w:val="24"/>
        </w:rPr>
        <w:t xml:space="preserve"> </w:t>
      </w:r>
      <w:r w:rsidRPr="0035519F">
        <w:rPr>
          <w:rFonts w:ascii="Arial" w:hAnsi="Arial" w:cs="Arial"/>
          <w:sz w:val="24"/>
          <w:szCs w:val="24"/>
        </w:rPr>
        <w:t>ruthenium</w:t>
      </w:r>
      <w:r w:rsidRPr="0035519F">
        <w:rPr>
          <w:rFonts w:ascii="Arial" w:hAnsi="Arial" w:cs="Arial"/>
          <w:spacing w:val="1"/>
          <w:sz w:val="24"/>
          <w:szCs w:val="24"/>
        </w:rPr>
        <w:t xml:space="preserve"> </w:t>
      </w:r>
      <w:r w:rsidRPr="0035519F">
        <w:rPr>
          <w:rFonts w:ascii="Arial" w:hAnsi="Arial" w:cs="Arial"/>
          <w:sz w:val="24"/>
          <w:szCs w:val="24"/>
        </w:rPr>
        <w:t>membentuk</w:t>
      </w:r>
      <w:r w:rsidRPr="0035519F">
        <w:rPr>
          <w:rFonts w:ascii="Arial" w:hAnsi="Arial" w:cs="Arial"/>
          <w:spacing w:val="1"/>
          <w:sz w:val="24"/>
          <w:szCs w:val="24"/>
        </w:rPr>
        <w:t xml:space="preserve"> </w:t>
      </w:r>
      <w:r w:rsidRPr="0035519F">
        <w:rPr>
          <w:rFonts w:ascii="Arial" w:hAnsi="Arial" w:cs="Arial"/>
          <w:sz w:val="24"/>
          <w:szCs w:val="24"/>
        </w:rPr>
        <w:t>kompleks</w:t>
      </w:r>
      <w:r w:rsidRPr="0035519F">
        <w:rPr>
          <w:rFonts w:ascii="Arial" w:hAnsi="Arial" w:cs="Arial"/>
          <w:spacing w:val="1"/>
          <w:sz w:val="24"/>
          <w:szCs w:val="24"/>
        </w:rPr>
        <w:t xml:space="preserve"> </w:t>
      </w:r>
      <w:r w:rsidRPr="0035519F">
        <w:rPr>
          <w:rFonts w:ascii="Arial" w:hAnsi="Arial" w:cs="Arial"/>
          <w:i/>
          <w:sz w:val="24"/>
          <w:szCs w:val="24"/>
        </w:rPr>
        <w:t>sandwich</w:t>
      </w:r>
      <w:r w:rsidRPr="0035519F">
        <w:rPr>
          <w:rFonts w:ascii="Arial" w:hAnsi="Arial" w:cs="Arial"/>
          <w:sz w:val="24"/>
          <w:szCs w:val="24"/>
        </w:rPr>
        <w:t>.</w:t>
      </w:r>
      <w:r w:rsidRPr="0035519F">
        <w:rPr>
          <w:rFonts w:ascii="Arial" w:hAnsi="Arial" w:cs="Arial"/>
          <w:spacing w:val="1"/>
          <w:sz w:val="24"/>
          <w:szCs w:val="24"/>
        </w:rPr>
        <w:t xml:space="preserve"> </w:t>
      </w:r>
      <w:r w:rsidRPr="0035519F">
        <w:rPr>
          <w:rFonts w:ascii="Arial" w:hAnsi="Arial" w:cs="Arial"/>
          <w:sz w:val="24"/>
          <w:szCs w:val="24"/>
        </w:rPr>
        <w:t>Inkubasi</w:t>
      </w:r>
      <w:r w:rsidRPr="0035519F">
        <w:rPr>
          <w:rFonts w:ascii="Arial" w:hAnsi="Arial" w:cs="Arial"/>
          <w:spacing w:val="1"/>
          <w:sz w:val="24"/>
          <w:szCs w:val="24"/>
        </w:rPr>
        <w:t xml:space="preserve"> </w:t>
      </w:r>
      <w:r w:rsidRPr="0035519F">
        <w:rPr>
          <w:rFonts w:ascii="Arial" w:hAnsi="Arial" w:cs="Arial"/>
          <w:sz w:val="24"/>
          <w:szCs w:val="24"/>
        </w:rPr>
        <w:t>kedua:</w:t>
      </w:r>
      <w:r w:rsidRPr="0035519F">
        <w:rPr>
          <w:rFonts w:ascii="Arial" w:hAnsi="Arial" w:cs="Arial"/>
          <w:spacing w:val="1"/>
          <w:sz w:val="24"/>
          <w:szCs w:val="24"/>
        </w:rPr>
        <w:t xml:space="preserve"> </w:t>
      </w:r>
      <w:r w:rsidRPr="0035519F">
        <w:rPr>
          <w:rFonts w:ascii="Arial" w:hAnsi="Arial" w:cs="Arial"/>
          <w:sz w:val="24"/>
          <w:szCs w:val="24"/>
        </w:rPr>
        <w:t>setelah</w:t>
      </w:r>
      <w:r w:rsidRPr="0035519F">
        <w:rPr>
          <w:rFonts w:ascii="Arial" w:hAnsi="Arial" w:cs="Arial"/>
          <w:spacing w:val="1"/>
          <w:sz w:val="24"/>
          <w:szCs w:val="24"/>
        </w:rPr>
        <w:t xml:space="preserve"> </w:t>
      </w:r>
      <w:r w:rsidRPr="0035519F">
        <w:rPr>
          <w:rFonts w:ascii="Arial" w:hAnsi="Arial" w:cs="Arial"/>
          <w:sz w:val="24"/>
          <w:szCs w:val="24"/>
        </w:rPr>
        <w:t>penambahan</w:t>
      </w:r>
      <w:r w:rsidRPr="0035519F">
        <w:rPr>
          <w:rFonts w:ascii="Arial" w:hAnsi="Arial" w:cs="Arial"/>
          <w:spacing w:val="1"/>
          <w:sz w:val="24"/>
          <w:szCs w:val="24"/>
        </w:rPr>
        <w:t xml:space="preserve"> </w:t>
      </w:r>
      <w:r w:rsidRPr="0035519F">
        <w:rPr>
          <w:rFonts w:ascii="Arial" w:hAnsi="Arial" w:cs="Arial"/>
          <w:i/>
          <w:sz w:val="24"/>
          <w:szCs w:val="24"/>
        </w:rPr>
        <w:t>streptavidin</w:t>
      </w:r>
      <w:r w:rsidRPr="0035519F">
        <w:rPr>
          <w:rFonts w:ascii="Arial" w:hAnsi="Arial" w:cs="Arial"/>
          <w:i/>
          <w:spacing w:val="1"/>
          <w:sz w:val="24"/>
          <w:szCs w:val="24"/>
        </w:rPr>
        <w:t xml:space="preserve"> </w:t>
      </w:r>
      <w:r w:rsidRPr="0035519F">
        <w:rPr>
          <w:rFonts w:ascii="Arial" w:hAnsi="Arial" w:cs="Arial"/>
          <w:i/>
          <w:sz w:val="24"/>
          <w:szCs w:val="24"/>
        </w:rPr>
        <w:t>coated</w:t>
      </w:r>
      <w:r w:rsidRPr="0035519F">
        <w:rPr>
          <w:rFonts w:ascii="Arial" w:hAnsi="Arial" w:cs="Arial"/>
          <w:i/>
          <w:spacing w:val="-64"/>
          <w:sz w:val="24"/>
          <w:szCs w:val="24"/>
        </w:rPr>
        <w:t xml:space="preserve"> </w:t>
      </w:r>
      <w:r w:rsidRPr="0035519F">
        <w:rPr>
          <w:rFonts w:ascii="Arial" w:hAnsi="Arial" w:cs="Arial"/>
          <w:i/>
          <w:sz w:val="24"/>
          <w:szCs w:val="24"/>
        </w:rPr>
        <w:t>microparticles</w:t>
      </w:r>
      <w:r w:rsidRPr="0035519F">
        <w:rPr>
          <w:rFonts w:ascii="Arial" w:hAnsi="Arial" w:cs="Arial"/>
          <w:sz w:val="24"/>
          <w:szCs w:val="24"/>
        </w:rPr>
        <w:t>,</w:t>
      </w:r>
      <w:r w:rsidRPr="0035519F">
        <w:rPr>
          <w:rFonts w:ascii="Arial" w:hAnsi="Arial" w:cs="Arial"/>
          <w:spacing w:val="1"/>
          <w:sz w:val="24"/>
          <w:szCs w:val="24"/>
        </w:rPr>
        <w:t xml:space="preserve"> </w:t>
      </w:r>
      <w:r w:rsidRPr="0035519F">
        <w:rPr>
          <w:rFonts w:ascii="Arial" w:hAnsi="Arial" w:cs="Arial"/>
          <w:sz w:val="24"/>
          <w:szCs w:val="24"/>
        </w:rPr>
        <w:t>kompleks</w:t>
      </w:r>
      <w:r w:rsidRPr="0035519F">
        <w:rPr>
          <w:rFonts w:ascii="Arial" w:hAnsi="Arial" w:cs="Arial"/>
          <w:spacing w:val="1"/>
          <w:sz w:val="24"/>
          <w:szCs w:val="24"/>
        </w:rPr>
        <w:t xml:space="preserve"> </w:t>
      </w:r>
      <w:r w:rsidRPr="0035519F">
        <w:rPr>
          <w:rFonts w:ascii="Arial" w:hAnsi="Arial" w:cs="Arial"/>
          <w:sz w:val="24"/>
          <w:szCs w:val="24"/>
        </w:rPr>
        <w:t>menjadi</w:t>
      </w:r>
      <w:r w:rsidRPr="0035519F">
        <w:rPr>
          <w:rFonts w:ascii="Arial" w:hAnsi="Arial" w:cs="Arial"/>
          <w:spacing w:val="1"/>
          <w:sz w:val="24"/>
          <w:szCs w:val="24"/>
        </w:rPr>
        <w:t xml:space="preserve"> </w:t>
      </w:r>
      <w:r w:rsidRPr="0035519F">
        <w:rPr>
          <w:rFonts w:ascii="Arial" w:hAnsi="Arial" w:cs="Arial"/>
          <w:sz w:val="24"/>
          <w:szCs w:val="24"/>
        </w:rPr>
        <w:t>terikat</w:t>
      </w:r>
      <w:r w:rsidRPr="0035519F">
        <w:rPr>
          <w:rFonts w:ascii="Arial" w:hAnsi="Arial" w:cs="Arial"/>
          <w:spacing w:val="1"/>
          <w:sz w:val="24"/>
          <w:szCs w:val="24"/>
        </w:rPr>
        <w:t xml:space="preserve"> </w:t>
      </w:r>
      <w:r w:rsidRPr="0035519F">
        <w:rPr>
          <w:rFonts w:ascii="Arial" w:hAnsi="Arial" w:cs="Arial"/>
          <w:sz w:val="24"/>
          <w:szCs w:val="24"/>
        </w:rPr>
        <w:t>pada</w:t>
      </w:r>
      <w:r w:rsidRPr="0035519F">
        <w:rPr>
          <w:rFonts w:ascii="Arial" w:hAnsi="Arial" w:cs="Arial"/>
          <w:spacing w:val="1"/>
          <w:sz w:val="24"/>
          <w:szCs w:val="24"/>
        </w:rPr>
        <w:t xml:space="preserve"> </w:t>
      </w:r>
      <w:r w:rsidRPr="0035519F">
        <w:rPr>
          <w:rFonts w:ascii="Arial" w:hAnsi="Arial" w:cs="Arial"/>
          <w:sz w:val="24"/>
          <w:szCs w:val="24"/>
        </w:rPr>
        <w:t>fase</w:t>
      </w:r>
      <w:r w:rsidRPr="0035519F">
        <w:rPr>
          <w:rFonts w:ascii="Arial" w:hAnsi="Arial" w:cs="Arial"/>
          <w:spacing w:val="1"/>
          <w:sz w:val="24"/>
          <w:szCs w:val="24"/>
        </w:rPr>
        <w:t xml:space="preserve"> </w:t>
      </w:r>
      <w:r w:rsidRPr="0035519F">
        <w:rPr>
          <w:rFonts w:ascii="Arial" w:hAnsi="Arial" w:cs="Arial"/>
          <w:sz w:val="24"/>
          <w:szCs w:val="24"/>
        </w:rPr>
        <w:t>solid</w:t>
      </w:r>
      <w:r w:rsidRPr="0035519F">
        <w:rPr>
          <w:rFonts w:ascii="Arial" w:hAnsi="Arial" w:cs="Arial"/>
          <w:spacing w:val="1"/>
          <w:sz w:val="24"/>
          <w:szCs w:val="24"/>
        </w:rPr>
        <w:t xml:space="preserve"> </w:t>
      </w:r>
      <w:r w:rsidRPr="0035519F">
        <w:rPr>
          <w:rFonts w:ascii="Arial" w:hAnsi="Arial" w:cs="Arial"/>
          <w:sz w:val="24"/>
          <w:szCs w:val="24"/>
        </w:rPr>
        <w:t>via</w:t>
      </w:r>
      <w:r w:rsidRPr="0035519F">
        <w:rPr>
          <w:rFonts w:ascii="Arial" w:hAnsi="Arial" w:cs="Arial"/>
          <w:spacing w:val="1"/>
          <w:sz w:val="24"/>
          <w:szCs w:val="24"/>
        </w:rPr>
        <w:t xml:space="preserve"> </w:t>
      </w:r>
      <w:r w:rsidRPr="0035519F">
        <w:rPr>
          <w:rFonts w:ascii="Arial" w:hAnsi="Arial" w:cs="Arial"/>
          <w:sz w:val="24"/>
          <w:szCs w:val="24"/>
        </w:rPr>
        <w:t>interaksi biotin dan streptavidin. Campuran reaksi diaspirasikan ke</w:t>
      </w:r>
      <w:r w:rsidRPr="0035519F">
        <w:rPr>
          <w:rFonts w:ascii="Arial" w:hAnsi="Arial" w:cs="Arial"/>
          <w:spacing w:val="-64"/>
          <w:sz w:val="24"/>
          <w:szCs w:val="24"/>
        </w:rPr>
        <w:t xml:space="preserve"> </w:t>
      </w:r>
      <w:r w:rsidRPr="0035519F">
        <w:rPr>
          <w:rFonts w:ascii="Arial" w:hAnsi="Arial" w:cs="Arial"/>
          <w:sz w:val="24"/>
          <w:szCs w:val="24"/>
        </w:rPr>
        <w:t>penghitung sel, mikropartikel ditangkap ke permukaan elektroda</w:t>
      </w:r>
      <w:r w:rsidRPr="0035519F">
        <w:rPr>
          <w:rFonts w:ascii="Arial" w:hAnsi="Arial" w:cs="Arial"/>
          <w:spacing w:val="1"/>
          <w:sz w:val="24"/>
          <w:szCs w:val="24"/>
        </w:rPr>
        <w:t xml:space="preserve"> </w:t>
      </w:r>
      <w:r w:rsidRPr="0035519F">
        <w:rPr>
          <w:rFonts w:ascii="Arial" w:hAnsi="Arial" w:cs="Arial"/>
          <w:sz w:val="24"/>
          <w:szCs w:val="24"/>
        </w:rPr>
        <w:t xml:space="preserve">secara magnetis. Zat yang tidak terikat dibuang dengan </w:t>
      </w:r>
      <w:r w:rsidRPr="0035519F">
        <w:rPr>
          <w:rFonts w:ascii="Arial" w:hAnsi="Arial" w:cs="Arial"/>
          <w:i/>
          <w:sz w:val="24"/>
          <w:szCs w:val="24"/>
        </w:rPr>
        <w:t>ProCell</w:t>
      </w:r>
      <w:r w:rsidRPr="0035519F">
        <w:rPr>
          <w:rFonts w:ascii="Arial" w:hAnsi="Arial" w:cs="Arial"/>
          <w:sz w:val="24"/>
          <w:szCs w:val="24"/>
        </w:rPr>
        <w:t>.</w:t>
      </w:r>
      <w:r w:rsidRPr="0035519F">
        <w:rPr>
          <w:rFonts w:ascii="Arial" w:hAnsi="Arial" w:cs="Arial"/>
          <w:spacing w:val="1"/>
          <w:sz w:val="24"/>
          <w:szCs w:val="24"/>
        </w:rPr>
        <w:t xml:space="preserve"> </w:t>
      </w:r>
      <w:r w:rsidRPr="0035519F">
        <w:rPr>
          <w:rFonts w:ascii="Arial" w:hAnsi="Arial" w:cs="Arial"/>
          <w:sz w:val="24"/>
          <w:szCs w:val="24"/>
        </w:rPr>
        <w:t>Pemberian arus listrik pada elektroda akan menginduksi reaksi</w:t>
      </w:r>
      <w:r w:rsidRPr="0035519F">
        <w:rPr>
          <w:rFonts w:ascii="Arial" w:hAnsi="Arial" w:cs="Arial"/>
          <w:spacing w:val="1"/>
          <w:sz w:val="24"/>
          <w:szCs w:val="24"/>
        </w:rPr>
        <w:t xml:space="preserve"> </w:t>
      </w:r>
      <w:r w:rsidRPr="0035519F">
        <w:rPr>
          <w:rFonts w:ascii="Arial" w:hAnsi="Arial" w:cs="Arial"/>
          <w:i/>
          <w:sz w:val="24"/>
          <w:szCs w:val="24"/>
        </w:rPr>
        <w:t>chemiluminescent</w:t>
      </w:r>
      <w:r w:rsidRPr="0035519F">
        <w:rPr>
          <w:rFonts w:ascii="Arial" w:hAnsi="Arial" w:cs="Arial"/>
          <w:i/>
          <w:spacing w:val="1"/>
          <w:sz w:val="24"/>
          <w:szCs w:val="24"/>
        </w:rPr>
        <w:t xml:space="preserve"> </w:t>
      </w:r>
      <w:r w:rsidRPr="0035519F">
        <w:rPr>
          <w:rFonts w:ascii="Arial" w:hAnsi="Arial" w:cs="Arial"/>
          <w:sz w:val="24"/>
          <w:szCs w:val="24"/>
        </w:rPr>
        <w:t>yang</w:t>
      </w:r>
      <w:r w:rsidRPr="0035519F">
        <w:rPr>
          <w:rFonts w:ascii="Arial" w:hAnsi="Arial" w:cs="Arial"/>
          <w:spacing w:val="1"/>
          <w:sz w:val="24"/>
          <w:szCs w:val="24"/>
        </w:rPr>
        <w:t xml:space="preserve"> </w:t>
      </w:r>
      <w:r w:rsidRPr="0035519F">
        <w:rPr>
          <w:rFonts w:ascii="Arial" w:hAnsi="Arial" w:cs="Arial"/>
          <w:sz w:val="24"/>
          <w:szCs w:val="24"/>
        </w:rPr>
        <w:t>dihitung</w:t>
      </w:r>
      <w:r w:rsidRPr="0035519F">
        <w:rPr>
          <w:rFonts w:ascii="Arial" w:hAnsi="Arial" w:cs="Arial"/>
          <w:spacing w:val="1"/>
          <w:sz w:val="24"/>
          <w:szCs w:val="24"/>
        </w:rPr>
        <w:t xml:space="preserve"> </w:t>
      </w:r>
      <w:r w:rsidRPr="0035519F">
        <w:rPr>
          <w:rFonts w:ascii="Arial" w:hAnsi="Arial" w:cs="Arial"/>
          <w:sz w:val="24"/>
          <w:szCs w:val="24"/>
        </w:rPr>
        <w:t>oleh</w:t>
      </w:r>
      <w:r w:rsidRPr="0035519F">
        <w:rPr>
          <w:rFonts w:ascii="Arial" w:hAnsi="Arial" w:cs="Arial"/>
          <w:spacing w:val="1"/>
          <w:sz w:val="24"/>
          <w:szCs w:val="24"/>
        </w:rPr>
        <w:t xml:space="preserve"> </w:t>
      </w:r>
      <w:r w:rsidRPr="0035519F">
        <w:rPr>
          <w:rFonts w:ascii="Arial" w:hAnsi="Arial" w:cs="Arial"/>
          <w:i/>
          <w:sz w:val="24"/>
          <w:szCs w:val="24"/>
        </w:rPr>
        <w:t>photomultiplier</w:t>
      </w:r>
      <w:r w:rsidRPr="0035519F">
        <w:rPr>
          <w:rFonts w:ascii="Arial" w:hAnsi="Arial" w:cs="Arial"/>
          <w:sz w:val="24"/>
          <w:szCs w:val="24"/>
        </w:rPr>
        <w:t>.</w:t>
      </w:r>
      <w:r w:rsidRPr="0035519F">
        <w:rPr>
          <w:rFonts w:ascii="Arial" w:hAnsi="Arial" w:cs="Arial"/>
          <w:spacing w:val="1"/>
          <w:sz w:val="24"/>
          <w:szCs w:val="24"/>
        </w:rPr>
        <w:t xml:space="preserve"> </w:t>
      </w:r>
      <w:r w:rsidRPr="0035519F">
        <w:rPr>
          <w:rFonts w:ascii="Arial" w:hAnsi="Arial" w:cs="Arial"/>
          <w:sz w:val="24"/>
          <w:szCs w:val="24"/>
        </w:rPr>
        <w:t>Jumlah</w:t>
      </w:r>
      <w:r w:rsidRPr="0035519F">
        <w:rPr>
          <w:rFonts w:ascii="Arial" w:hAnsi="Arial" w:cs="Arial"/>
          <w:spacing w:val="1"/>
          <w:sz w:val="24"/>
          <w:szCs w:val="24"/>
        </w:rPr>
        <w:t xml:space="preserve"> </w:t>
      </w:r>
      <w:r w:rsidRPr="0035519F">
        <w:rPr>
          <w:rFonts w:ascii="Arial" w:hAnsi="Arial" w:cs="Arial"/>
          <w:sz w:val="24"/>
          <w:szCs w:val="24"/>
        </w:rPr>
        <w:t>cahaya</w:t>
      </w:r>
      <w:r w:rsidRPr="0035519F">
        <w:rPr>
          <w:rFonts w:ascii="Arial" w:hAnsi="Arial" w:cs="Arial"/>
          <w:spacing w:val="1"/>
          <w:sz w:val="24"/>
          <w:szCs w:val="24"/>
        </w:rPr>
        <w:t xml:space="preserve"> </w:t>
      </w:r>
      <w:r w:rsidRPr="0035519F">
        <w:rPr>
          <w:rFonts w:ascii="Arial" w:hAnsi="Arial" w:cs="Arial"/>
          <w:sz w:val="24"/>
          <w:szCs w:val="24"/>
        </w:rPr>
        <w:t>yang</w:t>
      </w:r>
      <w:r w:rsidRPr="0035519F">
        <w:rPr>
          <w:rFonts w:ascii="Arial" w:hAnsi="Arial" w:cs="Arial"/>
          <w:spacing w:val="1"/>
          <w:sz w:val="24"/>
          <w:szCs w:val="24"/>
        </w:rPr>
        <w:t xml:space="preserve"> </w:t>
      </w:r>
      <w:r w:rsidRPr="0035519F">
        <w:rPr>
          <w:rFonts w:ascii="Arial" w:hAnsi="Arial" w:cs="Arial"/>
          <w:sz w:val="24"/>
          <w:szCs w:val="24"/>
        </w:rPr>
        <w:t>dihasilkan</w:t>
      </w:r>
      <w:r w:rsidRPr="0035519F">
        <w:rPr>
          <w:rFonts w:ascii="Arial" w:hAnsi="Arial" w:cs="Arial"/>
          <w:spacing w:val="1"/>
          <w:sz w:val="24"/>
          <w:szCs w:val="24"/>
        </w:rPr>
        <w:t xml:space="preserve"> </w:t>
      </w:r>
      <w:r w:rsidRPr="0035519F">
        <w:rPr>
          <w:rFonts w:ascii="Arial" w:hAnsi="Arial" w:cs="Arial"/>
          <w:sz w:val="24"/>
          <w:szCs w:val="24"/>
        </w:rPr>
        <w:t>secara</w:t>
      </w:r>
      <w:r w:rsidRPr="0035519F">
        <w:rPr>
          <w:rFonts w:ascii="Arial" w:hAnsi="Arial" w:cs="Arial"/>
          <w:spacing w:val="1"/>
          <w:sz w:val="24"/>
          <w:szCs w:val="24"/>
        </w:rPr>
        <w:t xml:space="preserve"> </w:t>
      </w:r>
      <w:r w:rsidRPr="0035519F">
        <w:rPr>
          <w:rFonts w:ascii="Arial" w:hAnsi="Arial" w:cs="Arial"/>
          <w:sz w:val="24"/>
          <w:szCs w:val="24"/>
        </w:rPr>
        <w:t>langsung</w:t>
      </w:r>
      <w:r w:rsidRPr="0035519F">
        <w:rPr>
          <w:rFonts w:ascii="Arial" w:hAnsi="Arial" w:cs="Arial"/>
          <w:spacing w:val="1"/>
          <w:sz w:val="24"/>
          <w:szCs w:val="24"/>
        </w:rPr>
        <w:t xml:space="preserve"> </w:t>
      </w:r>
      <w:r w:rsidRPr="0035519F">
        <w:rPr>
          <w:rFonts w:ascii="Arial" w:hAnsi="Arial" w:cs="Arial"/>
          <w:sz w:val="24"/>
          <w:szCs w:val="24"/>
        </w:rPr>
        <w:t>sebanding</w:t>
      </w:r>
      <w:r w:rsidRPr="0035519F">
        <w:rPr>
          <w:rFonts w:ascii="Arial" w:hAnsi="Arial" w:cs="Arial"/>
          <w:spacing w:val="66"/>
          <w:sz w:val="24"/>
          <w:szCs w:val="24"/>
        </w:rPr>
        <w:t xml:space="preserve"> </w:t>
      </w:r>
      <w:r w:rsidRPr="0035519F">
        <w:rPr>
          <w:rFonts w:ascii="Arial" w:hAnsi="Arial" w:cs="Arial"/>
          <w:sz w:val="24"/>
          <w:szCs w:val="24"/>
        </w:rPr>
        <w:t>dengan</w:t>
      </w:r>
      <w:r w:rsidRPr="0035519F">
        <w:rPr>
          <w:rFonts w:ascii="Arial" w:hAnsi="Arial" w:cs="Arial"/>
          <w:spacing w:val="1"/>
          <w:sz w:val="24"/>
          <w:szCs w:val="24"/>
        </w:rPr>
        <w:t xml:space="preserve"> </w:t>
      </w:r>
      <w:r w:rsidRPr="0035519F">
        <w:rPr>
          <w:rFonts w:ascii="Arial" w:hAnsi="Arial" w:cs="Arial"/>
          <w:sz w:val="24"/>
          <w:szCs w:val="24"/>
        </w:rPr>
        <w:t>jumlah</w:t>
      </w:r>
      <w:r w:rsidRPr="0035519F">
        <w:rPr>
          <w:rFonts w:ascii="Arial" w:hAnsi="Arial" w:cs="Arial"/>
          <w:spacing w:val="1"/>
          <w:sz w:val="24"/>
          <w:szCs w:val="24"/>
        </w:rPr>
        <w:t xml:space="preserve"> </w:t>
      </w:r>
      <w:r w:rsidRPr="0035519F">
        <w:rPr>
          <w:rFonts w:ascii="Arial" w:hAnsi="Arial" w:cs="Arial"/>
          <w:sz w:val="24"/>
          <w:szCs w:val="24"/>
        </w:rPr>
        <w:t>insulin</w:t>
      </w:r>
      <w:r w:rsidRPr="0035519F">
        <w:rPr>
          <w:rFonts w:ascii="Arial" w:hAnsi="Arial" w:cs="Arial"/>
          <w:spacing w:val="1"/>
          <w:sz w:val="24"/>
          <w:szCs w:val="24"/>
        </w:rPr>
        <w:t xml:space="preserve"> </w:t>
      </w:r>
      <w:r w:rsidRPr="0035519F">
        <w:rPr>
          <w:rFonts w:ascii="Arial" w:hAnsi="Arial" w:cs="Arial"/>
          <w:sz w:val="24"/>
          <w:szCs w:val="24"/>
        </w:rPr>
        <w:t>dalam</w:t>
      </w:r>
      <w:r w:rsidRPr="0035519F">
        <w:rPr>
          <w:rFonts w:ascii="Arial" w:hAnsi="Arial" w:cs="Arial"/>
          <w:spacing w:val="1"/>
          <w:sz w:val="24"/>
          <w:szCs w:val="24"/>
        </w:rPr>
        <w:t xml:space="preserve"> </w:t>
      </w:r>
      <w:r w:rsidRPr="0035519F">
        <w:rPr>
          <w:rFonts w:ascii="Arial" w:hAnsi="Arial" w:cs="Arial"/>
          <w:sz w:val="24"/>
          <w:szCs w:val="24"/>
        </w:rPr>
        <w:t>sampel.</w:t>
      </w:r>
      <w:r w:rsidRPr="0035519F">
        <w:rPr>
          <w:rFonts w:ascii="Arial" w:hAnsi="Arial" w:cs="Arial"/>
          <w:spacing w:val="1"/>
          <w:sz w:val="24"/>
          <w:szCs w:val="24"/>
        </w:rPr>
        <w:t xml:space="preserve"> </w:t>
      </w:r>
      <w:r w:rsidRPr="0035519F">
        <w:rPr>
          <w:rFonts w:ascii="Arial" w:hAnsi="Arial" w:cs="Arial"/>
          <w:sz w:val="24"/>
          <w:szCs w:val="24"/>
        </w:rPr>
        <w:t>Hasil</w:t>
      </w:r>
      <w:r w:rsidRPr="0035519F">
        <w:rPr>
          <w:rFonts w:ascii="Arial" w:hAnsi="Arial" w:cs="Arial"/>
          <w:spacing w:val="1"/>
          <w:sz w:val="24"/>
          <w:szCs w:val="24"/>
        </w:rPr>
        <w:t xml:space="preserve"> </w:t>
      </w:r>
      <w:r w:rsidRPr="0035519F">
        <w:rPr>
          <w:rFonts w:ascii="Arial" w:hAnsi="Arial" w:cs="Arial"/>
          <w:sz w:val="24"/>
          <w:szCs w:val="24"/>
        </w:rPr>
        <w:t>ditentukan</w:t>
      </w:r>
      <w:r w:rsidRPr="0035519F">
        <w:rPr>
          <w:rFonts w:ascii="Arial" w:hAnsi="Arial" w:cs="Arial"/>
          <w:spacing w:val="1"/>
          <w:sz w:val="24"/>
          <w:szCs w:val="24"/>
        </w:rPr>
        <w:t xml:space="preserve"> </w:t>
      </w:r>
      <w:r w:rsidRPr="0035519F">
        <w:rPr>
          <w:rFonts w:ascii="Arial" w:hAnsi="Arial" w:cs="Arial"/>
          <w:sz w:val="24"/>
          <w:szCs w:val="24"/>
        </w:rPr>
        <w:t>dengan</w:t>
      </w:r>
      <w:r w:rsidRPr="0035519F">
        <w:rPr>
          <w:rFonts w:ascii="Arial" w:hAnsi="Arial" w:cs="Arial"/>
          <w:spacing w:val="1"/>
          <w:sz w:val="24"/>
          <w:szCs w:val="24"/>
        </w:rPr>
        <w:t xml:space="preserve"> </w:t>
      </w:r>
      <w:r w:rsidRPr="0035519F">
        <w:rPr>
          <w:rFonts w:ascii="Arial" w:hAnsi="Arial" w:cs="Arial"/>
          <w:sz w:val="24"/>
          <w:szCs w:val="24"/>
        </w:rPr>
        <w:t>kurva</w:t>
      </w:r>
      <w:r w:rsidRPr="0035519F">
        <w:rPr>
          <w:rFonts w:ascii="Arial" w:hAnsi="Arial" w:cs="Arial"/>
          <w:spacing w:val="1"/>
          <w:sz w:val="24"/>
          <w:szCs w:val="24"/>
        </w:rPr>
        <w:t xml:space="preserve"> </w:t>
      </w:r>
      <w:r w:rsidRPr="0035519F">
        <w:rPr>
          <w:rFonts w:ascii="Arial" w:hAnsi="Arial" w:cs="Arial"/>
          <w:sz w:val="24"/>
          <w:szCs w:val="24"/>
        </w:rPr>
        <w:t>kalibrasi.</w:t>
      </w:r>
    </w:p>
    <w:p w14:paraId="6ED8124A"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Cara kerja </w:t>
      </w:r>
      <w:r w:rsidRPr="0035519F">
        <w:rPr>
          <w:rFonts w:ascii="Arial" w:hAnsi="Arial" w:cs="Arial"/>
          <w:b/>
          <w:sz w:val="24"/>
          <w:szCs w:val="24"/>
        </w:rPr>
        <w:fldChar w:fldCharType="begin" w:fldLock="1"/>
      </w:r>
      <w:r w:rsidR="00D11F03" w:rsidRPr="0035519F">
        <w:rPr>
          <w:rFonts w:ascii="Arial" w:hAnsi="Arial" w:cs="Arial"/>
          <w:b/>
          <w:sz w:val="24"/>
          <w:szCs w:val="24"/>
        </w:rPr>
        <w:instrText>ADDIN CSL_CITATION {"citationItems":[{"id":"ITEM-1","itemData":{"author":[{"dropping-particle":"","family":"Roche","given":"","non-dropping-particle":"","parse-names":false,"suffix":""}],"id":"ITEM-1","issued":{"date-parts":[["2013"]]},"publisher":"Roche Diagnostic","publisher-place":"Indianapolis","title":"Insulin","type":"book"},"uris":["http://www.mendeley.com/documents/?uuid=072e0852-7c4b-4c80-a743-b559e63db977","http://www.mendeley.com/documents/?uuid=8e454564-205d-4f76-8e32-f585e7009e22"]}],"mendeley":{"formattedCitation":"(Roche, 2013)","plainTextFormattedCitation":"(Roche, 2013)","previouslyFormattedCitation":"(Roche, 2013)"},"properties":{"noteIndex":0},"schema":"https://github.com/citation-style-language/schema/raw/master/csl-citation.json"}</w:instrText>
      </w:r>
      <w:r w:rsidRPr="0035519F">
        <w:rPr>
          <w:rFonts w:ascii="Arial" w:hAnsi="Arial" w:cs="Arial"/>
          <w:b/>
          <w:sz w:val="24"/>
          <w:szCs w:val="24"/>
        </w:rPr>
        <w:fldChar w:fldCharType="separate"/>
      </w:r>
      <w:r w:rsidR="00D11F03" w:rsidRPr="0035519F">
        <w:rPr>
          <w:rFonts w:ascii="Arial" w:hAnsi="Arial" w:cs="Arial"/>
          <w:noProof/>
          <w:sz w:val="24"/>
          <w:szCs w:val="24"/>
        </w:rPr>
        <w:t>(Roche, 2013)</w:t>
      </w:r>
      <w:r w:rsidRPr="0035519F">
        <w:rPr>
          <w:rFonts w:ascii="Arial" w:hAnsi="Arial" w:cs="Arial"/>
          <w:b/>
          <w:sz w:val="24"/>
          <w:szCs w:val="24"/>
        </w:rPr>
        <w:fldChar w:fldCharType="end"/>
      </w:r>
    </w:p>
    <w:p w14:paraId="72428403"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Letakkan</w:t>
      </w:r>
      <w:r w:rsidRPr="0035519F">
        <w:rPr>
          <w:rFonts w:ascii="Arial" w:hAnsi="Arial" w:cs="Arial"/>
          <w:spacing w:val="-2"/>
          <w:sz w:val="24"/>
          <w:szCs w:val="24"/>
        </w:rPr>
        <w:t xml:space="preserve"> </w:t>
      </w:r>
      <w:r w:rsidRPr="0035519F">
        <w:rPr>
          <w:rFonts w:ascii="Arial" w:hAnsi="Arial" w:cs="Arial"/>
          <w:sz w:val="24"/>
          <w:szCs w:val="24"/>
        </w:rPr>
        <w:t>spesimen</w:t>
      </w:r>
      <w:r w:rsidRPr="0035519F">
        <w:rPr>
          <w:rFonts w:ascii="Arial" w:hAnsi="Arial" w:cs="Arial"/>
          <w:spacing w:val="-4"/>
          <w:sz w:val="24"/>
          <w:szCs w:val="24"/>
        </w:rPr>
        <w:t xml:space="preserve"> </w:t>
      </w:r>
      <w:r w:rsidRPr="0035519F">
        <w:rPr>
          <w:rFonts w:ascii="Arial" w:hAnsi="Arial" w:cs="Arial"/>
          <w:sz w:val="24"/>
          <w:szCs w:val="24"/>
        </w:rPr>
        <w:t>ke</w:t>
      </w:r>
      <w:r w:rsidRPr="0035519F">
        <w:rPr>
          <w:rFonts w:ascii="Arial" w:hAnsi="Arial" w:cs="Arial"/>
          <w:spacing w:val="-3"/>
          <w:sz w:val="24"/>
          <w:szCs w:val="24"/>
        </w:rPr>
        <w:t xml:space="preserve"> </w:t>
      </w:r>
      <w:r w:rsidRPr="0035519F">
        <w:rPr>
          <w:rFonts w:ascii="Arial" w:hAnsi="Arial" w:cs="Arial"/>
          <w:sz w:val="24"/>
          <w:szCs w:val="24"/>
        </w:rPr>
        <w:t>dalam rak</w:t>
      </w:r>
      <w:r w:rsidRPr="0035519F">
        <w:rPr>
          <w:rFonts w:ascii="Arial" w:hAnsi="Arial" w:cs="Arial"/>
          <w:spacing w:val="-2"/>
          <w:sz w:val="24"/>
          <w:szCs w:val="24"/>
        </w:rPr>
        <w:t xml:space="preserve"> </w:t>
      </w:r>
      <w:r w:rsidRPr="0035519F">
        <w:rPr>
          <w:rFonts w:ascii="Arial" w:hAnsi="Arial" w:cs="Arial"/>
          <w:sz w:val="24"/>
          <w:szCs w:val="24"/>
        </w:rPr>
        <w:t>sampel.</w:t>
      </w:r>
    </w:p>
    <w:p w14:paraId="7CCF4CEA" w14:textId="77777777" w:rsidR="007757AB" w:rsidRPr="0035519F" w:rsidRDefault="007757AB" w:rsidP="007757AB">
      <w:pPr>
        <w:pStyle w:val="BodyText"/>
        <w:tabs>
          <w:tab w:val="left" w:pos="1418"/>
        </w:tabs>
        <w:ind w:left="993" w:hanging="284"/>
        <w:rPr>
          <w:lang w:val="id-ID"/>
        </w:rPr>
      </w:pPr>
    </w:p>
    <w:p w14:paraId="37C6A784"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Tekan</w:t>
      </w:r>
      <w:r w:rsidRPr="0035519F">
        <w:rPr>
          <w:rFonts w:ascii="Arial" w:hAnsi="Arial" w:cs="Arial"/>
          <w:spacing w:val="-2"/>
          <w:sz w:val="24"/>
          <w:szCs w:val="24"/>
        </w:rPr>
        <w:t xml:space="preserve"> </w:t>
      </w:r>
      <w:r w:rsidRPr="0035519F">
        <w:rPr>
          <w:rFonts w:ascii="Arial" w:hAnsi="Arial" w:cs="Arial"/>
          <w:sz w:val="24"/>
          <w:szCs w:val="24"/>
        </w:rPr>
        <w:t>“</w:t>
      </w:r>
      <w:r w:rsidRPr="0035519F">
        <w:rPr>
          <w:rFonts w:ascii="Arial" w:hAnsi="Arial" w:cs="Arial"/>
          <w:i/>
          <w:sz w:val="24"/>
          <w:szCs w:val="24"/>
        </w:rPr>
        <w:t>orders</w:t>
      </w:r>
      <w:r w:rsidRPr="0035519F">
        <w:rPr>
          <w:rFonts w:ascii="Arial" w:hAnsi="Arial" w:cs="Arial"/>
          <w:sz w:val="24"/>
          <w:szCs w:val="24"/>
        </w:rPr>
        <w:t>”</w:t>
      </w:r>
      <w:r w:rsidRPr="0035519F">
        <w:rPr>
          <w:rFonts w:ascii="Arial" w:hAnsi="Arial" w:cs="Arial"/>
          <w:spacing w:val="-2"/>
          <w:sz w:val="24"/>
          <w:szCs w:val="24"/>
        </w:rPr>
        <w:t xml:space="preserve"> </w:t>
      </w:r>
      <w:r w:rsidRPr="0035519F">
        <w:rPr>
          <w:rFonts w:ascii="Arial" w:hAnsi="Arial" w:cs="Arial"/>
          <w:sz w:val="24"/>
          <w:szCs w:val="24"/>
        </w:rPr>
        <w:t>untuk</w:t>
      </w:r>
      <w:r w:rsidRPr="0035519F">
        <w:rPr>
          <w:rFonts w:ascii="Arial" w:hAnsi="Arial" w:cs="Arial"/>
          <w:spacing w:val="-3"/>
          <w:sz w:val="24"/>
          <w:szCs w:val="24"/>
        </w:rPr>
        <w:t xml:space="preserve"> </w:t>
      </w:r>
      <w:r w:rsidRPr="0035519F">
        <w:rPr>
          <w:rFonts w:ascii="Arial" w:hAnsi="Arial" w:cs="Arial"/>
          <w:sz w:val="24"/>
          <w:szCs w:val="24"/>
        </w:rPr>
        <w:t>membuka</w:t>
      </w:r>
      <w:r w:rsidRPr="0035519F">
        <w:rPr>
          <w:rFonts w:ascii="Arial" w:hAnsi="Arial" w:cs="Arial"/>
          <w:spacing w:val="1"/>
          <w:sz w:val="24"/>
          <w:szCs w:val="24"/>
        </w:rPr>
        <w:t xml:space="preserve"> </w:t>
      </w:r>
      <w:r w:rsidRPr="0035519F">
        <w:rPr>
          <w:rFonts w:ascii="Arial" w:hAnsi="Arial" w:cs="Arial"/>
          <w:i/>
          <w:sz w:val="24"/>
          <w:szCs w:val="24"/>
        </w:rPr>
        <w:t>folder</w:t>
      </w:r>
      <w:r w:rsidRPr="0035519F">
        <w:rPr>
          <w:rFonts w:ascii="Arial" w:hAnsi="Arial" w:cs="Arial"/>
          <w:i/>
          <w:spacing w:val="-5"/>
          <w:sz w:val="24"/>
          <w:szCs w:val="24"/>
        </w:rPr>
        <w:t xml:space="preserve"> </w:t>
      </w:r>
      <w:r w:rsidRPr="0035519F">
        <w:rPr>
          <w:rFonts w:ascii="Arial" w:hAnsi="Arial" w:cs="Arial"/>
          <w:i/>
          <w:sz w:val="24"/>
          <w:szCs w:val="24"/>
        </w:rPr>
        <w:t>order</w:t>
      </w:r>
      <w:r w:rsidRPr="0035519F">
        <w:rPr>
          <w:rFonts w:ascii="Arial" w:hAnsi="Arial" w:cs="Arial"/>
          <w:sz w:val="24"/>
          <w:szCs w:val="24"/>
        </w:rPr>
        <w:t>.</w:t>
      </w:r>
    </w:p>
    <w:p w14:paraId="5B154C31" w14:textId="77777777" w:rsidR="007757AB" w:rsidRPr="0035519F" w:rsidRDefault="007757AB" w:rsidP="007757AB">
      <w:pPr>
        <w:pStyle w:val="BodyText"/>
        <w:tabs>
          <w:tab w:val="left" w:pos="1418"/>
        </w:tabs>
        <w:ind w:left="993" w:hanging="284"/>
        <w:rPr>
          <w:lang w:val="id-ID"/>
        </w:rPr>
      </w:pPr>
    </w:p>
    <w:p w14:paraId="5B18DA74"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Pastikan</w:t>
      </w:r>
      <w:r w:rsidRPr="0035519F">
        <w:rPr>
          <w:rFonts w:ascii="Arial" w:hAnsi="Arial" w:cs="Arial"/>
          <w:spacing w:val="-4"/>
          <w:sz w:val="24"/>
          <w:szCs w:val="24"/>
        </w:rPr>
        <w:t xml:space="preserve"> </w:t>
      </w:r>
      <w:r w:rsidRPr="0035519F">
        <w:rPr>
          <w:rFonts w:ascii="Arial" w:hAnsi="Arial" w:cs="Arial"/>
          <w:sz w:val="24"/>
          <w:szCs w:val="24"/>
        </w:rPr>
        <w:t>tombol</w:t>
      </w:r>
      <w:r w:rsidRPr="0035519F">
        <w:rPr>
          <w:rFonts w:ascii="Arial" w:hAnsi="Arial" w:cs="Arial"/>
          <w:spacing w:val="-3"/>
          <w:sz w:val="24"/>
          <w:szCs w:val="24"/>
        </w:rPr>
        <w:t xml:space="preserve"> </w:t>
      </w:r>
      <w:r w:rsidRPr="0035519F">
        <w:rPr>
          <w:rFonts w:ascii="Arial" w:hAnsi="Arial" w:cs="Arial"/>
          <w:sz w:val="24"/>
          <w:szCs w:val="24"/>
        </w:rPr>
        <w:t>Sampel,</w:t>
      </w:r>
      <w:r w:rsidRPr="0035519F">
        <w:rPr>
          <w:rFonts w:ascii="Arial" w:hAnsi="Arial" w:cs="Arial"/>
          <w:spacing w:val="-2"/>
          <w:sz w:val="24"/>
          <w:szCs w:val="24"/>
        </w:rPr>
        <w:t xml:space="preserve"> </w:t>
      </w:r>
      <w:r w:rsidRPr="0035519F">
        <w:rPr>
          <w:rFonts w:ascii="Arial" w:hAnsi="Arial" w:cs="Arial"/>
          <w:sz w:val="24"/>
          <w:szCs w:val="24"/>
        </w:rPr>
        <w:t>Kontrol,</w:t>
      </w:r>
      <w:r w:rsidRPr="0035519F">
        <w:rPr>
          <w:rFonts w:ascii="Arial" w:hAnsi="Arial" w:cs="Arial"/>
          <w:spacing w:val="-2"/>
          <w:sz w:val="24"/>
          <w:szCs w:val="24"/>
        </w:rPr>
        <w:t xml:space="preserve"> </w:t>
      </w:r>
      <w:r w:rsidRPr="0035519F">
        <w:rPr>
          <w:rFonts w:ascii="Arial" w:hAnsi="Arial" w:cs="Arial"/>
          <w:sz w:val="24"/>
          <w:szCs w:val="24"/>
        </w:rPr>
        <w:t>Kalibrator</w:t>
      </w:r>
      <w:r w:rsidRPr="0035519F">
        <w:rPr>
          <w:rFonts w:ascii="Arial" w:hAnsi="Arial" w:cs="Arial"/>
          <w:spacing w:val="-5"/>
          <w:sz w:val="24"/>
          <w:szCs w:val="24"/>
        </w:rPr>
        <w:t xml:space="preserve"> </w:t>
      </w:r>
      <w:r w:rsidRPr="0035519F">
        <w:rPr>
          <w:rFonts w:ascii="Arial" w:hAnsi="Arial" w:cs="Arial"/>
          <w:sz w:val="24"/>
          <w:szCs w:val="24"/>
        </w:rPr>
        <w:t>ditekan.</w:t>
      </w:r>
    </w:p>
    <w:p w14:paraId="63816822" w14:textId="77777777" w:rsidR="007757AB" w:rsidRPr="0035519F" w:rsidRDefault="007757AB" w:rsidP="007757AB">
      <w:pPr>
        <w:pStyle w:val="BodyText"/>
        <w:tabs>
          <w:tab w:val="left" w:pos="1418"/>
        </w:tabs>
        <w:ind w:left="993" w:hanging="284"/>
        <w:rPr>
          <w:lang w:val="id-ID"/>
        </w:rPr>
      </w:pPr>
    </w:p>
    <w:p w14:paraId="7684D1F1"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Tekan</w:t>
      </w:r>
      <w:r w:rsidRPr="0035519F">
        <w:rPr>
          <w:rFonts w:ascii="Arial" w:hAnsi="Arial" w:cs="Arial"/>
          <w:spacing w:val="-3"/>
          <w:sz w:val="24"/>
          <w:szCs w:val="24"/>
        </w:rPr>
        <w:t xml:space="preserve"> </w:t>
      </w:r>
      <w:r w:rsidRPr="0035519F">
        <w:rPr>
          <w:rFonts w:ascii="Arial" w:hAnsi="Arial" w:cs="Arial"/>
          <w:sz w:val="24"/>
          <w:szCs w:val="24"/>
        </w:rPr>
        <w:t>“</w:t>
      </w:r>
      <w:r w:rsidRPr="0035519F">
        <w:rPr>
          <w:rFonts w:ascii="Arial" w:hAnsi="Arial" w:cs="Arial"/>
          <w:i/>
          <w:sz w:val="24"/>
          <w:szCs w:val="24"/>
        </w:rPr>
        <w:t>Sample</w:t>
      </w:r>
      <w:r w:rsidRPr="0035519F">
        <w:rPr>
          <w:rFonts w:ascii="Arial" w:hAnsi="Arial" w:cs="Arial"/>
          <w:i/>
          <w:spacing w:val="-1"/>
          <w:sz w:val="24"/>
          <w:szCs w:val="24"/>
        </w:rPr>
        <w:t xml:space="preserve"> </w:t>
      </w:r>
      <w:r w:rsidRPr="0035519F">
        <w:rPr>
          <w:rFonts w:ascii="Arial" w:hAnsi="Arial" w:cs="Arial"/>
          <w:sz w:val="24"/>
          <w:szCs w:val="24"/>
        </w:rPr>
        <w:t xml:space="preserve">ID”. </w:t>
      </w:r>
    </w:p>
    <w:p w14:paraId="6076F27A" w14:textId="77777777" w:rsidR="007757AB" w:rsidRPr="0035519F" w:rsidRDefault="007757AB" w:rsidP="007757AB">
      <w:pPr>
        <w:pStyle w:val="ListParagraph"/>
        <w:tabs>
          <w:tab w:val="left" w:pos="1418"/>
        </w:tabs>
        <w:ind w:left="993" w:hanging="284"/>
        <w:rPr>
          <w:rFonts w:ascii="Arial" w:hAnsi="Arial" w:cs="Arial"/>
          <w:sz w:val="24"/>
          <w:szCs w:val="24"/>
        </w:rPr>
      </w:pPr>
    </w:p>
    <w:p w14:paraId="4E4109C3"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Tekan</w:t>
      </w:r>
      <w:r w:rsidRPr="0035519F">
        <w:rPr>
          <w:rFonts w:ascii="Arial" w:hAnsi="Arial" w:cs="Arial"/>
          <w:spacing w:val="-2"/>
          <w:sz w:val="24"/>
          <w:szCs w:val="24"/>
        </w:rPr>
        <w:t xml:space="preserve"> </w:t>
      </w:r>
      <w:r w:rsidRPr="0035519F">
        <w:rPr>
          <w:rFonts w:ascii="Arial" w:hAnsi="Arial" w:cs="Arial"/>
          <w:i/>
          <w:sz w:val="24"/>
          <w:szCs w:val="24"/>
        </w:rPr>
        <w:t>disk</w:t>
      </w:r>
      <w:r w:rsidRPr="0035519F">
        <w:rPr>
          <w:rFonts w:ascii="Arial" w:hAnsi="Arial" w:cs="Arial"/>
          <w:i/>
          <w:spacing w:val="-2"/>
          <w:sz w:val="24"/>
          <w:szCs w:val="24"/>
        </w:rPr>
        <w:t xml:space="preserve"> </w:t>
      </w:r>
      <w:r w:rsidRPr="0035519F">
        <w:rPr>
          <w:rFonts w:ascii="Arial" w:hAnsi="Arial" w:cs="Arial"/>
          <w:sz w:val="24"/>
          <w:szCs w:val="24"/>
        </w:rPr>
        <w:t>untuk</w:t>
      </w:r>
      <w:r w:rsidRPr="0035519F">
        <w:rPr>
          <w:rFonts w:ascii="Arial" w:hAnsi="Arial" w:cs="Arial"/>
          <w:spacing w:val="-4"/>
          <w:sz w:val="24"/>
          <w:szCs w:val="24"/>
        </w:rPr>
        <w:t xml:space="preserve"> </w:t>
      </w:r>
      <w:r w:rsidRPr="0035519F">
        <w:rPr>
          <w:rFonts w:ascii="Arial" w:hAnsi="Arial" w:cs="Arial"/>
          <w:sz w:val="24"/>
          <w:szCs w:val="24"/>
        </w:rPr>
        <w:t xml:space="preserve">mengatur </w:t>
      </w:r>
      <w:r w:rsidRPr="0035519F">
        <w:rPr>
          <w:rFonts w:ascii="Arial" w:hAnsi="Arial" w:cs="Arial"/>
          <w:i/>
          <w:sz w:val="24"/>
          <w:szCs w:val="24"/>
        </w:rPr>
        <w:t>disk</w:t>
      </w:r>
      <w:r w:rsidRPr="0035519F">
        <w:rPr>
          <w:rFonts w:ascii="Arial" w:hAnsi="Arial" w:cs="Arial"/>
          <w:i/>
          <w:spacing w:val="-2"/>
          <w:sz w:val="24"/>
          <w:szCs w:val="24"/>
        </w:rPr>
        <w:t xml:space="preserve"> </w:t>
      </w:r>
      <w:r w:rsidRPr="0035519F">
        <w:rPr>
          <w:rFonts w:ascii="Arial" w:hAnsi="Arial" w:cs="Arial"/>
          <w:i/>
          <w:sz w:val="24"/>
          <w:szCs w:val="24"/>
        </w:rPr>
        <w:t>fields</w:t>
      </w:r>
      <w:r w:rsidRPr="0035519F">
        <w:rPr>
          <w:rFonts w:ascii="Arial" w:hAnsi="Arial" w:cs="Arial"/>
          <w:i/>
          <w:spacing w:val="-1"/>
          <w:sz w:val="24"/>
          <w:szCs w:val="24"/>
        </w:rPr>
        <w:t xml:space="preserve"> </w:t>
      </w:r>
      <w:r w:rsidRPr="0035519F">
        <w:rPr>
          <w:rFonts w:ascii="Arial" w:hAnsi="Arial" w:cs="Arial"/>
          <w:sz w:val="24"/>
          <w:szCs w:val="24"/>
        </w:rPr>
        <w:t>ke</w:t>
      </w:r>
      <w:r w:rsidRPr="0035519F">
        <w:rPr>
          <w:rFonts w:ascii="Arial" w:hAnsi="Arial" w:cs="Arial"/>
          <w:spacing w:val="-2"/>
          <w:sz w:val="24"/>
          <w:szCs w:val="24"/>
        </w:rPr>
        <w:t xml:space="preserve"> </w:t>
      </w:r>
      <w:r w:rsidRPr="0035519F">
        <w:rPr>
          <w:rFonts w:ascii="Arial" w:hAnsi="Arial" w:cs="Arial"/>
          <w:sz w:val="24"/>
          <w:szCs w:val="24"/>
        </w:rPr>
        <w:t>tempat</w:t>
      </w:r>
      <w:r w:rsidRPr="0035519F">
        <w:rPr>
          <w:rFonts w:ascii="Arial" w:hAnsi="Arial" w:cs="Arial"/>
          <w:spacing w:val="-2"/>
          <w:sz w:val="24"/>
          <w:szCs w:val="24"/>
        </w:rPr>
        <w:t xml:space="preserve"> </w:t>
      </w:r>
      <w:r w:rsidRPr="0035519F">
        <w:rPr>
          <w:rFonts w:ascii="Arial" w:hAnsi="Arial" w:cs="Arial"/>
          <w:sz w:val="24"/>
          <w:szCs w:val="24"/>
        </w:rPr>
        <w:t>yang</w:t>
      </w:r>
      <w:r w:rsidRPr="0035519F">
        <w:rPr>
          <w:rFonts w:ascii="Arial" w:hAnsi="Arial" w:cs="Arial"/>
          <w:spacing w:val="-3"/>
          <w:sz w:val="24"/>
          <w:szCs w:val="24"/>
        </w:rPr>
        <w:t xml:space="preserve"> </w:t>
      </w:r>
      <w:r w:rsidRPr="0035519F">
        <w:rPr>
          <w:rFonts w:ascii="Arial" w:hAnsi="Arial" w:cs="Arial"/>
          <w:sz w:val="24"/>
          <w:szCs w:val="24"/>
        </w:rPr>
        <w:t xml:space="preserve">sesuai. </w:t>
      </w:r>
    </w:p>
    <w:p w14:paraId="302056B5" w14:textId="77777777" w:rsidR="007757AB" w:rsidRPr="0035519F" w:rsidRDefault="007757AB" w:rsidP="007757AB">
      <w:pPr>
        <w:pStyle w:val="ListParagraph"/>
        <w:tabs>
          <w:tab w:val="left" w:pos="1418"/>
        </w:tabs>
        <w:ind w:left="993" w:hanging="284"/>
        <w:rPr>
          <w:rFonts w:ascii="Arial" w:hAnsi="Arial" w:cs="Arial"/>
          <w:sz w:val="24"/>
          <w:szCs w:val="24"/>
        </w:rPr>
      </w:pPr>
    </w:p>
    <w:p w14:paraId="63AB2190"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Tekan</w:t>
      </w:r>
      <w:r w:rsidRPr="0035519F">
        <w:rPr>
          <w:rFonts w:ascii="Arial" w:hAnsi="Arial" w:cs="Arial"/>
          <w:spacing w:val="-4"/>
          <w:sz w:val="24"/>
          <w:szCs w:val="24"/>
        </w:rPr>
        <w:t xml:space="preserve"> </w:t>
      </w:r>
      <w:r w:rsidRPr="0035519F">
        <w:rPr>
          <w:rFonts w:ascii="Arial" w:hAnsi="Arial" w:cs="Arial"/>
          <w:sz w:val="24"/>
          <w:szCs w:val="24"/>
        </w:rPr>
        <w:t>tombol</w:t>
      </w:r>
      <w:r w:rsidRPr="0035519F">
        <w:rPr>
          <w:rFonts w:ascii="Arial" w:hAnsi="Arial" w:cs="Arial"/>
          <w:spacing w:val="-5"/>
          <w:sz w:val="24"/>
          <w:szCs w:val="24"/>
        </w:rPr>
        <w:t xml:space="preserve"> </w:t>
      </w:r>
      <w:r w:rsidRPr="0035519F">
        <w:rPr>
          <w:rFonts w:ascii="Arial" w:hAnsi="Arial" w:cs="Arial"/>
          <w:sz w:val="24"/>
          <w:szCs w:val="24"/>
        </w:rPr>
        <w:t xml:space="preserve">“insulin”. </w:t>
      </w:r>
    </w:p>
    <w:p w14:paraId="373379EA" w14:textId="77777777" w:rsidR="007757AB" w:rsidRPr="0035519F" w:rsidRDefault="007757AB" w:rsidP="007757AB">
      <w:pPr>
        <w:pStyle w:val="ListParagraph"/>
        <w:tabs>
          <w:tab w:val="left" w:pos="1418"/>
        </w:tabs>
        <w:ind w:left="993" w:hanging="284"/>
        <w:rPr>
          <w:rFonts w:ascii="Arial" w:hAnsi="Arial" w:cs="Arial"/>
          <w:sz w:val="24"/>
          <w:szCs w:val="24"/>
        </w:rPr>
      </w:pPr>
    </w:p>
    <w:p w14:paraId="4CD8CF5D"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t>Tekan</w:t>
      </w:r>
      <w:r w:rsidRPr="0035519F">
        <w:rPr>
          <w:rFonts w:ascii="Arial" w:hAnsi="Arial" w:cs="Arial"/>
          <w:spacing w:val="-3"/>
          <w:sz w:val="24"/>
          <w:szCs w:val="24"/>
        </w:rPr>
        <w:t xml:space="preserve"> </w:t>
      </w:r>
      <w:r w:rsidRPr="0035519F">
        <w:rPr>
          <w:rFonts w:ascii="Arial" w:hAnsi="Arial" w:cs="Arial"/>
          <w:sz w:val="24"/>
          <w:szCs w:val="24"/>
        </w:rPr>
        <w:t>“</w:t>
      </w:r>
      <w:r w:rsidRPr="0035519F">
        <w:rPr>
          <w:rFonts w:ascii="Arial" w:hAnsi="Arial" w:cs="Arial"/>
          <w:i/>
          <w:sz w:val="24"/>
          <w:szCs w:val="24"/>
        </w:rPr>
        <w:t>register</w:t>
      </w:r>
      <w:r w:rsidRPr="0035519F">
        <w:rPr>
          <w:rFonts w:ascii="Arial" w:hAnsi="Arial" w:cs="Arial"/>
          <w:sz w:val="24"/>
          <w:szCs w:val="24"/>
        </w:rPr>
        <w:t>”</w:t>
      </w:r>
      <w:r w:rsidRPr="0035519F">
        <w:rPr>
          <w:rFonts w:ascii="Arial" w:hAnsi="Arial" w:cs="Arial"/>
          <w:spacing w:val="-3"/>
          <w:sz w:val="24"/>
          <w:szCs w:val="24"/>
        </w:rPr>
        <w:t xml:space="preserve"> </w:t>
      </w:r>
      <w:r w:rsidRPr="0035519F">
        <w:rPr>
          <w:rFonts w:ascii="Arial" w:hAnsi="Arial" w:cs="Arial"/>
          <w:sz w:val="24"/>
          <w:szCs w:val="24"/>
        </w:rPr>
        <w:t>utuk</w:t>
      </w:r>
      <w:r w:rsidRPr="0035519F">
        <w:rPr>
          <w:rFonts w:ascii="Arial" w:hAnsi="Arial" w:cs="Arial"/>
          <w:spacing w:val="-7"/>
          <w:sz w:val="24"/>
          <w:szCs w:val="24"/>
        </w:rPr>
        <w:t xml:space="preserve"> </w:t>
      </w:r>
      <w:r w:rsidRPr="0035519F">
        <w:rPr>
          <w:rFonts w:ascii="Arial" w:hAnsi="Arial" w:cs="Arial"/>
          <w:sz w:val="24"/>
          <w:szCs w:val="24"/>
        </w:rPr>
        <w:t>menyimpan</w:t>
      </w:r>
      <w:r w:rsidRPr="0035519F">
        <w:rPr>
          <w:rFonts w:ascii="Arial" w:hAnsi="Arial" w:cs="Arial"/>
          <w:spacing w:val="-3"/>
          <w:sz w:val="24"/>
          <w:szCs w:val="24"/>
        </w:rPr>
        <w:t xml:space="preserve"> </w:t>
      </w:r>
      <w:r w:rsidRPr="0035519F">
        <w:rPr>
          <w:rFonts w:ascii="Arial" w:hAnsi="Arial" w:cs="Arial"/>
          <w:sz w:val="24"/>
          <w:szCs w:val="24"/>
        </w:rPr>
        <w:t xml:space="preserve">informasi. </w:t>
      </w:r>
    </w:p>
    <w:p w14:paraId="3497F5F5" w14:textId="77777777" w:rsidR="007757AB" w:rsidRPr="0035519F" w:rsidRDefault="007757AB" w:rsidP="007757AB">
      <w:pPr>
        <w:pStyle w:val="ListParagraph"/>
        <w:tabs>
          <w:tab w:val="left" w:pos="1418"/>
        </w:tabs>
        <w:ind w:left="993" w:hanging="284"/>
        <w:rPr>
          <w:rFonts w:ascii="Arial" w:hAnsi="Arial" w:cs="Arial"/>
          <w:sz w:val="24"/>
          <w:szCs w:val="24"/>
        </w:rPr>
      </w:pPr>
    </w:p>
    <w:p w14:paraId="44C3834F" w14:textId="77777777" w:rsidR="007757AB" w:rsidRPr="0035519F" w:rsidRDefault="007757AB" w:rsidP="00B124CB">
      <w:pPr>
        <w:pStyle w:val="ListParagraph"/>
        <w:widowControl w:val="0"/>
        <w:numPr>
          <w:ilvl w:val="2"/>
          <w:numId w:val="11"/>
        </w:numPr>
        <w:tabs>
          <w:tab w:val="left" w:pos="1418"/>
        </w:tabs>
        <w:autoSpaceDE w:val="0"/>
        <w:autoSpaceDN w:val="0"/>
        <w:spacing w:after="0" w:line="240" w:lineRule="auto"/>
        <w:ind w:left="993" w:hanging="284"/>
        <w:rPr>
          <w:rFonts w:ascii="Arial" w:hAnsi="Arial" w:cs="Arial"/>
          <w:sz w:val="24"/>
          <w:szCs w:val="24"/>
        </w:rPr>
      </w:pPr>
      <w:r w:rsidRPr="0035519F">
        <w:rPr>
          <w:rFonts w:ascii="Arial" w:hAnsi="Arial" w:cs="Arial"/>
          <w:sz w:val="24"/>
          <w:szCs w:val="24"/>
        </w:rPr>
        <w:lastRenderedPageBreak/>
        <w:t>Ulangi</w:t>
      </w:r>
      <w:r w:rsidRPr="0035519F">
        <w:rPr>
          <w:rFonts w:ascii="Arial" w:hAnsi="Arial" w:cs="Arial"/>
          <w:spacing w:val="-2"/>
          <w:sz w:val="24"/>
          <w:szCs w:val="24"/>
        </w:rPr>
        <w:t xml:space="preserve"> </w:t>
      </w:r>
      <w:r w:rsidRPr="0035519F">
        <w:rPr>
          <w:rFonts w:ascii="Arial" w:hAnsi="Arial" w:cs="Arial"/>
          <w:sz w:val="24"/>
          <w:szCs w:val="24"/>
        </w:rPr>
        <w:t>hingga</w:t>
      </w:r>
      <w:r w:rsidRPr="0035519F">
        <w:rPr>
          <w:rFonts w:ascii="Arial" w:hAnsi="Arial" w:cs="Arial"/>
          <w:spacing w:val="-1"/>
          <w:sz w:val="24"/>
          <w:szCs w:val="24"/>
        </w:rPr>
        <w:t xml:space="preserve"> </w:t>
      </w:r>
      <w:r w:rsidRPr="0035519F">
        <w:rPr>
          <w:rFonts w:ascii="Arial" w:hAnsi="Arial" w:cs="Arial"/>
          <w:sz w:val="24"/>
          <w:szCs w:val="24"/>
        </w:rPr>
        <w:t>semua</w:t>
      </w:r>
      <w:r w:rsidRPr="0035519F">
        <w:rPr>
          <w:rFonts w:ascii="Arial" w:hAnsi="Arial" w:cs="Arial"/>
          <w:spacing w:val="-4"/>
          <w:sz w:val="24"/>
          <w:szCs w:val="24"/>
        </w:rPr>
        <w:t xml:space="preserve"> </w:t>
      </w:r>
      <w:r w:rsidRPr="0035519F">
        <w:rPr>
          <w:rFonts w:ascii="Arial" w:hAnsi="Arial" w:cs="Arial"/>
          <w:sz w:val="24"/>
          <w:szCs w:val="24"/>
        </w:rPr>
        <w:t>sampel</w:t>
      </w:r>
      <w:r w:rsidRPr="0035519F">
        <w:rPr>
          <w:rFonts w:ascii="Arial" w:hAnsi="Arial" w:cs="Arial"/>
          <w:spacing w:val="-1"/>
          <w:sz w:val="24"/>
          <w:szCs w:val="24"/>
        </w:rPr>
        <w:t xml:space="preserve"> </w:t>
      </w:r>
      <w:r w:rsidRPr="0035519F">
        <w:rPr>
          <w:rFonts w:ascii="Arial" w:hAnsi="Arial" w:cs="Arial"/>
          <w:sz w:val="24"/>
          <w:szCs w:val="24"/>
        </w:rPr>
        <w:t>selesai</w:t>
      </w:r>
      <w:r w:rsidRPr="0035519F">
        <w:rPr>
          <w:rFonts w:ascii="Arial" w:hAnsi="Arial" w:cs="Arial"/>
          <w:spacing w:val="-2"/>
          <w:sz w:val="24"/>
          <w:szCs w:val="24"/>
        </w:rPr>
        <w:t xml:space="preserve"> </w:t>
      </w:r>
      <w:r w:rsidRPr="0035519F">
        <w:rPr>
          <w:rFonts w:ascii="Arial" w:hAnsi="Arial" w:cs="Arial"/>
          <w:sz w:val="24"/>
          <w:szCs w:val="24"/>
        </w:rPr>
        <w:t>di-</w:t>
      </w:r>
      <w:r w:rsidRPr="0035519F">
        <w:rPr>
          <w:rFonts w:ascii="Arial" w:hAnsi="Arial" w:cs="Arial"/>
          <w:i/>
          <w:sz w:val="24"/>
          <w:szCs w:val="24"/>
        </w:rPr>
        <w:t>order</w:t>
      </w:r>
      <w:r w:rsidRPr="0035519F">
        <w:rPr>
          <w:rFonts w:ascii="Arial" w:hAnsi="Arial" w:cs="Arial"/>
          <w:sz w:val="24"/>
          <w:szCs w:val="24"/>
        </w:rPr>
        <w:t xml:space="preserve">. </w:t>
      </w:r>
    </w:p>
    <w:p w14:paraId="1B91363B" w14:textId="77777777" w:rsidR="007757AB" w:rsidRPr="0035519F" w:rsidRDefault="007757AB" w:rsidP="007757AB">
      <w:pPr>
        <w:widowControl w:val="0"/>
        <w:tabs>
          <w:tab w:val="left" w:pos="1134"/>
        </w:tabs>
        <w:autoSpaceDE w:val="0"/>
        <w:autoSpaceDN w:val="0"/>
        <w:spacing w:after="0" w:line="240" w:lineRule="auto"/>
        <w:rPr>
          <w:rFonts w:ascii="Arial" w:hAnsi="Arial" w:cs="Arial"/>
          <w:sz w:val="24"/>
          <w:szCs w:val="24"/>
        </w:rPr>
      </w:pPr>
    </w:p>
    <w:p w14:paraId="2CDA48AE"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Nilai rujukan </w:t>
      </w:r>
      <w:r w:rsidRPr="0035519F">
        <w:rPr>
          <w:rFonts w:ascii="Arial" w:hAnsi="Arial" w:cs="Arial"/>
          <w:b/>
          <w:sz w:val="24"/>
          <w:szCs w:val="24"/>
        </w:rPr>
        <w:fldChar w:fldCharType="begin" w:fldLock="1"/>
      </w:r>
      <w:r w:rsidR="00D11F03" w:rsidRPr="0035519F">
        <w:rPr>
          <w:rFonts w:ascii="Arial" w:hAnsi="Arial" w:cs="Arial"/>
          <w:b/>
          <w:sz w:val="24"/>
          <w:szCs w:val="24"/>
        </w:rPr>
        <w:instrText>ADDIN CSL_CITATION {"citationItems":[{"id":"ITEM-1","itemData":{"author":[{"dropping-particle":"","family":"Roche","given":"","non-dropping-particle":"","parse-names":false,"suffix":""}],"id":"ITEM-1","issued":{"date-parts":[["2013"]]},"publisher":"Roche Diagnostic","publisher-place":"Indianapolis","title":"Insulin","type":"book"},"uris":["http://www.mendeley.com/documents/?uuid=072e0852-7c4b-4c80-a743-b559e63db977","http://www.mendeley.com/documents/?uuid=8e454564-205d-4f76-8e32-f585e7009e22"]}],"mendeley":{"formattedCitation":"(Roche, 2013)","plainTextFormattedCitation":"(Roche, 2013)","previouslyFormattedCitation":"(Roche, 2013)"},"properties":{"noteIndex":0},"schema":"https://github.com/citation-style-language/schema/raw/master/csl-citation.json"}</w:instrText>
      </w:r>
      <w:r w:rsidRPr="0035519F">
        <w:rPr>
          <w:rFonts w:ascii="Arial" w:hAnsi="Arial" w:cs="Arial"/>
          <w:b/>
          <w:sz w:val="24"/>
          <w:szCs w:val="24"/>
        </w:rPr>
        <w:fldChar w:fldCharType="separate"/>
      </w:r>
      <w:r w:rsidR="00D11F03" w:rsidRPr="0035519F">
        <w:rPr>
          <w:rFonts w:ascii="Arial" w:hAnsi="Arial" w:cs="Arial"/>
          <w:noProof/>
          <w:sz w:val="24"/>
          <w:szCs w:val="24"/>
        </w:rPr>
        <w:t>(Roche, 2013)</w:t>
      </w:r>
      <w:r w:rsidRPr="0035519F">
        <w:rPr>
          <w:rFonts w:ascii="Arial" w:hAnsi="Arial" w:cs="Arial"/>
          <w:b/>
          <w:sz w:val="24"/>
          <w:szCs w:val="24"/>
        </w:rPr>
        <w:fldChar w:fldCharType="end"/>
      </w:r>
    </w:p>
    <w:p w14:paraId="4D230D7B" w14:textId="77777777" w:rsidR="007757AB" w:rsidRPr="0035519F" w:rsidRDefault="007757AB" w:rsidP="007757AB">
      <w:pPr>
        <w:pStyle w:val="NoSpacing"/>
        <w:spacing w:line="480" w:lineRule="auto"/>
        <w:ind w:left="709" w:firstLine="425"/>
        <w:rPr>
          <w:rFonts w:ascii="Arial" w:hAnsi="Arial" w:cs="Arial"/>
          <w:sz w:val="24"/>
          <w:szCs w:val="24"/>
        </w:rPr>
      </w:pPr>
      <w:r w:rsidRPr="0035519F">
        <w:rPr>
          <w:rFonts w:ascii="Arial" w:hAnsi="Arial" w:cs="Arial"/>
          <w:sz w:val="24"/>
          <w:szCs w:val="24"/>
        </w:rPr>
        <w:t>Nilai</w:t>
      </w:r>
      <w:r w:rsidRPr="0035519F">
        <w:rPr>
          <w:rFonts w:ascii="Arial" w:hAnsi="Arial" w:cs="Arial"/>
          <w:spacing w:val="-2"/>
          <w:sz w:val="24"/>
          <w:szCs w:val="24"/>
        </w:rPr>
        <w:t xml:space="preserve"> </w:t>
      </w:r>
      <w:r w:rsidRPr="0035519F">
        <w:rPr>
          <w:rFonts w:ascii="Arial" w:hAnsi="Arial" w:cs="Arial"/>
          <w:sz w:val="24"/>
          <w:szCs w:val="24"/>
        </w:rPr>
        <w:t>rujukan</w:t>
      </w:r>
      <w:r w:rsidRPr="0035519F">
        <w:rPr>
          <w:rFonts w:ascii="Arial" w:hAnsi="Arial" w:cs="Arial"/>
          <w:spacing w:val="-2"/>
          <w:sz w:val="24"/>
          <w:szCs w:val="24"/>
        </w:rPr>
        <w:t xml:space="preserve"> </w:t>
      </w:r>
      <w:r w:rsidRPr="0035519F">
        <w:rPr>
          <w:rFonts w:ascii="Arial" w:hAnsi="Arial" w:cs="Arial"/>
          <w:sz w:val="24"/>
          <w:szCs w:val="24"/>
        </w:rPr>
        <w:t>insulin</w:t>
      </w:r>
      <w:r w:rsidRPr="0035519F">
        <w:rPr>
          <w:rFonts w:ascii="Arial" w:hAnsi="Arial" w:cs="Arial"/>
          <w:spacing w:val="-3"/>
          <w:sz w:val="24"/>
          <w:szCs w:val="24"/>
        </w:rPr>
        <w:t xml:space="preserve"> </w:t>
      </w:r>
      <w:r w:rsidRPr="0035519F">
        <w:rPr>
          <w:rFonts w:ascii="Arial" w:hAnsi="Arial" w:cs="Arial"/>
          <w:sz w:val="24"/>
          <w:szCs w:val="24"/>
        </w:rPr>
        <w:t>serum</w:t>
      </w:r>
      <w:r w:rsidRPr="0035519F">
        <w:rPr>
          <w:rFonts w:ascii="Arial" w:hAnsi="Arial" w:cs="Arial"/>
          <w:spacing w:val="-1"/>
          <w:sz w:val="24"/>
          <w:szCs w:val="24"/>
        </w:rPr>
        <w:t xml:space="preserve"> </w:t>
      </w:r>
      <w:r w:rsidRPr="0035519F">
        <w:rPr>
          <w:rFonts w:ascii="Arial" w:hAnsi="Arial" w:cs="Arial"/>
          <w:sz w:val="24"/>
          <w:szCs w:val="24"/>
        </w:rPr>
        <w:t>adalah</w:t>
      </w:r>
      <w:r w:rsidRPr="0035519F">
        <w:rPr>
          <w:rFonts w:ascii="Arial" w:hAnsi="Arial" w:cs="Arial"/>
          <w:spacing w:val="-2"/>
          <w:sz w:val="24"/>
          <w:szCs w:val="24"/>
        </w:rPr>
        <w:t xml:space="preserve"> </w:t>
      </w:r>
      <w:r w:rsidRPr="0035519F">
        <w:rPr>
          <w:rFonts w:ascii="Arial" w:hAnsi="Arial" w:cs="Arial"/>
          <w:sz w:val="24"/>
          <w:szCs w:val="24"/>
        </w:rPr>
        <w:t>2,5-24,9</w:t>
      </w:r>
      <w:r w:rsidRPr="0035519F">
        <w:rPr>
          <w:rFonts w:ascii="Arial" w:hAnsi="Arial" w:cs="Arial"/>
          <w:spacing w:val="-2"/>
          <w:sz w:val="24"/>
          <w:szCs w:val="24"/>
        </w:rPr>
        <w:t xml:space="preserve"> </w:t>
      </w:r>
      <w:r w:rsidRPr="0035519F">
        <w:rPr>
          <w:rFonts w:ascii="Arial" w:hAnsi="Arial" w:cs="Arial"/>
          <w:sz w:val="24"/>
          <w:szCs w:val="24"/>
        </w:rPr>
        <w:t>μU/mL</w:t>
      </w:r>
    </w:p>
    <w:p w14:paraId="54C91275" w14:textId="77777777" w:rsidR="007757AB" w:rsidRPr="0035519F" w:rsidRDefault="007757AB" w:rsidP="007757AB">
      <w:pPr>
        <w:pStyle w:val="NoSpacing"/>
        <w:spacing w:line="480" w:lineRule="auto"/>
        <w:rPr>
          <w:rFonts w:ascii="Arial" w:hAnsi="Arial" w:cs="Arial"/>
          <w:sz w:val="24"/>
          <w:szCs w:val="24"/>
        </w:rPr>
      </w:pPr>
    </w:p>
    <w:p w14:paraId="40D5E620" w14:textId="77777777" w:rsidR="007757AB" w:rsidRPr="0035519F" w:rsidRDefault="007757AB" w:rsidP="00B124CB">
      <w:pPr>
        <w:pStyle w:val="NoSpacing"/>
        <w:numPr>
          <w:ilvl w:val="0"/>
          <w:numId w:val="9"/>
        </w:numPr>
        <w:spacing w:line="480" w:lineRule="auto"/>
        <w:ind w:left="426" w:hanging="426"/>
        <w:rPr>
          <w:rFonts w:ascii="Arial" w:hAnsi="Arial" w:cs="Arial"/>
          <w:b/>
          <w:sz w:val="24"/>
          <w:szCs w:val="24"/>
        </w:rPr>
      </w:pPr>
      <w:r w:rsidRPr="0035519F">
        <w:rPr>
          <w:rFonts w:ascii="Arial" w:hAnsi="Arial" w:cs="Arial"/>
          <w:b/>
          <w:sz w:val="24"/>
          <w:szCs w:val="24"/>
        </w:rPr>
        <w:t xml:space="preserve">Kadar glukosa Puasa </w:t>
      </w:r>
    </w:p>
    <w:p w14:paraId="68EA285F"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Persiapan pasien </w:t>
      </w:r>
    </w:p>
    <w:p w14:paraId="7A1BC10A" w14:textId="77777777" w:rsidR="007757AB" w:rsidRPr="0035519F" w:rsidRDefault="007757AB" w:rsidP="007757AB">
      <w:pPr>
        <w:pStyle w:val="NoSpacing"/>
        <w:tabs>
          <w:tab w:val="left" w:pos="709"/>
        </w:tabs>
        <w:spacing w:line="480" w:lineRule="auto"/>
        <w:ind w:left="709" w:firstLine="284"/>
        <w:jc w:val="both"/>
        <w:rPr>
          <w:rFonts w:ascii="Arial" w:hAnsi="Arial" w:cs="Arial"/>
          <w:sz w:val="24"/>
          <w:szCs w:val="24"/>
        </w:rPr>
      </w:pPr>
      <w:r w:rsidRPr="0035519F">
        <w:rPr>
          <w:rFonts w:ascii="Arial" w:hAnsi="Arial" w:cs="Arial"/>
          <w:sz w:val="24"/>
          <w:szCs w:val="24"/>
        </w:rPr>
        <w:t>Pasien puasa selama minimal 8 jam</w:t>
      </w:r>
    </w:p>
    <w:p w14:paraId="15C9987E"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Persiapan sampel </w:t>
      </w:r>
    </w:p>
    <w:p w14:paraId="71EBD6FD" w14:textId="77777777" w:rsidR="007757AB" w:rsidRPr="0035519F" w:rsidRDefault="007757AB" w:rsidP="007757AB">
      <w:pPr>
        <w:pStyle w:val="NoSpacing"/>
        <w:tabs>
          <w:tab w:val="left" w:pos="709"/>
        </w:tabs>
        <w:spacing w:line="480" w:lineRule="auto"/>
        <w:ind w:left="709" w:firstLine="284"/>
        <w:jc w:val="both"/>
        <w:rPr>
          <w:rFonts w:ascii="Arial" w:hAnsi="Arial" w:cs="Arial"/>
          <w:sz w:val="24"/>
          <w:szCs w:val="24"/>
        </w:rPr>
      </w:pPr>
      <w:r w:rsidRPr="0035519F">
        <w:rPr>
          <w:rFonts w:ascii="Arial" w:hAnsi="Arial" w:cs="Arial"/>
          <w:sz w:val="24"/>
          <w:szCs w:val="24"/>
        </w:rPr>
        <w:t>Sampel</w:t>
      </w:r>
      <w:r w:rsidRPr="0035519F">
        <w:rPr>
          <w:rFonts w:ascii="Arial" w:hAnsi="Arial" w:cs="Arial"/>
          <w:spacing w:val="12"/>
          <w:sz w:val="24"/>
          <w:szCs w:val="24"/>
        </w:rPr>
        <w:t xml:space="preserve"> </w:t>
      </w:r>
      <w:r w:rsidRPr="0035519F">
        <w:rPr>
          <w:rFonts w:ascii="Arial" w:hAnsi="Arial" w:cs="Arial"/>
          <w:sz w:val="24"/>
          <w:szCs w:val="24"/>
        </w:rPr>
        <w:t>serum</w:t>
      </w:r>
      <w:r w:rsidRPr="0035519F">
        <w:rPr>
          <w:rFonts w:ascii="Arial" w:hAnsi="Arial" w:cs="Arial"/>
          <w:spacing w:val="17"/>
          <w:sz w:val="24"/>
          <w:szCs w:val="24"/>
        </w:rPr>
        <w:t xml:space="preserve"> </w:t>
      </w:r>
      <w:r w:rsidRPr="0035519F">
        <w:rPr>
          <w:rFonts w:ascii="Arial" w:hAnsi="Arial" w:cs="Arial"/>
          <w:sz w:val="24"/>
          <w:szCs w:val="24"/>
        </w:rPr>
        <w:t>dipisahkan</w:t>
      </w:r>
      <w:r w:rsidRPr="0035519F">
        <w:rPr>
          <w:rFonts w:ascii="Arial" w:hAnsi="Arial" w:cs="Arial"/>
          <w:spacing w:val="13"/>
          <w:sz w:val="24"/>
          <w:szCs w:val="24"/>
        </w:rPr>
        <w:t xml:space="preserve"> </w:t>
      </w:r>
      <w:r w:rsidRPr="0035519F">
        <w:rPr>
          <w:rFonts w:ascii="Arial" w:hAnsi="Arial" w:cs="Arial"/>
          <w:sz w:val="24"/>
          <w:szCs w:val="24"/>
        </w:rPr>
        <w:t>dari</w:t>
      </w:r>
      <w:r w:rsidRPr="0035519F">
        <w:rPr>
          <w:rFonts w:ascii="Arial" w:hAnsi="Arial" w:cs="Arial"/>
          <w:spacing w:val="12"/>
          <w:sz w:val="24"/>
          <w:szCs w:val="24"/>
        </w:rPr>
        <w:t xml:space="preserve"> </w:t>
      </w:r>
      <w:r w:rsidRPr="0035519F">
        <w:rPr>
          <w:rFonts w:ascii="Arial" w:hAnsi="Arial" w:cs="Arial"/>
          <w:sz w:val="24"/>
          <w:szCs w:val="24"/>
        </w:rPr>
        <w:t>sel</w:t>
      </w:r>
      <w:r w:rsidRPr="0035519F">
        <w:rPr>
          <w:rFonts w:ascii="Arial" w:hAnsi="Arial" w:cs="Arial"/>
          <w:spacing w:val="12"/>
          <w:sz w:val="24"/>
          <w:szCs w:val="24"/>
        </w:rPr>
        <w:t xml:space="preserve"> </w:t>
      </w:r>
      <w:r w:rsidRPr="0035519F">
        <w:rPr>
          <w:rFonts w:ascii="Arial" w:hAnsi="Arial" w:cs="Arial"/>
          <w:sz w:val="24"/>
          <w:szCs w:val="24"/>
        </w:rPr>
        <w:t>dalam</w:t>
      </w:r>
      <w:r w:rsidRPr="0035519F">
        <w:rPr>
          <w:rFonts w:ascii="Arial" w:hAnsi="Arial" w:cs="Arial"/>
          <w:spacing w:val="12"/>
          <w:sz w:val="24"/>
          <w:szCs w:val="24"/>
        </w:rPr>
        <w:t xml:space="preserve"> </w:t>
      </w:r>
      <w:r w:rsidRPr="0035519F">
        <w:rPr>
          <w:rFonts w:ascii="Arial" w:hAnsi="Arial" w:cs="Arial"/>
          <w:sz w:val="24"/>
          <w:szCs w:val="24"/>
        </w:rPr>
        <w:t>waktu</w:t>
      </w:r>
      <w:r w:rsidRPr="0035519F">
        <w:rPr>
          <w:rFonts w:ascii="Arial" w:hAnsi="Arial" w:cs="Arial"/>
          <w:spacing w:val="14"/>
          <w:sz w:val="24"/>
          <w:szCs w:val="24"/>
        </w:rPr>
        <w:t xml:space="preserve"> </w:t>
      </w:r>
      <w:r w:rsidRPr="0035519F">
        <w:rPr>
          <w:rFonts w:ascii="Arial" w:hAnsi="Arial" w:cs="Arial"/>
          <w:sz w:val="24"/>
          <w:szCs w:val="24"/>
        </w:rPr>
        <w:t>30</w:t>
      </w:r>
      <w:r w:rsidRPr="0035519F">
        <w:rPr>
          <w:rFonts w:ascii="Arial" w:hAnsi="Arial" w:cs="Arial"/>
          <w:spacing w:val="13"/>
          <w:sz w:val="24"/>
          <w:szCs w:val="24"/>
        </w:rPr>
        <w:t xml:space="preserve"> </w:t>
      </w:r>
      <w:r w:rsidRPr="0035519F">
        <w:rPr>
          <w:rFonts w:ascii="Arial" w:hAnsi="Arial" w:cs="Arial"/>
          <w:sz w:val="24"/>
          <w:szCs w:val="24"/>
        </w:rPr>
        <w:t>menit</w:t>
      </w:r>
    </w:p>
    <w:p w14:paraId="7FA3911B"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Alat dan bahan penelitian </w:t>
      </w:r>
      <w:r w:rsidRPr="0035519F">
        <w:rPr>
          <w:rFonts w:ascii="Arial" w:hAnsi="Arial" w:cs="Arial"/>
          <w:b/>
          <w:sz w:val="24"/>
          <w:szCs w:val="24"/>
        </w:rPr>
        <w:fldChar w:fldCharType="begin" w:fldLock="1"/>
      </w:r>
      <w:r w:rsidR="00D11F03" w:rsidRPr="0035519F">
        <w:rPr>
          <w:rFonts w:ascii="Arial" w:hAnsi="Arial" w:cs="Arial"/>
          <w:b/>
          <w:sz w:val="24"/>
          <w:szCs w:val="24"/>
        </w:rPr>
        <w:instrText>ADDIN CSL_CITATION {"citationItems":[{"id":"ITEM-1","itemData":{"author":[{"dropping-particle":"","family":"Horiba","given":"","non-dropping-particle":"","parse-names":false,"suffix":""}],"container-title":"Diagnostic Reagent for Quantitative In Vitro Determination of Glucose","id":"ITEM-1","issued":{"date-parts":[["2006"]]},"publisher":"Horiba","title":"Glucose HK-CP","type":"chapter"},"uris":["http://www.mendeley.com/documents/?uuid=8d7209db-fc30-4926-bb84-28af124504a9","http://www.mendeley.com/documents/?uuid=a4b0487d-4050-41eb-80fa-a991c8996dc8"]}],"mendeley":{"formattedCitation":"(Horiba, 2006)","plainTextFormattedCitation":"(Horiba, 2006)","previouslyFormattedCitation":"(Horiba, 2006)"},"properties":{"noteIndex":0},"schema":"https://github.com/citation-style-language/schema/raw/master/csl-citation.json"}</w:instrText>
      </w:r>
      <w:r w:rsidRPr="0035519F">
        <w:rPr>
          <w:rFonts w:ascii="Arial" w:hAnsi="Arial" w:cs="Arial"/>
          <w:b/>
          <w:sz w:val="24"/>
          <w:szCs w:val="24"/>
        </w:rPr>
        <w:fldChar w:fldCharType="separate"/>
      </w:r>
      <w:r w:rsidR="00D11F03" w:rsidRPr="0035519F">
        <w:rPr>
          <w:rFonts w:ascii="Arial" w:hAnsi="Arial" w:cs="Arial"/>
          <w:noProof/>
          <w:sz w:val="24"/>
          <w:szCs w:val="24"/>
        </w:rPr>
        <w:t>(Horiba, 2006)</w:t>
      </w:r>
      <w:r w:rsidRPr="0035519F">
        <w:rPr>
          <w:rFonts w:ascii="Arial" w:hAnsi="Arial" w:cs="Arial"/>
          <w:b/>
          <w:sz w:val="24"/>
          <w:szCs w:val="24"/>
        </w:rPr>
        <w:fldChar w:fldCharType="end"/>
      </w:r>
    </w:p>
    <w:p w14:paraId="4102B9E9" w14:textId="77777777" w:rsidR="007757AB" w:rsidRPr="0035519F" w:rsidRDefault="007757AB" w:rsidP="00B124CB">
      <w:pPr>
        <w:pStyle w:val="NoSpacing"/>
        <w:numPr>
          <w:ilvl w:val="0"/>
          <w:numId w:val="12"/>
        </w:numPr>
        <w:spacing w:line="480" w:lineRule="auto"/>
        <w:ind w:left="993" w:hanging="284"/>
        <w:jc w:val="both"/>
        <w:rPr>
          <w:rFonts w:ascii="Arial" w:hAnsi="Arial" w:cs="Arial"/>
          <w:sz w:val="24"/>
          <w:szCs w:val="24"/>
        </w:rPr>
      </w:pPr>
      <w:r w:rsidRPr="0035519F">
        <w:rPr>
          <w:rFonts w:ascii="Arial" w:hAnsi="Arial" w:cs="Arial"/>
          <w:sz w:val="24"/>
          <w:szCs w:val="24"/>
        </w:rPr>
        <w:t xml:space="preserve">Mikropipet dan </w:t>
      </w:r>
      <w:r w:rsidRPr="0035519F">
        <w:rPr>
          <w:rFonts w:ascii="Arial" w:hAnsi="Arial" w:cs="Arial"/>
          <w:i/>
          <w:sz w:val="24"/>
          <w:szCs w:val="24"/>
        </w:rPr>
        <w:t>tip</w:t>
      </w:r>
      <w:r w:rsidRPr="0035519F">
        <w:rPr>
          <w:rFonts w:ascii="Arial" w:hAnsi="Arial" w:cs="Arial"/>
          <w:sz w:val="24"/>
          <w:szCs w:val="24"/>
        </w:rPr>
        <w:t xml:space="preserve"> </w:t>
      </w:r>
    </w:p>
    <w:p w14:paraId="20A2F849" w14:textId="77777777" w:rsidR="007757AB" w:rsidRPr="0035519F" w:rsidRDefault="007757AB" w:rsidP="00B124CB">
      <w:pPr>
        <w:pStyle w:val="NoSpacing"/>
        <w:numPr>
          <w:ilvl w:val="0"/>
          <w:numId w:val="12"/>
        </w:numPr>
        <w:spacing w:line="480" w:lineRule="auto"/>
        <w:ind w:left="993" w:hanging="284"/>
        <w:jc w:val="both"/>
        <w:rPr>
          <w:rFonts w:ascii="Arial" w:hAnsi="Arial" w:cs="Arial"/>
          <w:sz w:val="24"/>
          <w:szCs w:val="24"/>
        </w:rPr>
      </w:pPr>
      <w:r w:rsidRPr="0035519F">
        <w:rPr>
          <w:rFonts w:ascii="Arial" w:hAnsi="Arial" w:cs="Arial"/>
          <w:sz w:val="24"/>
          <w:szCs w:val="24"/>
        </w:rPr>
        <w:t xml:space="preserve">Alat </w:t>
      </w:r>
      <w:r w:rsidRPr="0035519F">
        <w:rPr>
          <w:rFonts w:ascii="Arial" w:hAnsi="Arial" w:cs="Arial"/>
          <w:i/>
          <w:sz w:val="24"/>
          <w:szCs w:val="24"/>
        </w:rPr>
        <w:t>Clinical Chemistry Analyzer</w:t>
      </w:r>
      <w:r w:rsidRPr="0035519F">
        <w:rPr>
          <w:rFonts w:ascii="Arial" w:hAnsi="Arial" w:cs="Arial"/>
          <w:sz w:val="24"/>
          <w:szCs w:val="24"/>
        </w:rPr>
        <w:t xml:space="preserve"> ABX Pentra 400 </w:t>
      </w:r>
    </w:p>
    <w:p w14:paraId="271BDDCA" w14:textId="77777777" w:rsidR="007757AB" w:rsidRPr="0035519F" w:rsidRDefault="007757AB" w:rsidP="00B124CB">
      <w:pPr>
        <w:pStyle w:val="NoSpacing"/>
        <w:numPr>
          <w:ilvl w:val="0"/>
          <w:numId w:val="12"/>
        </w:numPr>
        <w:spacing w:line="480" w:lineRule="auto"/>
        <w:ind w:left="993" w:hanging="284"/>
        <w:jc w:val="both"/>
        <w:rPr>
          <w:rFonts w:ascii="Arial" w:hAnsi="Arial" w:cs="Arial"/>
          <w:sz w:val="24"/>
          <w:szCs w:val="24"/>
        </w:rPr>
      </w:pPr>
      <w:r w:rsidRPr="0035519F">
        <w:rPr>
          <w:rFonts w:ascii="Arial" w:hAnsi="Arial" w:cs="Arial"/>
          <w:sz w:val="24"/>
          <w:szCs w:val="24"/>
        </w:rPr>
        <w:t xml:space="preserve">Reagen Glukosa  </w:t>
      </w:r>
    </w:p>
    <w:p w14:paraId="73185CFB" w14:textId="77777777" w:rsidR="007757AB" w:rsidRPr="0035519F" w:rsidRDefault="007757AB" w:rsidP="00B124CB">
      <w:pPr>
        <w:pStyle w:val="NoSpacing"/>
        <w:numPr>
          <w:ilvl w:val="0"/>
          <w:numId w:val="13"/>
        </w:numPr>
        <w:spacing w:line="480" w:lineRule="auto"/>
        <w:ind w:left="1276" w:hanging="142"/>
        <w:rPr>
          <w:rFonts w:ascii="Arial" w:hAnsi="Arial" w:cs="Arial"/>
          <w:sz w:val="24"/>
          <w:szCs w:val="24"/>
        </w:rPr>
      </w:pPr>
      <w:r w:rsidRPr="0035519F">
        <w:rPr>
          <w:rFonts w:ascii="Arial" w:hAnsi="Arial" w:cs="Arial"/>
          <w:sz w:val="24"/>
          <w:szCs w:val="24"/>
        </w:rPr>
        <w:t xml:space="preserve">Reagen 1: </w:t>
      </w:r>
      <w:r w:rsidRPr="0035519F">
        <w:rPr>
          <w:rFonts w:ascii="Arial" w:hAnsi="Arial" w:cs="Arial"/>
          <w:sz w:val="24"/>
          <w:szCs w:val="24"/>
        </w:rPr>
        <w:tab/>
      </w:r>
      <w:r w:rsidRPr="0035519F">
        <w:rPr>
          <w:rFonts w:ascii="Arial" w:hAnsi="Arial" w:cs="Arial"/>
          <w:i/>
          <w:sz w:val="24"/>
          <w:szCs w:val="24"/>
        </w:rPr>
        <w:t>Pipes Buffer</w:t>
      </w:r>
      <w:r w:rsidRPr="0035519F">
        <w:rPr>
          <w:rFonts w:ascii="Arial" w:hAnsi="Arial" w:cs="Arial"/>
          <w:sz w:val="24"/>
          <w:szCs w:val="24"/>
        </w:rPr>
        <w:t>,</w:t>
      </w:r>
      <w:r w:rsidRPr="0035519F">
        <w:rPr>
          <w:rFonts w:ascii="Arial" w:hAnsi="Arial" w:cs="Arial"/>
          <w:spacing w:val="-1"/>
          <w:sz w:val="24"/>
          <w:szCs w:val="24"/>
        </w:rPr>
        <w:t xml:space="preserve"> </w:t>
      </w:r>
      <w:r w:rsidRPr="0035519F">
        <w:rPr>
          <w:rFonts w:ascii="Arial" w:hAnsi="Arial" w:cs="Arial"/>
          <w:sz w:val="24"/>
          <w:szCs w:val="24"/>
        </w:rPr>
        <w:t>pH 7.60</w:t>
      </w:r>
      <w:r w:rsidRPr="0035519F">
        <w:rPr>
          <w:rFonts w:ascii="Arial" w:hAnsi="Arial" w:cs="Arial"/>
          <w:spacing w:val="58"/>
          <w:sz w:val="24"/>
          <w:szCs w:val="24"/>
        </w:rPr>
        <w:t xml:space="preserve"> </w:t>
      </w:r>
      <w:r w:rsidRPr="0035519F">
        <w:rPr>
          <w:rFonts w:ascii="Arial" w:hAnsi="Arial" w:cs="Arial"/>
          <w:sz w:val="24"/>
          <w:szCs w:val="24"/>
        </w:rPr>
        <w:t>100</w:t>
      </w:r>
      <w:r w:rsidRPr="0035519F">
        <w:rPr>
          <w:rFonts w:ascii="Arial" w:hAnsi="Arial" w:cs="Arial"/>
          <w:spacing w:val="-3"/>
          <w:sz w:val="24"/>
          <w:szCs w:val="24"/>
        </w:rPr>
        <w:t xml:space="preserve"> </w:t>
      </w:r>
      <w:r w:rsidRPr="0035519F">
        <w:rPr>
          <w:rFonts w:ascii="Arial" w:hAnsi="Arial" w:cs="Arial"/>
          <w:sz w:val="24"/>
          <w:szCs w:val="24"/>
        </w:rPr>
        <w:t>mmol/l</w:t>
      </w:r>
    </w:p>
    <w:p w14:paraId="08B3F7C8"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sz w:val="24"/>
          <w:szCs w:val="24"/>
        </w:rPr>
        <w:t>NAD</w:t>
      </w:r>
      <w:r w:rsidRPr="0035519F">
        <w:rPr>
          <w:rFonts w:ascii="Arial" w:hAnsi="Arial" w:cs="Arial"/>
          <w:sz w:val="24"/>
          <w:szCs w:val="24"/>
        </w:rPr>
        <w:tab/>
      </w:r>
      <w:r w:rsidRPr="0035519F">
        <w:rPr>
          <w:rFonts w:ascii="Arial" w:hAnsi="Arial" w:cs="Arial"/>
          <w:sz w:val="24"/>
          <w:szCs w:val="24"/>
        </w:rPr>
        <w:tab/>
      </w:r>
      <w:r w:rsidRPr="0035519F">
        <w:rPr>
          <w:rFonts w:ascii="Arial" w:hAnsi="Arial" w:cs="Arial"/>
          <w:sz w:val="24"/>
          <w:szCs w:val="24"/>
        </w:rPr>
        <w:tab/>
        <w:t xml:space="preserve">    3.8</w:t>
      </w:r>
      <w:r w:rsidRPr="0035519F">
        <w:rPr>
          <w:rFonts w:ascii="Arial" w:hAnsi="Arial" w:cs="Arial"/>
          <w:spacing w:val="-2"/>
          <w:sz w:val="24"/>
          <w:szCs w:val="24"/>
        </w:rPr>
        <w:t xml:space="preserve"> </w:t>
      </w:r>
      <w:r w:rsidRPr="0035519F">
        <w:rPr>
          <w:rFonts w:ascii="Arial" w:hAnsi="Arial" w:cs="Arial"/>
          <w:sz w:val="24"/>
          <w:szCs w:val="24"/>
        </w:rPr>
        <w:t>mmol/l</w:t>
      </w:r>
    </w:p>
    <w:p w14:paraId="7B356B06"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sz w:val="24"/>
          <w:szCs w:val="24"/>
        </w:rPr>
        <w:t>ATP</w:t>
      </w:r>
      <w:r w:rsidRPr="0035519F">
        <w:rPr>
          <w:rFonts w:ascii="Arial" w:hAnsi="Arial" w:cs="Arial"/>
          <w:sz w:val="24"/>
          <w:szCs w:val="24"/>
        </w:rPr>
        <w:tab/>
      </w:r>
      <w:r w:rsidRPr="0035519F">
        <w:rPr>
          <w:rFonts w:ascii="Arial" w:hAnsi="Arial" w:cs="Arial"/>
          <w:sz w:val="24"/>
          <w:szCs w:val="24"/>
        </w:rPr>
        <w:tab/>
      </w:r>
      <w:r w:rsidRPr="0035519F">
        <w:rPr>
          <w:rFonts w:ascii="Arial" w:hAnsi="Arial" w:cs="Arial"/>
          <w:sz w:val="24"/>
          <w:szCs w:val="24"/>
        </w:rPr>
        <w:tab/>
        <w:t xml:space="preserve">    2.2</w:t>
      </w:r>
      <w:r w:rsidRPr="0035519F">
        <w:rPr>
          <w:rFonts w:ascii="Arial" w:hAnsi="Arial" w:cs="Arial"/>
          <w:spacing w:val="-2"/>
          <w:sz w:val="24"/>
          <w:szCs w:val="24"/>
        </w:rPr>
        <w:t xml:space="preserve"> </w:t>
      </w:r>
      <w:r w:rsidRPr="0035519F">
        <w:rPr>
          <w:rFonts w:ascii="Arial" w:hAnsi="Arial" w:cs="Arial"/>
          <w:sz w:val="24"/>
          <w:szCs w:val="24"/>
        </w:rPr>
        <w:t>mmol/l</w:t>
      </w:r>
    </w:p>
    <w:p w14:paraId="4B57CE4C"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i/>
          <w:sz w:val="24"/>
          <w:szCs w:val="24"/>
        </w:rPr>
        <w:t>Sodium</w:t>
      </w:r>
      <w:r w:rsidRPr="0035519F">
        <w:rPr>
          <w:rFonts w:ascii="Arial" w:hAnsi="Arial" w:cs="Arial"/>
          <w:i/>
          <w:spacing w:val="-4"/>
          <w:sz w:val="24"/>
          <w:szCs w:val="24"/>
        </w:rPr>
        <w:t xml:space="preserve"> </w:t>
      </w:r>
      <w:r w:rsidRPr="0035519F">
        <w:rPr>
          <w:rFonts w:ascii="Arial" w:hAnsi="Arial" w:cs="Arial"/>
          <w:i/>
          <w:sz w:val="24"/>
          <w:szCs w:val="24"/>
        </w:rPr>
        <w:t>azide</w:t>
      </w:r>
      <w:r w:rsidRPr="0035519F">
        <w:rPr>
          <w:rFonts w:ascii="Arial" w:hAnsi="Arial" w:cs="Arial"/>
          <w:i/>
          <w:sz w:val="24"/>
          <w:szCs w:val="24"/>
        </w:rPr>
        <w:tab/>
        <w:t xml:space="preserve">    </w:t>
      </w:r>
      <w:r w:rsidRPr="0035519F">
        <w:rPr>
          <w:rFonts w:ascii="Arial" w:hAnsi="Arial" w:cs="Arial"/>
          <w:sz w:val="24"/>
          <w:szCs w:val="24"/>
        </w:rPr>
        <w:t>&lt;</w:t>
      </w:r>
      <w:r w:rsidRPr="0035519F">
        <w:rPr>
          <w:rFonts w:ascii="Arial" w:hAnsi="Arial" w:cs="Arial"/>
          <w:spacing w:val="-1"/>
          <w:sz w:val="24"/>
          <w:szCs w:val="24"/>
        </w:rPr>
        <w:t xml:space="preserve"> </w:t>
      </w:r>
      <w:r w:rsidRPr="0035519F">
        <w:rPr>
          <w:rFonts w:ascii="Arial" w:hAnsi="Arial" w:cs="Arial"/>
          <w:sz w:val="24"/>
          <w:szCs w:val="24"/>
        </w:rPr>
        <w:t>0.1</w:t>
      </w:r>
      <w:r w:rsidRPr="0035519F">
        <w:rPr>
          <w:rFonts w:ascii="Arial" w:hAnsi="Arial" w:cs="Arial"/>
          <w:spacing w:val="1"/>
          <w:sz w:val="24"/>
          <w:szCs w:val="24"/>
        </w:rPr>
        <w:t xml:space="preserve"> </w:t>
      </w:r>
      <w:r w:rsidRPr="0035519F">
        <w:rPr>
          <w:rFonts w:ascii="Arial" w:hAnsi="Arial" w:cs="Arial"/>
          <w:sz w:val="24"/>
          <w:szCs w:val="24"/>
        </w:rPr>
        <w:t>%</w:t>
      </w:r>
    </w:p>
    <w:p w14:paraId="0292230A" w14:textId="77777777" w:rsidR="00ED4E04" w:rsidRPr="0035519F" w:rsidRDefault="00ED4E04" w:rsidP="007757AB">
      <w:pPr>
        <w:pStyle w:val="NoSpacing"/>
        <w:spacing w:line="480" w:lineRule="auto"/>
        <w:ind w:left="2694" w:firstLine="186"/>
        <w:rPr>
          <w:rFonts w:ascii="Arial" w:hAnsi="Arial" w:cs="Arial"/>
          <w:sz w:val="24"/>
          <w:szCs w:val="24"/>
        </w:rPr>
      </w:pPr>
    </w:p>
    <w:p w14:paraId="3B56D98D" w14:textId="77777777" w:rsidR="007757AB" w:rsidRPr="0035519F" w:rsidRDefault="007757AB" w:rsidP="00B124CB">
      <w:pPr>
        <w:pStyle w:val="NoSpacing"/>
        <w:numPr>
          <w:ilvl w:val="0"/>
          <w:numId w:val="13"/>
        </w:numPr>
        <w:spacing w:line="480" w:lineRule="auto"/>
        <w:ind w:left="1276" w:hanging="142"/>
        <w:rPr>
          <w:rFonts w:ascii="Arial" w:hAnsi="Arial" w:cs="Arial"/>
          <w:sz w:val="24"/>
          <w:szCs w:val="24"/>
        </w:rPr>
      </w:pPr>
      <w:r w:rsidRPr="0035519F">
        <w:rPr>
          <w:rFonts w:ascii="Arial" w:hAnsi="Arial" w:cs="Arial"/>
          <w:sz w:val="24"/>
          <w:szCs w:val="24"/>
        </w:rPr>
        <w:t>Reagen 2:</w:t>
      </w:r>
      <w:r w:rsidRPr="0035519F">
        <w:rPr>
          <w:rFonts w:ascii="Arial" w:hAnsi="Arial" w:cs="Arial"/>
          <w:sz w:val="24"/>
          <w:szCs w:val="24"/>
        </w:rPr>
        <w:tab/>
      </w:r>
      <w:r w:rsidRPr="0035519F">
        <w:rPr>
          <w:rFonts w:ascii="Arial" w:hAnsi="Arial" w:cs="Arial"/>
          <w:i/>
          <w:sz w:val="24"/>
          <w:szCs w:val="24"/>
        </w:rPr>
        <w:t>Hexokinase</w:t>
      </w:r>
      <w:r w:rsidRPr="0035519F">
        <w:rPr>
          <w:rFonts w:ascii="Arial" w:hAnsi="Arial" w:cs="Arial"/>
          <w:i/>
          <w:sz w:val="24"/>
          <w:szCs w:val="24"/>
        </w:rPr>
        <w:tab/>
      </w:r>
      <w:r w:rsidRPr="0035519F">
        <w:rPr>
          <w:rFonts w:ascii="Arial" w:hAnsi="Arial" w:cs="Arial"/>
          <w:i/>
          <w:sz w:val="24"/>
          <w:szCs w:val="24"/>
        </w:rPr>
        <w:tab/>
        <w:t xml:space="preserve"> </w:t>
      </w:r>
      <w:r w:rsidRPr="0035519F">
        <w:rPr>
          <w:rFonts w:ascii="Arial" w:hAnsi="Arial" w:cs="Arial"/>
          <w:spacing w:val="58"/>
          <w:sz w:val="24"/>
          <w:szCs w:val="24"/>
        </w:rPr>
        <w:t xml:space="preserve">  </w:t>
      </w:r>
      <w:r w:rsidRPr="0035519F">
        <w:rPr>
          <w:rFonts w:ascii="Times New Roman" w:hAnsi="Times New Roman"/>
          <w:sz w:val="24"/>
          <w:szCs w:val="24"/>
        </w:rPr>
        <w:t>≥</w:t>
      </w:r>
      <w:r w:rsidRPr="0035519F">
        <w:rPr>
          <w:rFonts w:ascii="Arial" w:hAnsi="Arial" w:cs="Arial"/>
          <w:sz w:val="24"/>
          <w:szCs w:val="24"/>
        </w:rPr>
        <w:t xml:space="preserve"> 8500 U/l</w:t>
      </w:r>
    </w:p>
    <w:p w14:paraId="0DE4C26E"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sz w:val="24"/>
          <w:szCs w:val="24"/>
        </w:rPr>
        <w:t>G-6-PDH</w:t>
      </w:r>
      <w:r w:rsidRPr="0035519F">
        <w:rPr>
          <w:rFonts w:ascii="Arial" w:hAnsi="Arial" w:cs="Arial"/>
          <w:sz w:val="24"/>
          <w:szCs w:val="24"/>
        </w:rPr>
        <w:tab/>
      </w:r>
      <w:r w:rsidRPr="0035519F">
        <w:rPr>
          <w:rFonts w:ascii="Arial" w:hAnsi="Arial" w:cs="Arial"/>
          <w:sz w:val="24"/>
          <w:szCs w:val="24"/>
        </w:rPr>
        <w:tab/>
        <w:t xml:space="preserve">     </w:t>
      </w:r>
      <w:r w:rsidRPr="0035519F">
        <w:rPr>
          <w:rFonts w:ascii="Times New Roman" w:hAnsi="Times New Roman"/>
          <w:sz w:val="24"/>
          <w:szCs w:val="24"/>
        </w:rPr>
        <w:t>≥</w:t>
      </w:r>
      <w:r w:rsidRPr="0035519F">
        <w:rPr>
          <w:rFonts w:ascii="Arial" w:hAnsi="Arial" w:cs="Arial"/>
          <w:sz w:val="24"/>
          <w:szCs w:val="24"/>
        </w:rPr>
        <w:t xml:space="preserve"> 8500 U/l</w:t>
      </w:r>
    </w:p>
    <w:p w14:paraId="1C03B607"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i/>
          <w:sz w:val="24"/>
          <w:szCs w:val="24"/>
        </w:rPr>
        <w:t>Magnesium sulphate</w:t>
      </w:r>
      <w:r w:rsidRPr="0035519F">
        <w:rPr>
          <w:rFonts w:ascii="Arial" w:hAnsi="Arial" w:cs="Arial"/>
          <w:sz w:val="24"/>
          <w:szCs w:val="24"/>
        </w:rPr>
        <w:t xml:space="preserve">    20</w:t>
      </w:r>
      <w:r w:rsidRPr="0035519F">
        <w:rPr>
          <w:rFonts w:ascii="Arial" w:hAnsi="Arial" w:cs="Arial"/>
          <w:spacing w:val="-2"/>
          <w:sz w:val="24"/>
          <w:szCs w:val="24"/>
        </w:rPr>
        <w:t xml:space="preserve"> </w:t>
      </w:r>
      <w:r w:rsidRPr="0035519F">
        <w:rPr>
          <w:rFonts w:ascii="Arial" w:hAnsi="Arial" w:cs="Arial"/>
          <w:sz w:val="24"/>
          <w:szCs w:val="24"/>
        </w:rPr>
        <w:t>mmol/l</w:t>
      </w:r>
    </w:p>
    <w:p w14:paraId="556AE9A2" w14:textId="77777777" w:rsidR="007757AB" w:rsidRPr="0035519F" w:rsidRDefault="007757AB" w:rsidP="007757AB">
      <w:pPr>
        <w:pStyle w:val="NoSpacing"/>
        <w:spacing w:line="480" w:lineRule="auto"/>
        <w:ind w:left="2694" w:firstLine="186"/>
        <w:rPr>
          <w:rFonts w:ascii="Arial" w:hAnsi="Arial" w:cs="Arial"/>
          <w:sz w:val="24"/>
          <w:szCs w:val="24"/>
        </w:rPr>
      </w:pPr>
      <w:r w:rsidRPr="0035519F">
        <w:rPr>
          <w:rFonts w:ascii="Arial" w:hAnsi="Arial" w:cs="Arial"/>
          <w:i/>
          <w:sz w:val="24"/>
          <w:szCs w:val="24"/>
        </w:rPr>
        <w:t>Sodium</w:t>
      </w:r>
      <w:r w:rsidRPr="0035519F">
        <w:rPr>
          <w:rFonts w:ascii="Arial" w:hAnsi="Arial" w:cs="Arial"/>
          <w:i/>
          <w:spacing w:val="-4"/>
          <w:sz w:val="24"/>
          <w:szCs w:val="24"/>
        </w:rPr>
        <w:t xml:space="preserve"> </w:t>
      </w:r>
      <w:r w:rsidRPr="0035519F">
        <w:rPr>
          <w:rFonts w:ascii="Arial" w:hAnsi="Arial" w:cs="Arial"/>
          <w:i/>
          <w:sz w:val="24"/>
          <w:szCs w:val="24"/>
        </w:rPr>
        <w:t>azide</w:t>
      </w:r>
      <w:r w:rsidRPr="0035519F">
        <w:rPr>
          <w:rFonts w:ascii="Arial" w:hAnsi="Arial" w:cs="Arial"/>
          <w:i/>
          <w:sz w:val="24"/>
          <w:szCs w:val="24"/>
        </w:rPr>
        <w:tab/>
        <w:t xml:space="preserve">    </w:t>
      </w:r>
      <w:r w:rsidRPr="0035519F">
        <w:rPr>
          <w:rFonts w:ascii="Arial" w:hAnsi="Arial" w:cs="Arial"/>
          <w:sz w:val="24"/>
          <w:szCs w:val="24"/>
        </w:rPr>
        <w:t>&lt;</w:t>
      </w:r>
      <w:r w:rsidRPr="0035519F">
        <w:rPr>
          <w:rFonts w:ascii="Arial" w:hAnsi="Arial" w:cs="Arial"/>
          <w:spacing w:val="-1"/>
          <w:sz w:val="24"/>
          <w:szCs w:val="24"/>
        </w:rPr>
        <w:t xml:space="preserve"> </w:t>
      </w:r>
      <w:r w:rsidRPr="0035519F">
        <w:rPr>
          <w:rFonts w:ascii="Arial" w:hAnsi="Arial" w:cs="Arial"/>
          <w:sz w:val="24"/>
          <w:szCs w:val="24"/>
        </w:rPr>
        <w:t>0.1</w:t>
      </w:r>
      <w:r w:rsidRPr="0035519F">
        <w:rPr>
          <w:rFonts w:ascii="Arial" w:hAnsi="Arial" w:cs="Arial"/>
          <w:spacing w:val="1"/>
          <w:sz w:val="24"/>
          <w:szCs w:val="24"/>
        </w:rPr>
        <w:t xml:space="preserve"> </w:t>
      </w:r>
      <w:r w:rsidRPr="0035519F">
        <w:rPr>
          <w:rFonts w:ascii="Arial" w:hAnsi="Arial" w:cs="Arial"/>
          <w:sz w:val="24"/>
          <w:szCs w:val="24"/>
        </w:rPr>
        <w:t>%</w:t>
      </w:r>
    </w:p>
    <w:p w14:paraId="0191C372" w14:textId="77777777" w:rsidR="00583A43" w:rsidRPr="0035519F" w:rsidRDefault="00583A43" w:rsidP="007757AB">
      <w:pPr>
        <w:pStyle w:val="NoSpacing"/>
        <w:spacing w:line="480" w:lineRule="auto"/>
        <w:ind w:left="2694" w:firstLine="186"/>
        <w:rPr>
          <w:rFonts w:ascii="Arial" w:hAnsi="Arial" w:cs="Arial"/>
          <w:sz w:val="24"/>
          <w:szCs w:val="24"/>
        </w:rPr>
      </w:pPr>
    </w:p>
    <w:p w14:paraId="5003ACDA"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lastRenderedPageBreak/>
        <w:t xml:space="preserve">Prinsip tes </w:t>
      </w:r>
    </w:p>
    <w:p w14:paraId="380B0921" w14:textId="77777777" w:rsidR="007757AB" w:rsidRPr="0035519F" w:rsidRDefault="007757AB" w:rsidP="007757AB">
      <w:pPr>
        <w:pStyle w:val="NoSpacing"/>
        <w:tabs>
          <w:tab w:val="left" w:pos="709"/>
        </w:tabs>
        <w:spacing w:line="480" w:lineRule="auto"/>
        <w:ind w:left="709" w:firstLine="284"/>
        <w:jc w:val="both"/>
        <w:rPr>
          <w:rFonts w:ascii="Arial" w:hAnsi="Arial" w:cs="Arial"/>
          <w:b/>
          <w:sz w:val="24"/>
          <w:szCs w:val="24"/>
        </w:rPr>
      </w:pPr>
      <w:r w:rsidRPr="0035519F">
        <w:rPr>
          <w:noProof/>
        </w:rPr>
        <mc:AlternateContent>
          <mc:Choice Requires="wpg">
            <w:drawing>
              <wp:anchor distT="0" distB="0" distL="114300" distR="114300" simplePos="0" relativeHeight="251665408" behindDoc="0" locked="0" layoutInCell="1" allowOverlap="1" wp14:anchorId="1DFDE6F9" wp14:editId="309298FA">
                <wp:simplePos x="0" y="0"/>
                <wp:positionH relativeFrom="margin">
                  <wp:posOffset>683895</wp:posOffset>
                </wp:positionH>
                <wp:positionV relativeFrom="paragraph">
                  <wp:posOffset>207645</wp:posOffset>
                </wp:positionV>
                <wp:extent cx="3914775" cy="904875"/>
                <wp:effectExtent l="0" t="0" r="28575" b="28575"/>
                <wp:wrapNone/>
                <wp:docPr id="254" name="Group 254"/>
                <wp:cNvGraphicFramePr/>
                <a:graphic xmlns:a="http://schemas.openxmlformats.org/drawingml/2006/main">
                  <a:graphicData uri="http://schemas.microsoft.com/office/word/2010/wordprocessingGroup">
                    <wpg:wgp>
                      <wpg:cNvGrpSpPr/>
                      <wpg:grpSpPr>
                        <a:xfrm>
                          <a:off x="0" y="0"/>
                          <a:ext cx="3914775" cy="904875"/>
                          <a:chOff x="0" y="0"/>
                          <a:chExt cx="3914775" cy="904875"/>
                        </a:xfrm>
                      </wpg:grpSpPr>
                      <pic:pic xmlns:pic="http://schemas.openxmlformats.org/drawingml/2006/picture">
                        <pic:nvPicPr>
                          <pic:cNvPr id="10" name="image16.jpeg"/>
                          <pic:cNvPicPr>
                            <a:picLocks noChangeAspect="1"/>
                          </pic:cNvPicPr>
                        </pic:nvPicPr>
                        <pic:blipFill>
                          <a:blip r:embed="rId24" cstate="print"/>
                          <a:stretch>
                            <a:fillRect/>
                          </a:stretch>
                        </pic:blipFill>
                        <pic:spPr>
                          <a:xfrm>
                            <a:off x="57150" y="66675"/>
                            <a:ext cx="3813175" cy="800100"/>
                          </a:xfrm>
                          <a:prstGeom prst="rect">
                            <a:avLst/>
                          </a:prstGeom>
                        </pic:spPr>
                      </pic:pic>
                      <wps:wsp>
                        <wps:cNvPr id="11" name="Rectangle 11"/>
                        <wps:cNvSpPr/>
                        <wps:spPr>
                          <a:xfrm>
                            <a:off x="0" y="0"/>
                            <a:ext cx="3914775" cy="9048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E4C4E8" id="Group 254" o:spid="_x0000_s1026" style="position:absolute;margin-left:53.85pt;margin-top:16.35pt;width:308.25pt;height:71.25pt;z-index:251665408;mso-position-horizontal-relative:margin" coordsize="39147,9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">
                <v:shape id="image16.jpeg" o:spid="_x0000_s1027" type="#_x0000_t75" style="position:absolute;left:571;top:666;width:38132;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">
                  <v:imagedata r:id="rId25" o:title=""/>
                  <v:path arrowok="t"/>
                </v:shape>
                <v:rect id="Rectangle 11" o:spid="_x0000_s1028" style="position:absolute;width:39147;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" filled="f" strokecolor="black [3200]" strokeweight="1pt"/>
                <w10:wrap anchorx="margin"/>
              </v:group>
            </w:pict>
          </mc:Fallback>
        </mc:AlternateContent>
      </w:r>
      <w:r w:rsidRPr="0035519F">
        <w:rPr>
          <w:rFonts w:ascii="Arial" w:hAnsi="Arial" w:cs="Arial"/>
          <w:sz w:val="24"/>
          <w:szCs w:val="24"/>
        </w:rPr>
        <w:t>Penentuan</w:t>
      </w:r>
      <w:r w:rsidRPr="0035519F">
        <w:rPr>
          <w:rFonts w:ascii="Arial" w:hAnsi="Arial" w:cs="Arial"/>
          <w:spacing w:val="-3"/>
          <w:sz w:val="24"/>
          <w:szCs w:val="24"/>
        </w:rPr>
        <w:t xml:space="preserve"> </w:t>
      </w:r>
      <w:r w:rsidRPr="0035519F">
        <w:rPr>
          <w:rFonts w:ascii="Arial" w:hAnsi="Arial" w:cs="Arial"/>
          <w:sz w:val="24"/>
          <w:szCs w:val="24"/>
        </w:rPr>
        <w:t>glukosa</w:t>
      </w:r>
      <w:r w:rsidRPr="0035519F">
        <w:rPr>
          <w:rFonts w:ascii="Arial" w:hAnsi="Arial" w:cs="Arial"/>
          <w:spacing w:val="-4"/>
          <w:sz w:val="24"/>
          <w:szCs w:val="24"/>
        </w:rPr>
        <w:t xml:space="preserve"> </w:t>
      </w:r>
      <w:r w:rsidRPr="0035519F">
        <w:rPr>
          <w:rFonts w:ascii="Arial" w:hAnsi="Arial" w:cs="Arial"/>
          <w:sz w:val="24"/>
          <w:szCs w:val="24"/>
        </w:rPr>
        <w:t>mengikuti</w:t>
      </w:r>
      <w:r w:rsidRPr="0035519F">
        <w:rPr>
          <w:rFonts w:ascii="Arial" w:hAnsi="Arial" w:cs="Arial"/>
          <w:spacing w:val="-3"/>
          <w:sz w:val="24"/>
          <w:szCs w:val="24"/>
        </w:rPr>
        <w:t xml:space="preserve"> </w:t>
      </w:r>
      <w:r w:rsidRPr="0035519F">
        <w:rPr>
          <w:rFonts w:ascii="Arial" w:hAnsi="Arial" w:cs="Arial"/>
          <w:sz w:val="24"/>
          <w:szCs w:val="24"/>
        </w:rPr>
        <w:t>reaksi</w:t>
      </w:r>
      <w:r w:rsidRPr="0035519F">
        <w:rPr>
          <w:rFonts w:ascii="Arial" w:hAnsi="Arial" w:cs="Arial"/>
          <w:spacing w:val="-2"/>
          <w:sz w:val="24"/>
          <w:szCs w:val="24"/>
        </w:rPr>
        <w:t xml:space="preserve"> </w:t>
      </w:r>
      <w:r w:rsidRPr="0035519F">
        <w:rPr>
          <w:rFonts w:ascii="Arial" w:hAnsi="Arial" w:cs="Arial"/>
          <w:sz w:val="24"/>
          <w:szCs w:val="24"/>
        </w:rPr>
        <w:t xml:space="preserve">berikut: </w:t>
      </w:r>
      <w:r w:rsidRPr="0035519F">
        <w:rPr>
          <w:rFonts w:ascii="Arial" w:hAnsi="Arial" w:cs="Arial"/>
          <w:sz w:val="24"/>
          <w:szCs w:val="24"/>
        </w:rPr>
        <w:fldChar w:fldCharType="begin" w:fldLock="1"/>
      </w:r>
      <w:r w:rsidR="00D11F03" w:rsidRPr="0035519F">
        <w:rPr>
          <w:rFonts w:ascii="Arial" w:hAnsi="Arial" w:cs="Arial"/>
          <w:sz w:val="24"/>
          <w:szCs w:val="24"/>
        </w:rPr>
        <w:instrText>ADDIN CSL_CITATION {"citationItems":[{"id":"ITEM-1","itemData":{"author":[{"dropping-particle":"","family":"Horiba","given":"","non-dropping-particle":"","parse-names":false,"suffix":""}],"container-title":"Diagnostic Reagent for Quantitative In Vitro Determination of Glucose","id":"ITEM-1","issued":{"date-parts":[["2006"]]},"publisher":"Horiba","title":"Glucose HK-CP","type":"chapter"},"uris":["http://www.mendeley.com/documents/?uuid=a4b0487d-4050-41eb-80fa-a991c8996dc8","http://www.mendeley.com/documents/?uuid=8d7209db-fc30-4926-bb84-28af124504a9"]}],"mendeley":{"formattedCitation":"(Horiba, 2006)","plainTextFormattedCitation":"(Horiba, 2006)","previouslyFormattedCitation":"(Horiba, 2006)"},"properties":{"noteIndex":0},"schema":"https://github.com/citation-style-language/schema/raw/master/csl-citation.json"}</w:instrText>
      </w:r>
      <w:r w:rsidRPr="0035519F">
        <w:rPr>
          <w:rFonts w:ascii="Arial" w:hAnsi="Arial" w:cs="Arial"/>
          <w:sz w:val="24"/>
          <w:szCs w:val="24"/>
        </w:rPr>
        <w:fldChar w:fldCharType="separate"/>
      </w:r>
      <w:r w:rsidR="00D11F03" w:rsidRPr="0035519F">
        <w:rPr>
          <w:rFonts w:ascii="Arial" w:hAnsi="Arial" w:cs="Arial"/>
          <w:noProof/>
          <w:sz w:val="24"/>
          <w:szCs w:val="24"/>
        </w:rPr>
        <w:t>(Horiba, 2006)</w:t>
      </w:r>
      <w:r w:rsidRPr="0035519F">
        <w:rPr>
          <w:rFonts w:ascii="Arial" w:hAnsi="Arial" w:cs="Arial"/>
          <w:sz w:val="24"/>
          <w:szCs w:val="24"/>
        </w:rPr>
        <w:fldChar w:fldCharType="end"/>
      </w:r>
    </w:p>
    <w:p w14:paraId="1A6A0571" w14:textId="77777777" w:rsidR="007757AB" w:rsidRPr="0035519F" w:rsidRDefault="007757AB" w:rsidP="007757AB">
      <w:pPr>
        <w:pStyle w:val="NoSpacing"/>
        <w:tabs>
          <w:tab w:val="left" w:pos="709"/>
        </w:tabs>
        <w:spacing w:line="480" w:lineRule="auto"/>
        <w:jc w:val="both"/>
        <w:rPr>
          <w:rFonts w:ascii="Arial" w:hAnsi="Arial" w:cs="Arial"/>
          <w:b/>
          <w:sz w:val="24"/>
          <w:szCs w:val="24"/>
        </w:rPr>
      </w:pPr>
      <w:r w:rsidRPr="0035519F">
        <w:rPr>
          <w:rFonts w:ascii="Arial" w:hAnsi="Arial" w:cs="Arial"/>
          <w:b/>
          <w:sz w:val="24"/>
          <w:szCs w:val="24"/>
        </w:rPr>
        <w:tab/>
      </w:r>
    </w:p>
    <w:p w14:paraId="705F7A58" w14:textId="77777777" w:rsidR="007757AB" w:rsidRPr="0035519F" w:rsidRDefault="007757AB" w:rsidP="007757AB">
      <w:pPr>
        <w:pStyle w:val="NoSpacing"/>
        <w:tabs>
          <w:tab w:val="left" w:pos="709"/>
        </w:tabs>
        <w:spacing w:line="480" w:lineRule="auto"/>
        <w:jc w:val="both"/>
        <w:rPr>
          <w:rFonts w:ascii="Arial" w:hAnsi="Arial" w:cs="Arial"/>
          <w:b/>
          <w:sz w:val="24"/>
          <w:szCs w:val="24"/>
        </w:rPr>
      </w:pPr>
    </w:p>
    <w:p w14:paraId="19E567F3" w14:textId="77777777" w:rsidR="007757AB" w:rsidRPr="0035519F" w:rsidRDefault="007757AB" w:rsidP="007757AB">
      <w:pPr>
        <w:tabs>
          <w:tab w:val="left" w:pos="3778"/>
          <w:tab w:val="left" w:pos="4913"/>
        </w:tabs>
        <w:spacing w:before="155"/>
        <w:ind w:left="709"/>
        <w:rPr>
          <w:rFonts w:ascii="Arial" w:hAnsi="Arial" w:cs="Arial"/>
          <w:i/>
          <w:sz w:val="20"/>
          <w:szCs w:val="20"/>
        </w:rPr>
      </w:pPr>
      <w:r w:rsidRPr="0035519F">
        <w:rPr>
          <w:rFonts w:ascii="Arial" w:hAnsi="Arial" w:cs="Arial"/>
          <w:sz w:val="20"/>
          <w:szCs w:val="20"/>
        </w:rPr>
        <w:t>Keterangan: HK                =</w:t>
      </w:r>
      <w:r w:rsidRPr="0035519F">
        <w:rPr>
          <w:rFonts w:ascii="Arial" w:hAnsi="Arial" w:cs="Arial"/>
          <w:spacing w:val="52"/>
          <w:sz w:val="20"/>
          <w:szCs w:val="20"/>
        </w:rPr>
        <w:t xml:space="preserve"> </w:t>
      </w:r>
      <w:r w:rsidRPr="0035519F">
        <w:rPr>
          <w:rFonts w:ascii="Arial" w:hAnsi="Arial" w:cs="Arial"/>
          <w:i/>
          <w:sz w:val="20"/>
          <w:szCs w:val="20"/>
        </w:rPr>
        <w:t>Hexokinase</w:t>
      </w:r>
    </w:p>
    <w:p w14:paraId="10D19100" w14:textId="77777777" w:rsidR="007757AB" w:rsidRPr="0035519F" w:rsidRDefault="007757AB" w:rsidP="007757AB">
      <w:pPr>
        <w:tabs>
          <w:tab w:val="left" w:pos="4913"/>
        </w:tabs>
        <w:rPr>
          <w:rFonts w:ascii="Arial" w:hAnsi="Arial" w:cs="Arial"/>
          <w:i/>
          <w:sz w:val="20"/>
          <w:szCs w:val="20"/>
        </w:rPr>
      </w:pPr>
      <w:r w:rsidRPr="0035519F">
        <w:rPr>
          <w:rFonts w:ascii="Arial" w:hAnsi="Arial" w:cs="Arial"/>
          <w:sz w:val="20"/>
          <w:szCs w:val="20"/>
        </w:rPr>
        <w:t xml:space="preserve">                               G-6-PDH       =</w:t>
      </w:r>
      <w:r w:rsidRPr="0035519F">
        <w:rPr>
          <w:rFonts w:ascii="Arial" w:hAnsi="Arial" w:cs="Arial"/>
          <w:spacing w:val="46"/>
          <w:sz w:val="20"/>
          <w:szCs w:val="20"/>
        </w:rPr>
        <w:t xml:space="preserve"> </w:t>
      </w:r>
      <w:r w:rsidRPr="0035519F">
        <w:rPr>
          <w:rFonts w:ascii="Arial" w:hAnsi="Arial" w:cs="Arial"/>
          <w:i/>
          <w:sz w:val="20"/>
          <w:szCs w:val="20"/>
        </w:rPr>
        <w:t>Glucose-6-phosphate-dehydrogenase</w:t>
      </w:r>
    </w:p>
    <w:p w14:paraId="52B4578F" w14:textId="77777777" w:rsidR="007757AB" w:rsidRPr="0035519F" w:rsidRDefault="007757AB" w:rsidP="007757AB">
      <w:pPr>
        <w:tabs>
          <w:tab w:val="left" w:pos="4913"/>
        </w:tabs>
        <w:rPr>
          <w:rFonts w:ascii="Arial" w:hAnsi="Arial" w:cs="Arial"/>
          <w:i/>
          <w:sz w:val="24"/>
          <w:szCs w:val="24"/>
        </w:rPr>
      </w:pPr>
    </w:p>
    <w:p w14:paraId="6B8FE961" w14:textId="77777777" w:rsidR="007757AB" w:rsidRPr="0035519F" w:rsidRDefault="007757AB" w:rsidP="007757AB">
      <w:pPr>
        <w:pStyle w:val="NoSpacing"/>
        <w:tabs>
          <w:tab w:val="left" w:pos="709"/>
        </w:tabs>
        <w:spacing w:line="480" w:lineRule="auto"/>
        <w:ind w:left="709" w:firstLine="284"/>
        <w:jc w:val="both"/>
        <w:rPr>
          <w:rFonts w:ascii="Arial" w:hAnsi="Arial" w:cs="Arial"/>
          <w:sz w:val="24"/>
        </w:rPr>
      </w:pPr>
      <w:r w:rsidRPr="0035519F">
        <w:rPr>
          <w:rFonts w:ascii="Arial" w:hAnsi="Arial" w:cs="Arial"/>
          <w:i/>
          <w:sz w:val="24"/>
        </w:rPr>
        <w:t>Adenosin</w:t>
      </w:r>
      <w:r w:rsidRPr="0035519F">
        <w:rPr>
          <w:rFonts w:ascii="Arial" w:hAnsi="Arial" w:cs="Arial"/>
          <w:i/>
          <w:spacing w:val="1"/>
          <w:sz w:val="24"/>
        </w:rPr>
        <w:t xml:space="preserve"> </w:t>
      </w:r>
      <w:r w:rsidRPr="0035519F">
        <w:rPr>
          <w:rFonts w:ascii="Arial" w:hAnsi="Arial" w:cs="Arial"/>
          <w:i/>
          <w:sz w:val="24"/>
        </w:rPr>
        <w:t>triphosphate</w:t>
      </w:r>
      <w:r w:rsidRPr="0035519F">
        <w:rPr>
          <w:rFonts w:ascii="Arial" w:hAnsi="Arial" w:cs="Arial"/>
          <w:i/>
          <w:spacing w:val="1"/>
          <w:sz w:val="24"/>
        </w:rPr>
        <w:t xml:space="preserve"> </w:t>
      </w:r>
      <w:r w:rsidRPr="0035519F">
        <w:rPr>
          <w:rFonts w:ascii="Arial" w:hAnsi="Arial" w:cs="Arial"/>
          <w:sz w:val="24"/>
        </w:rPr>
        <w:t>(ATP)</w:t>
      </w:r>
      <w:r w:rsidRPr="0035519F">
        <w:rPr>
          <w:rFonts w:ascii="Arial" w:hAnsi="Arial" w:cs="Arial"/>
          <w:spacing w:val="1"/>
          <w:sz w:val="24"/>
        </w:rPr>
        <w:t xml:space="preserve"> </w:t>
      </w:r>
      <w:r w:rsidRPr="0035519F">
        <w:rPr>
          <w:rFonts w:ascii="Arial" w:hAnsi="Arial" w:cs="Arial"/>
          <w:sz w:val="24"/>
        </w:rPr>
        <w:t>diubah</w:t>
      </w:r>
      <w:r w:rsidRPr="0035519F">
        <w:rPr>
          <w:rFonts w:ascii="Arial" w:hAnsi="Arial" w:cs="Arial"/>
          <w:spacing w:val="1"/>
          <w:sz w:val="24"/>
        </w:rPr>
        <w:t xml:space="preserve"> </w:t>
      </w:r>
      <w:r w:rsidRPr="0035519F">
        <w:rPr>
          <w:rFonts w:ascii="Arial" w:hAnsi="Arial" w:cs="Arial"/>
          <w:sz w:val="24"/>
        </w:rPr>
        <w:t>menjadi</w:t>
      </w:r>
      <w:r w:rsidRPr="0035519F">
        <w:rPr>
          <w:rFonts w:ascii="Arial" w:hAnsi="Arial" w:cs="Arial"/>
          <w:spacing w:val="1"/>
          <w:sz w:val="24"/>
        </w:rPr>
        <w:t xml:space="preserve"> </w:t>
      </w:r>
      <w:r w:rsidRPr="0035519F">
        <w:rPr>
          <w:rFonts w:ascii="Arial" w:hAnsi="Arial" w:cs="Arial"/>
          <w:i/>
          <w:sz w:val="24"/>
        </w:rPr>
        <w:t>adenosin</w:t>
      </w:r>
      <w:r w:rsidRPr="0035519F">
        <w:rPr>
          <w:rFonts w:ascii="Arial" w:hAnsi="Arial" w:cs="Arial"/>
          <w:i/>
          <w:spacing w:val="1"/>
          <w:sz w:val="24"/>
        </w:rPr>
        <w:t xml:space="preserve"> </w:t>
      </w:r>
      <w:r w:rsidRPr="0035519F">
        <w:rPr>
          <w:rFonts w:ascii="Arial" w:hAnsi="Arial" w:cs="Arial"/>
          <w:i/>
          <w:sz w:val="24"/>
        </w:rPr>
        <w:t xml:space="preserve">diphosphate </w:t>
      </w:r>
      <w:r w:rsidRPr="0035519F">
        <w:rPr>
          <w:rFonts w:ascii="Arial" w:hAnsi="Arial" w:cs="Arial"/>
          <w:sz w:val="24"/>
        </w:rPr>
        <w:t xml:space="preserve">(ADP). </w:t>
      </w:r>
      <w:r w:rsidRPr="0035519F">
        <w:rPr>
          <w:rFonts w:ascii="Arial" w:hAnsi="Arial" w:cs="Arial"/>
          <w:i/>
          <w:sz w:val="24"/>
        </w:rPr>
        <w:t xml:space="preserve">Glucose-6-phosphate </w:t>
      </w:r>
      <w:r w:rsidRPr="0035519F">
        <w:rPr>
          <w:rFonts w:ascii="Arial" w:hAnsi="Arial" w:cs="Arial"/>
          <w:sz w:val="24"/>
        </w:rPr>
        <w:t>yang terbentuk menjadi</w:t>
      </w:r>
      <w:r w:rsidRPr="0035519F">
        <w:rPr>
          <w:rFonts w:ascii="Arial" w:hAnsi="Arial" w:cs="Arial"/>
          <w:spacing w:val="1"/>
          <w:sz w:val="24"/>
        </w:rPr>
        <w:t xml:space="preserve"> </w:t>
      </w:r>
      <w:r w:rsidRPr="0035519F">
        <w:rPr>
          <w:rFonts w:ascii="Arial" w:hAnsi="Arial" w:cs="Arial"/>
          <w:sz w:val="24"/>
        </w:rPr>
        <w:t>substrat</w:t>
      </w:r>
      <w:r w:rsidRPr="0035519F">
        <w:rPr>
          <w:rFonts w:ascii="Arial" w:hAnsi="Arial" w:cs="Arial"/>
          <w:spacing w:val="1"/>
          <w:sz w:val="24"/>
        </w:rPr>
        <w:t xml:space="preserve"> </w:t>
      </w:r>
      <w:r w:rsidRPr="0035519F">
        <w:rPr>
          <w:rFonts w:ascii="Arial" w:hAnsi="Arial" w:cs="Arial"/>
          <w:sz w:val="24"/>
        </w:rPr>
        <w:t>untuk</w:t>
      </w:r>
      <w:r w:rsidRPr="0035519F">
        <w:rPr>
          <w:rFonts w:ascii="Arial" w:hAnsi="Arial" w:cs="Arial"/>
          <w:spacing w:val="1"/>
          <w:sz w:val="24"/>
        </w:rPr>
        <w:t xml:space="preserve"> </w:t>
      </w:r>
      <w:r w:rsidRPr="0035519F">
        <w:rPr>
          <w:rFonts w:ascii="Arial" w:hAnsi="Arial" w:cs="Arial"/>
          <w:sz w:val="24"/>
        </w:rPr>
        <w:t>reaksi</w:t>
      </w:r>
      <w:r w:rsidRPr="0035519F">
        <w:rPr>
          <w:rFonts w:ascii="Arial" w:hAnsi="Arial" w:cs="Arial"/>
          <w:spacing w:val="1"/>
          <w:sz w:val="24"/>
        </w:rPr>
        <w:t xml:space="preserve"> </w:t>
      </w:r>
      <w:r w:rsidRPr="0035519F">
        <w:rPr>
          <w:rFonts w:ascii="Arial" w:hAnsi="Arial" w:cs="Arial"/>
          <w:sz w:val="24"/>
        </w:rPr>
        <w:t>enzimatik</w:t>
      </w:r>
      <w:r w:rsidRPr="0035519F">
        <w:rPr>
          <w:rFonts w:ascii="Arial" w:hAnsi="Arial" w:cs="Arial"/>
          <w:spacing w:val="1"/>
          <w:sz w:val="24"/>
        </w:rPr>
        <w:t xml:space="preserve"> </w:t>
      </w:r>
      <w:r w:rsidRPr="0035519F">
        <w:rPr>
          <w:rFonts w:ascii="Arial" w:hAnsi="Arial" w:cs="Arial"/>
          <w:sz w:val="24"/>
        </w:rPr>
        <w:t>kedua.</w:t>
      </w:r>
      <w:r w:rsidRPr="0035519F">
        <w:rPr>
          <w:rFonts w:ascii="Arial" w:hAnsi="Arial" w:cs="Arial"/>
          <w:spacing w:val="1"/>
          <w:sz w:val="24"/>
        </w:rPr>
        <w:t xml:space="preserve"> </w:t>
      </w:r>
      <w:r w:rsidRPr="0035519F">
        <w:rPr>
          <w:rFonts w:ascii="Arial" w:hAnsi="Arial" w:cs="Arial"/>
          <w:i/>
          <w:sz w:val="24"/>
        </w:rPr>
        <w:t>Nicotinamide</w:t>
      </w:r>
      <w:r w:rsidRPr="0035519F">
        <w:rPr>
          <w:rFonts w:ascii="Arial" w:hAnsi="Arial" w:cs="Arial"/>
          <w:i/>
          <w:spacing w:val="1"/>
          <w:sz w:val="24"/>
        </w:rPr>
        <w:t xml:space="preserve"> </w:t>
      </w:r>
      <w:r w:rsidRPr="0035519F">
        <w:rPr>
          <w:rFonts w:ascii="Arial" w:hAnsi="Arial" w:cs="Arial"/>
          <w:i/>
          <w:sz w:val="24"/>
        </w:rPr>
        <w:t>adenine</w:t>
      </w:r>
      <w:r w:rsidRPr="0035519F">
        <w:rPr>
          <w:rFonts w:ascii="Arial" w:hAnsi="Arial" w:cs="Arial"/>
          <w:i/>
          <w:spacing w:val="1"/>
          <w:sz w:val="24"/>
        </w:rPr>
        <w:t xml:space="preserve"> </w:t>
      </w:r>
      <w:r w:rsidRPr="0035519F">
        <w:rPr>
          <w:rFonts w:ascii="Arial" w:hAnsi="Arial" w:cs="Arial"/>
          <w:i/>
          <w:sz w:val="24"/>
        </w:rPr>
        <w:t>dinucleotide</w:t>
      </w:r>
      <w:r w:rsidRPr="0035519F">
        <w:rPr>
          <w:rFonts w:ascii="Arial" w:hAnsi="Arial" w:cs="Arial"/>
          <w:i/>
          <w:spacing w:val="1"/>
          <w:sz w:val="24"/>
        </w:rPr>
        <w:t xml:space="preserve"> </w:t>
      </w:r>
      <w:r w:rsidRPr="0035519F">
        <w:rPr>
          <w:rFonts w:ascii="Arial" w:hAnsi="Arial" w:cs="Arial"/>
          <w:i/>
          <w:sz w:val="24"/>
        </w:rPr>
        <w:t>phosphate</w:t>
      </w:r>
      <w:r w:rsidRPr="0035519F">
        <w:rPr>
          <w:rFonts w:ascii="Arial" w:hAnsi="Arial" w:cs="Arial"/>
          <w:i/>
          <w:spacing w:val="1"/>
          <w:sz w:val="24"/>
        </w:rPr>
        <w:t xml:space="preserve"> </w:t>
      </w:r>
      <w:r w:rsidRPr="0035519F">
        <w:rPr>
          <w:rFonts w:ascii="Arial" w:hAnsi="Arial" w:cs="Arial"/>
          <w:sz w:val="24"/>
        </w:rPr>
        <w:t>(NADP)</w:t>
      </w:r>
      <w:r w:rsidRPr="0035519F">
        <w:rPr>
          <w:rFonts w:ascii="Arial" w:hAnsi="Arial" w:cs="Arial"/>
          <w:spacing w:val="1"/>
          <w:sz w:val="24"/>
        </w:rPr>
        <w:t xml:space="preserve"> </w:t>
      </w:r>
      <w:r w:rsidRPr="0035519F">
        <w:rPr>
          <w:rFonts w:ascii="Arial" w:hAnsi="Arial" w:cs="Arial"/>
          <w:sz w:val="24"/>
        </w:rPr>
        <w:t>direduksi</w:t>
      </w:r>
      <w:r w:rsidRPr="0035519F">
        <w:rPr>
          <w:rFonts w:ascii="Arial" w:hAnsi="Arial" w:cs="Arial"/>
          <w:spacing w:val="1"/>
          <w:sz w:val="24"/>
        </w:rPr>
        <w:t xml:space="preserve"> </w:t>
      </w:r>
      <w:r w:rsidRPr="0035519F">
        <w:rPr>
          <w:rFonts w:ascii="Arial" w:hAnsi="Arial" w:cs="Arial"/>
          <w:sz w:val="24"/>
        </w:rPr>
        <w:t>pada</w:t>
      </w:r>
      <w:r w:rsidRPr="0035519F">
        <w:rPr>
          <w:rFonts w:ascii="Arial" w:hAnsi="Arial" w:cs="Arial"/>
          <w:spacing w:val="1"/>
          <w:sz w:val="24"/>
        </w:rPr>
        <w:t xml:space="preserve"> </w:t>
      </w:r>
      <w:r w:rsidRPr="0035519F">
        <w:rPr>
          <w:rFonts w:ascii="Arial" w:hAnsi="Arial" w:cs="Arial"/>
          <w:sz w:val="24"/>
        </w:rPr>
        <w:t>reaksi</w:t>
      </w:r>
      <w:r w:rsidRPr="0035519F">
        <w:rPr>
          <w:rFonts w:ascii="Arial" w:hAnsi="Arial" w:cs="Arial"/>
          <w:spacing w:val="1"/>
          <w:sz w:val="24"/>
        </w:rPr>
        <w:t xml:space="preserve"> </w:t>
      </w:r>
      <w:r w:rsidRPr="0035519F">
        <w:rPr>
          <w:rFonts w:ascii="Arial" w:hAnsi="Arial" w:cs="Arial"/>
          <w:sz w:val="24"/>
        </w:rPr>
        <w:t>kedua</w:t>
      </w:r>
      <w:r w:rsidRPr="0035519F">
        <w:rPr>
          <w:rFonts w:ascii="Arial" w:hAnsi="Arial" w:cs="Arial"/>
          <w:spacing w:val="1"/>
          <w:sz w:val="24"/>
        </w:rPr>
        <w:t xml:space="preserve"> </w:t>
      </w:r>
      <w:r w:rsidRPr="0035519F">
        <w:rPr>
          <w:rFonts w:ascii="Arial" w:hAnsi="Arial" w:cs="Arial"/>
          <w:sz w:val="24"/>
        </w:rPr>
        <w:t>menjadi</w:t>
      </w:r>
      <w:r w:rsidRPr="0035519F">
        <w:rPr>
          <w:rFonts w:ascii="Arial" w:hAnsi="Arial" w:cs="Arial"/>
          <w:spacing w:val="1"/>
          <w:sz w:val="24"/>
        </w:rPr>
        <w:t xml:space="preserve"> </w:t>
      </w:r>
      <w:r w:rsidRPr="0035519F">
        <w:rPr>
          <w:rFonts w:ascii="Arial" w:hAnsi="Arial" w:cs="Arial"/>
          <w:sz w:val="24"/>
        </w:rPr>
        <w:t>NADPH</w:t>
      </w:r>
      <w:r w:rsidRPr="0035519F">
        <w:rPr>
          <w:rFonts w:ascii="Arial" w:hAnsi="Arial" w:cs="Arial"/>
          <w:spacing w:val="1"/>
          <w:sz w:val="24"/>
        </w:rPr>
        <w:t xml:space="preserve"> </w:t>
      </w:r>
      <w:r w:rsidRPr="0035519F">
        <w:rPr>
          <w:rFonts w:ascii="Arial" w:hAnsi="Arial" w:cs="Arial"/>
          <w:sz w:val="24"/>
        </w:rPr>
        <w:t>dan</w:t>
      </w:r>
      <w:r w:rsidRPr="0035519F">
        <w:rPr>
          <w:rFonts w:ascii="Arial" w:hAnsi="Arial" w:cs="Arial"/>
          <w:spacing w:val="1"/>
          <w:sz w:val="24"/>
        </w:rPr>
        <w:t xml:space="preserve"> </w:t>
      </w:r>
      <w:r w:rsidRPr="0035519F">
        <w:rPr>
          <w:rFonts w:ascii="Arial" w:hAnsi="Arial" w:cs="Arial"/>
          <w:sz w:val="24"/>
        </w:rPr>
        <w:t>menghasilkan</w:t>
      </w:r>
      <w:r w:rsidRPr="0035519F">
        <w:rPr>
          <w:rFonts w:ascii="Arial" w:hAnsi="Arial" w:cs="Arial"/>
          <w:spacing w:val="1"/>
          <w:sz w:val="24"/>
        </w:rPr>
        <w:t xml:space="preserve"> </w:t>
      </w:r>
      <w:r w:rsidRPr="0035519F">
        <w:rPr>
          <w:rFonts w:ascii="Arial" w:hAnsi="Arial" w:cs="Arial"/>
          <w:i/>
          <w:sz w:val="24"/>
        </w:rPr>
        <w:t>gluconate-6-phosphate</w:t>
      </w:r>
      <w:r w:rsidRPr="0035519F">
        <w:rPr>
          <w:rFonts w:ascii="Arial" w:hAnsi="Arial" w:cs="Arial"/>
          <w:sz w:val="24"/>
        </w:rPr>
        <w:t>.</w:t>
      </w:r>
      <w:r w:rsidRPr="0035519F">
        <w:rPr>
          <w:rFonts w:ascii="Arial" w:hAnsi="Arial" w:cs="Arial"/>
          <w:spacing w:val="1"/>
          <w:sz w:val="24"/>
        </w:rPr>
        <w:t xml:space="preserve"> </w:t>
      </w:r>
      <w:r w:rsidRPr="0035519F">
        <w:rPr>
          <w:rFonts w:ascii="Arial" w:hAnsi="Arial" w:cs="Arial"/>
          <w:sz w:val="24"/>
        </w:rPr>
        <w:t>Pembentukan NADPH menyebabkan peningkatan absorban pada</w:t>
      </w:r>
      <w:r w:rsidRPr="0035519F">
        <w:rPr>
          <w:rFonts w:ascii="Arial" w:hAnsi="Arial" w:cs="Arial"/>
          <w:spacing w:val="1"/>
          <w:sz w:val="24"/>
        </w:rPr>
        <w:t xml:space="preserve"> </w:t>
      </w:r>
      <w:r w:rsidRPr="0035519F">
        <w:rPr>
          <w:rFonts w:ascii="Arial" w:hAnsi="Arial" w:cs="Arial"/>
          <w:sz w:val="24"/>
        </w:rPr>
        <w:t xml:space="preserve">340 nm, yang sebanding dengan jumlah glukosa pada spesimen. </w:t>
      </w:r>
    </w:p>
    <w:p w14:paraId="0AF925AD"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Cara kerja </w:t>
      </w:r>
      <w:r w:rsidRPr="0035519F">
        <w:rPr>
          <w:rFonts w:ascii="Arial" w:hAnsi="Arial" w:cs="Arial"/>
          <w:b/>
          <w:sz w:val="24"/>
          <w:szCs w:val="24"/>
        </w:rPr>
        <w:fldChar w:fldCharType="begin" w:fldLock="1"/>
      </w:r>
      <w:r w:rsidR="00D11F03" w:rsidRPr="0035519F">
        <w:rPr>
          <w:rFonts w:ascii="Arial" w:hAnsi="Arial" w:cs="Arial"/>
          <w:b/>
          <w:sz w:val="24"/>
          <w:szCs w:val="24"/>
        </w:rPr>
        <w:instrText>ADDIN CSL_CITATION {"citationItems":[{"id":"ITEM-1","itemData":{"author":[{"dropping-particle":"","family":"Horiba","given":"","non-dropping-particle":"","parse-names":false,"suffix":""}],"container-title":"Diagnostic Reagent for Quantitative In Vitro Determination of Glucose","id":"ITEM-1","issued":{"date-parts":[["2006"]]},"publisher":"Horiba","title":"Glucose HK-CP","type":"chapter"},"uris":["http://www.mendeley.com/documents/?uuid=a4b0487d-4050-41eb-80fa-a991c8996dc8","http://www.mendeley.com/documents/?uuid=8d7209db-fc30-4926-bb84-28af124504a9"]}],"mendeley":{"formattedCitation":"(Horiba, 2006)","plainTextFormattedCitation":"(Horiba, 2006)","previouslyFormattedCitation":"(Horiba, 2006)"},"properties":{"noteIndex":0},"schema":"https://github.com/citation-style-language/schema/raw/master/csl-citation.json"}</w:instrText>
      </w:r>
      <w:r w:rsidRPr="0035519F">
        <w:rPr>
          <w:rFonts w:ascii="Arial" w:hAnsi="Arial" w:cs="Arial"/>
          <w:b/>
          <w:sz w:val="24"/>
          <w:szCs w:val="24"/>
        </w:rPr>
        <w:fldChar w:fldCharType="separate"/>
      </w:r>
      <w:r w:rsidR="00D11F03" w:rsidRPr="0035519F">
        <w:rPr>
          <w:rFonts w:ascii="Arial" w:hAnsi="Arial" w:cs="Arial"/>
          <w:noProof/>
          <w:sz w:val="24"/>
          <w:szCs w:val="24"/>
        </w:rPr>
        <w:t>(Horiba, 2006)</w:t>
      </w:r>
      <w:r w:rsidRPr="0035519F">
        <w:rPr>
          <w:rFonts w:ascii="Arial" w:hAnsi="Arial" w:cs="Arial"/>
          <w:b/>
          <w:sz w:val="24"/>
          <w:szCs w:val="24"/>
        </w:rPr>
        <w:fldChar w:fldCharType="end"/>
      </w:r>
    </w:p>
    <w:p w14:paraId="13272602"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 xml:space="preserve">Sampel diletakkan pad arak sampel ABX Pentra 400 kemudian masukkan rak sampel ke dalam sampel </w:t>
      </w:r>
      <w:r w:rsidRPr="0035519F">
        <w:rPr>
          <w:rFonts w:ascii="Arial" w:hAnsi="Arial" w:cs="Arial"/>
          <w:i/>
          <w:sz w:val="24"/>
          <w:szCs w:val="24"/>
        </w:rPr>
        <w:t>tray.</w:t>
      </w:r>
      <w:r w:rsidRPr="0035519F">
        <w:rPr>
          <w:rFonts w:ascii="Arial" w:hAnsi="Arial" w:cs="Arial"/>
          <w:sz w:val="24"/>
          <w:szCs w:val="24"/>
        </w:rPr>
        <w:t xml:space="preserve"> </w:t>
      </w:r>
    </w:p>
    <w:p w14:paraId="5FE9CB21"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Pilih tanda “</w:t>
      </w:r>
      <w:r w:rsidRPr="0035519F">
        <w:rPr>
          <w:rFonts w:ascii="Arial" w:hAnsi="Arial" w:cs="Arial"/>
          <w:i/>
          <w:sz w:val="24"/>
          <w:szCs w:val="24"/>
        </w:rPr>
        <w:t>worklist</w:t>
      </w:r>
      <w:r w:rsidRPr="0035519F">
        <w:rPr>
          <w:rFonts w:ascii="Arial" w:hAnsi="Arial" w:cs="Arial"/>
          <w:sz w:val="24"/>
          <w:szCs w:val="24"/>
        </w:rPr>
        <w:t xml:space="preserve">” pada menu utama.  </w:t>
      </w:r>
    </w:p>
    <w:p w14:paraId="272297DE"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 xml:space="preserve">Identitas sampel diketik, selanjutnya pilih parameter glukosa yang akan diperiksa. </w:t>
      </w:r>
    </w:p>
    <w:p w14:paraId="7528E22F"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 xml:space="preserve">Tekan tanda </w:t>
      </w:r>
      <w:r w:rsidRPr="0035519F">
        <w:rPr>
          <w:sz w:val="24"/>
        </w:rPr>
        <w:t>”</w:t>
      </w:r>
      <w:r w:rsidRPr="0035519F">
        <w:rPr>
          <w:rFonts w:ascii="Wingdings" w:hAnsi="Wingdings"/>
          <w:sz w:val="24"/>
        </w:rPr>
        <w:t></w:t>
      </w:r>
      <w:r w:rsidRPr="0035519F">
        <w:rPr>
          <w:sz w:val="24"/>
        </w:rPr>
        <w:t>”</w:t>
      </w:r>
      <w:r w:rsidRPr="0035519F">
        <w:rPr>
          <w:rFonts w:ascii="Arial" w:hAnsi="Arial" w:cs="Arial"/>
          <w:sz w:val="24"/>
          <w:szCs w:val="24"/>
        </w:rPr>
        <w:t xml:space="preserve"> pada bagian kanan bawah untuk konfirmasi datan dan </w:t>
      </w:r>
      <w:r w:rsidRPr="0035519F">
        <w:rPr>
          <w:rFonts w:ascii="Arial" w:hAnsi="Arial" w:cs="Arial"/>
          <w:i/>
          <w:sz w:val="24"/>
          <w:szCs w:val="24"/>
        </w:rPr>
        <w:t>order</w:t>
      </w:r>
      <w:r w:rsidRPr="0035519F">
        <w:rPr>
          <w:rFonts w:ascii="Arial" w:hAnsi="Arial" w:cs="Arial"/>
          <w:sz w:val="24"/>
          <w:szCs w:val="24"/>
        </w:rPr>
        <w:t xml:space="preserve"> parameter pemeriksaan. </w:t>
      </w:r>
    </w:p>
    <w:p w14:paraId="3C7A0A4E"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 xml:space="preserve">Tekan tanda </w:t>
      </w:r>
      <w:r w:rsidRPr="0035519F">
        <w:rPr>
          <w:sz w:val="24"/>
        </w:rPr>
        <w:t>“</w:t>
      </w:r>
      <w:r w:rsidRPr="0035519F">
        <w:rPr>
          <w:rFonts w:ascii="Arial" w:hAnsi="Arial" w:cs="Arial"/>
          <w:sz w:val="24"/>
        </w:rPr>
        <w:t>►</w:t>
      </w:r>
      <w:r w:rsidRPr="0035519F">
        <w:rPr>
          <w:rFonts w:cs="Calibri"/>
          <w:sz w:val="24"/>
        </w:rPr>
        <w:t>”</w:t>
      </w:r>
      <w:r w:rsidRPr="0035519F">
        <w:rPr>
          <w:rFonts w:ascii="Arial" w:hAnsi="Arial" w:cs="Arial"/>
          <w:sz w:val="24"/>
          <w:szCs w:val="24"/>
        </w:rPr>
        <w:t xml:space="preserve"> pada bagian atas layar, kemudian sampel akan diperiksa secara otomatis. </w:t>
      </w:r>
    </w:p>
    <w:p w14:paraId="30EA1519" w14:textId="77777777" w:rsidR="007757AB" w:rsidRPr="0035519F" w:rsidRDefault="007757AB" w:rsidP="00B124CB">
      <w:pPr>
        <w:pStyle w:val="ListParagraph"/>
        <w:widowControl w:val="0"/>
        <w:numPr>
          <w:ilvl w:val="0"/>
          <w:numId w:val="14"/>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lastRenderedPageBreak/>
        <w:t>Untuk melihat hasil, pilih menu “</w:t>
      </w:r>
      <w:r w:rsidRPr="0035519F">
        <w:rPr>
          <w:rFonts w:ascii="Arial" w:hAnsi="Arial" w:cs="Arial"/>
          <w:i/>
          <w:sz w:val="24"/>
          <w:szCs w:val="24"/>
        </w:rPr>
        <w:t>result validation</w:t>
      </w:r>
      <w:r w:rsidRPr="0035519F">
        <w:rPr>
          <w:rFonts w:ascii="Arial" w:hAnsi="Arial" w:cs="Arial"/>
          <w:sz w:val="24"/>
          <w:szCs w:val="24"/>
        </w:rPr>
        <w:t>”, pilih data sesuai identitas sampel dan tekan “</w:t>
      </w:r>
      <w:r w:rsidRPr="0035519F">
        <w:rPr>
          <w:rFonts w:ascii="Arial" w:hAnsi="Arial" w:cs="Arial"/>
          <w:i/>
          <w:sz w:val="24"/>
          <w:szCs w:val="24"/>
        </w:rPr>
        <w:t>validate</w:t>
      </w:r>
      <w:r w:rsidRPr="0035519F">
        <w:rPr>
          <w:rFonts w:ascii="Arial" w:hAnsi="Arial" w:cs="Arial"/>
          <w:sz w:val="24"/>
          <w:szCs w:val="24"/>
        </w:rPr>
        <w:t xml:space="preserve">”. </w:t>
      </w:r>
    </w:p>
    <w:p w14:paraId="1F3833DB" w14:textId="77777777" w:rsidR="007757AB" w:rsidRPr="0035519F" w:rsidRDefault="007757AB" w:rsidP="00B124CB">
      <w:pPr>
        <w:pStyle w:val="NoSpacing"/>
        <w:numPr>
          <w:ilvl w:val="4"/>
          <w:numId w:val="9"/>
        </w:numPr>
        <w:tabs>
          <w:tab w:val="left" w:pos="709"/>
        </w:tabs>
        <w:spacing w:line="480" w:lineRule="auto"/>
        <w:ind w:left="709" w:hanging="283"/>
        <w:jc w:val="both"/>
        <w:rPr>
          <w:rFonts w:ascii="Arial" w:hAnsi="Arial" w:cs="Arial"/>
          <w:b/>
          <w:sz w:val="24"/>
          <w:szCs w:val="24"/>
        </w:rPr>
      </w:pPr>
      <w:r w:rsidRPr="0035519F">
        <w:rPr>
          <w:rFonts w:ascii="Arial" w:hAnsi="Arial" w:cs="Arial"/>
          <w:b/>
          <w:sz w:val="24"/>
          <w:szCs w:val="24"/>
        </w:rPr>
        <w:t xml:space="preserve">Nilai rujukan </w:t>
      </w:r>
      <w:r w:rsidRPr="0035519F">
        <w:rPr>
          <w:rFonts w:ascii="Arial" w:hAnsi="Arial" w:cs="Arial"/>
          <w:sz w:val="24"/>
          <w:szCs w:val="24"/>
        </w:rPr>
        <w:t>(PERKENI, 2019)</w:t>
      </w:r>
    </w:p>
    <w:p w14:paraId="4A2A0EE2" w14:textId="77777777" w:rsidR="007757AB" w:rsidRPr="0035519F" w:rsidRDefault="007757AB" w:rsidP="00B124CB">
      <w:pPr>
        <w:pStyle w:val="ListParagraph"/>
        <w:widowControl w:val="0"/>
        <w:numPr>
          <w:ilvl w:val="0"/>
          <w:numId w:val="15"/>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Glukosa puasa &lt; 100 mg/dL</w:t>
      </w:r>
      <w:r w:rsidRPr="0035519F">
        <w:rPr>
          <w:rFonts w:ascii="Arial" w:hAnsi="Arial" w:cs="Arial"/>
          <w:sz w:val="24"/>
          <w:szCs w:val="24"/>
        </w:rPr>
        <w:tab/>
      </w:r>
      <w:r w:rsidRPr="0035519F">
        <w:rPr>
          <w:rFonts w:ascii="Arial" w:hAnsi="Arial" w:cs="Arial"/>
          <w:sz w:val="24"/>
          <w:szCs w:val="24"/>
        </w:rPr>
        <w:tab/>
        <w:t xml:space="preserve">: Normal </w:t>
      </w:r>
    </w:p>
    <w:p w14:paraId="4A89C207" w14:textId="77777777" w:rsidR="007757AB" w:rsidRPr="0035519F" w:rsidRDefault="007757AB" w:rsidP="00B124CB">
      <w:pPr>
        <w:pStyle w:val="ListParagraph"/>
        <w:widowControl w:val="0"/>
        <w:numPr>
          <w:ilvl w:val="0"/>
          <w:numId w:val="15"/>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Glukosa puasa 100-125 mg/mL</w:t>
      </w:r>
      <w:r w:rsidRPr="0035519F">
        <w:rPr>
          <w:rFonts w:ascii="Arial" w:hAnsi="Arial" w:cs="Arial"/>
          <w:sz w:val="24"/>
          <w:szCs w:val="24"/>
        </w:rPr>
        <w:tab/>
        <w:t xml:space="preserve">: Glukosa puasa terganggu </w:t>
      </w:r>
    </w:p>
    <w:p w14:paraId="21E55CCA" w14:textId="77777777" w:rsidR="007757AB" w:rsidRPr="0035519F" w:rsidRDefault="007757AB" w:rsidP="00B124CB">
      <w:pPr>
        <w:pStyle w:val="ListParagraph"/>
        <w:widowControl w:val="0"/>
        <w:numPr>
          <w:ilvl w:val="0"/>
          <w:numId w:val="15"/>
        </w:numPr>
        <w:autoSpaceDE w:val="0"/>
        <w:autoSpaceDN w:val="0"/>
        <w:spacing w:after="0" w:line="480" w:lineRule="auto"/>
        <w:ind w:left="993" w:hanging="284"/>
        <w:rPr>
          <w:rFonts w:ascii="Arial" w:hAnsi="Arial" w:cs="Arial"/>
          <w:sz w:val="24"/>
          <w:szCs w:val="24"/>
        </w:rPr>
      </w:pPr>
      <w:r w:rsidRPr="0035519F">
        <w:rPr>
          <w:rFonts w:ascii="Arial" w:hAnsi="Arial" w:cs="Arial"/>
          <w:sz w:val="24"/>
          <w:szCs w:val="24"/>
        </w:rPr>
        <w:t xml:space="preserve">Glukosa puasa </w:t>
      </w:r>
      <w:r w:rsidRPr="0035519F">
        <w:rPr>
          <w:rFonts w:ascii="Times New Roman" w:hAnsi="Times New Roman"/>
          <w:sz w:val="24"/>
          <w:szCs w:val="24"/>
        </w:rPr>
        <w:t>≥</w:t>
      </w:r>
      <w:r w:rsidRPr="0035519F">
        <w:rPr>
          <w:rFonts w:ascii="Arial" w:hAnsi="Arial" w:cs="Arial"/>
          <w:sz w:val="24"/>
          <w:szCs w:val="24"/>
        </w:rPr>
        <w:t>126 mg/mL</w:t>
      </w:r>
      <w:r w:rsidRPr="0035519F">
        <w:rPr>
          <w:rFonts w:ascii="Arial" w:hAnsi="Arial" w:cs="Arial"/>
          <w:sz w:val="24"/>
          <w:szCs w:val="24"/>
        </w:rPr>
        <w:tab/>
      </w:r>
      <w:r w:rsidRPr="0035519F">
        <w:rPr>
          <w:rFonts w:ascii="Arial" w:hAnsi="Arial" w:cs="Arial"/>
          <w:sz w:val="24"/>
          <w:szCs w:val="24"/>
        </w:rPr>
        <w:tab/>
        <w:t xml:space="preserve">: Diabetes melitus </w:t>
      </w:r>
    </w:p>
    <w:p w14:paraId="7725677A" w14:textId="77777777" w:rsidR="007757AB" w:rsidRPr="0035519F" w:rsidRDefault="007757AB" w:rsidP="007757AB">
      <w:pPr>
        <w:pStyle w:val="BodyText"/>
        <w:tabs>
          <w:tab w:val="left" w:pos="6165"/>
        </w:tabs>
        <w:ind w:left="1134" w:hanging="425"/>
        <w:rPr>
          <w:lang w:val="id-ID"/>
        </w:rPr>
      </w:pPr>
      <w:r w:rsidRPr="0035519F">
        <w:rPr>
          <w:lang w:val="id-ID"/>
        </w:rPr>
        <w:tab/>
      </w:r>
      <w:r w:rsidRPr="0035519F">
        <w:rPr>
          <w:lang w:val="id-ID"/>
        </w:rPr>
        <w:tab/>
      </w:r>
    </w:p>
    <w:p w14:paraId="70FFB911" w14:textId="77777777" w:rsidR="007757AB" w:rsidRPr="0035519F" w:rsidRDefault="007757AB" w:rsidP="00B124CB">
      <w:pPr>
        <w:pStyle w:val="NoSpacing"/>
        <w:numPr>
          <w:ilvl w:val="0"/>
          <w:numId w:val="9"/>
        </w:numPr>
        <w:spacing w:line="480" w:lineRule="auto"/>
        <w:ind w:left="426" w:hanging="426"/>
        <w:rPr>
          <w:rFonts w:ascii="Arial" w:hAnsi="Arial" w:cs="Arial"/>
          <w:b/>
          <w:sz w:val="24"/>
          <w:szCs w:val="24"/>
        </w:rPr>
      </w:pPr>
      <w:r w:rsidRPr="0035519F">
        <w:rPr>
          <w:rFonts w:ascii="Arial" w:hAnsi="Arial" w:cs="Arial"/>
          <w:b/>
          <w:sz w:val="24"/>
          <w:szCs w:val="24"/>
        </w:rPr>
        <w:t xml:space="preserve">Tes </w:t>
      </w:r>
      <w:r w:rsidR="00C53DE0" w:rsidRPr="0035519F">
        <w:rPr>
          <w:rFonts w:ascii="Arial" w:hAnsi="Arial" w:cs="Arial"/>
          <w:b/>
          <w:sz w:val="24"/>
          <w:szCs w:val="24"/>
        </w:rPr>
        <w:t>IGF-1</w:t>
      </w:r>
    </w:p>
    <w:p w14:paraId="1D6BA3DC" w14:textId="77777777" w:rsidR="007757AB" w:rsidRPr="0035519F" w:rsidRDefault="007757AB" w:rsidP="00B124CB">
      <w:pPr>
        <w:pStyle w:val="NoSpacing"/>
        <w:numPr>
          <w:ilvl w:val="1"/>
          <w:numId w:val="16"/>
        </w:numPr>
        <w:tabs>
          <w:tab w:val="left" w:pos="709"/>
        </w:tabs>
        <w:spacing w:line="480" w:lineRule="auto"/>
        <w:ind w:left="709"/>
        <w:jc w:val="both"/>
        <w:rPr>
          <w:rFonts w:ascii="Arial" w:hAnsi="Arial" w:cs="Arial"/>
          <w:b/>
          <w:sz w:val="24"/>
          <w:szCs w:val="24"/>
        </w:rPr>
      </w:pPr>
      <w:r w:rsidRPr="0035519F">
        <w:rPr>
          <w:rFonts w:ascii="Arial" w:hAnsi="Arial" w:cs="Arial"/>
          <w:b/>
          <w:sz w:val="24"/>
          <w:szCs w:val="24"/>
        </w:rPr>
        <w:t>Tahapan Pra Analitik</w:t>
      </w:r>
      <w:r w:rsidR="00520D7C" w:rsidRPr="0035519F">
        <w:rPr>
          <w:rFonts w:ascii="Arial" w:hAnsi="Arial" w:cs="Arial"/>
          <w:b/>
          <w:sz w:val="24"/>
          <w:szCs w:val="24"/>
        </w:rPr>
        <w:t xml:space="preserve"> </w:t>
      </w:r>
      <w:r w:rsidR="00520D7C" w:rsidRPr="0035519F">
        <w:rPr>
          <w:rFonts w:ascii="Arial" w:hAnsi="Arial" w:cs="Arial"/>
          <w:b/>
          <w:sz w:val="24"/>
          <w:szCs w:val="24"/>
        </w:rPr>
        <w:fldChar w:fldCharType="begin" w:fldLock="1"/>
      </w:r>
      <w:r w:rsidR="00DC3464" w:rsidRPr="0035519F">
        <w:rPr>
          <w:rFonts w:ascii="Arial" w:hAnsi="Arial" w:cs="Arial"/>
          <w:b/>
          <w:sz w:val="24"/>
          <w:szCs w:val="24"/>
        </w:rPr>
        <w:instrText>ADDIN CSL_CITATION {"citationItems":[{"id":"ITEM-1","itemData":{"author":[{"dropping-particle":"","family":"Demeditec Diagnostics","given":"GmbH","non-dropping-particle":"","parse-names":false,"suffix":""}],"id":"ITEM-1","issued":{"date-parts":[["2022"]]},"title":"IGF-I ELISA - DEE020 - Demeditec Diagnostics GmbH","type":"article"},"uris":["http://www.mendeley.com/documents/?uuid=1d1718af-f969-3c5b-bc6d-0b4c9788a3cb"]}],"mendeley":{"formattedCitation":"(Demeditec Diagnostics, 2022)","plainTextFormattedCitation":"(Demeditec Diagnostics, 2022)","previouslyFormattedCitation":"(Demeditec Diagnostics, 2022)"},"properties":{"noteIndex":0},"schema":"https://github.com/citation-style-language/schema/raw/master/csl-citation.json"}</w:instrText>
      </w:r>
      <w:r w:rsidR="00520D7C" w:rsidRPr="0035519F">
        <w:rPr>
          <w:rFonts w:ascii="Arial" w:hAnsi="Arial" w:cs="Arial"/>
          <w:b/>
          <w:sz w:val="24"/>
          <w:szCs w:val="24"/>
        </w:rPr>
        <w:fldChar w:fldCharType="separate"/>
      </w:r>
      <w:r w:rsidR="00520D7C" w:rsidRPr="0035519F">
        <w:rPr>
          <w:rFonts w:ascii="Arial" w:hAnsi="Arial" w:cs="Arial"/>
          <w:noProof/>
          <w:sz w:val="24"/>
          <w:szCs w:val="24"/>
        </w:rPr>
        <w:t>(Demeditec Diagnostics, 2022)</w:t>
      </w:r>
      <w:r w:rsidR="00520D7C" w:rsidRPr="0035519F">
        <w:rPr>
          <w:rFonts w:ascii="Arial" w:hAnsi="Arial" w:cs="Arial"/>
          <w:b/>
          <w:sz w:val="24"/>
          <w:szCs w:val="24"/>
        </w:rPr>
        <w:fldChar w:fldCharType="end"/>
      </w:r>
      <w:r w:rsidRPr="0035519F">
        <w:rPr>
          <w:rFonts w:ascii="Arial" w:hAnsi="Arial" w:cs="Arial"/>
          <w:b/>
          <w:sz w:val="24"/>
          <w:szCs w:val="24"/>
        </w:rPr>
        <w:t xml:space="preserve"> </w:t>
      </w:r>
    </w:p>
    <w:p w14:paraId="4579EAF0" w14:textId="77777777" w:rsidR="007757AB" w:rsidRPr="0035519F" w:rsidRDefault="007757AB" w:rsidP="00B124CB">
      <w:pPr>
        <w:pStyle w:val="ListParagraph"/>
        <w:widowControl w:val="0"/>
        <w:numPr>
          <w:ilvl w:val="2"/>
          <w:numId w:val="16"/>
        </w:numPr>
        <w:tabs>
          <w:tab w:val="left" w:pos="1418"/>
          <w:tab w:val="left" w:pos="3119"/>
        </w:tabs>
        <w:autoSpaceDE w:val="0"/>
        <w:autoSpaceDN w:val="0"/>
        <w:spacing w:after="0" w:line="240" w:lineRule="auto"/>
        <w:ind w:left="993"/>
        <w:jc w:val="both"/>
        <w:rPr>
          <w:rFonts w:ascii="Arial" w:hAnsi="Arial" w:cs="Arial"/>
          <w:sz w:val="24"/>
        </w:rPr>
      </w:pPr>
      <w:r w:rsidRPr="0035519F">
        <w:rPr>
          <w:rFonts w:ascii="Arial" w:hAnsi="Arial" w:cs="Arial"/>
          <w:sz w:val="24"/>
        </w:rPr>
        <w:t>Persiapan</w:t>
      </w:r>
      <w:r w:rsidRPr="0035519F">
        <w:rPr>
          <w:rFonts w:ascii="Arial" w:hAnsi="Arial" w:cs="Arial"/>
          <w:spacing w:val="-2"/>
          <w:sz w:val="24"/>
        </w:rPr>
        <w:t xml:space="preserve"> </w:t>
      </w:r>
      <w:r w:rsidRPr="0035519F">
        <w:rPr>
          <w:rFonts w:ascii="Arial" w:hAnsi="Arial" w:cs="Arial"/>
          <w:sz w:val="24"/>
        </w:rPr>
        <w:t>pasien</w:t>
      </w:r>
      <w:r w:rsidRPr="0035519F">
        <w:rPr>
          <w:rFonts w:ascii="Arial" w:hAnsi="Arial" w:cs="Arial"/>
          <w:sz w:val="24"/>
        </w:rPr>
        <w:tab/>
        <w:t>: tidak ada persiapan</w:t>
      </w:r>
      <w:r w:rsidRPr="0035519F">
        <w:rPr>
          <w:rFonts w:ascii="Arial" w:hAnsi="Arial" w:cs="Arial"/>
          <w:spacing w:val="-5"/>
          <w:sz w:val="24"/>
        </w:rPr>
        <w:t xml:space="preserve"> </w:t>
      </w:r>
      <w:r w:rsidRPr="0035519F">
        <w:rPr>
          <w:rFonts w:ascii="Arial" w:hAnsi="Arial" w:cs="Arial"/>
          <w:sz w:val="24"/>
        </w:rPr>
        <w:t>khusus</w:t>
      </w:r>
    </w:p>
    <w:p w14:paraId="7136E5FB" w14:textId="77777777" w:rsidR="007757AB" w:rsidRPr="0035519F" w:rsidRDefault="007757AB" w:rsidP="007757AB">
      <w:pPr>
        <w:pStyle w:val="BodyText"/>
        <w:tabs>
          <w:tab w:val="left" w:pos="1418"/>
          <w:tab w:val="left" w:pos="3119"/>
        </w:tabs>
        <w:ind w:left="993"/>
        <w:jc w:val="both"/>
        <w:rPr>
          <w:lang w:val="id-ID"/>
        </w:rPr>
      </w:pPr>
    </w:p>
    <w:p w14:paraId="6221C47E" w14:textId="77777777" w:rsidR="007757AB" w:rsidRPr="0035519F" w:rsidRDefault="007757AB" w:rsidP="00B124CB">
      <w:pPr>
        <w:pStyle w:val="ListParagraph"/>
        <w:widowControl w:val="0"/>
        <w:numPr>
          <w:ilvl w:val="2"/>
          <w:numId w:val="16"/>
        </w:numPr>
        <w:tabs>
          <w:tab w:val="left" w:pos="1418"/>
          <w:tab w:val="left" w:pos="3119"/>
        </w:tabs>
        <w:autoSpaceDE w:val="0"/>
        <w:autoSpaceDN w:val="0"/>
        <w:spacing w:after="0" w:line="240" w:lineRule="auto"/>
        <w:ind w:left="993"/>
        <w:jc w:val="both"/>
        <w:rPr>
          <w:rFonts w:ascii="Arial" w:hAnsi="Arial" w:cs="Arial"/>
          <w:sz w:val="24"/>
        </w:rPr>
      </w:pPr>
      <w:r w:rsidRPr="0035519F">
        <w:rPr>
          <w:rFonts w:ascii="Arial" w:hAnsi="Arial" w:cs="Arial"/>
          <w:sz w:val="24"/>
        </w:rPr>
        <w:t>Persiapan</w:t>
      </w:r>
      <w:r w:rsidRPr="0035519F">
        <w:rPr>
          <w:rFonts w:ascii="Arial" w:hAnsi="Arial" w:cs="Arial"/>
          <w:spacing w:val="-3"/>
          <w:sz w:val="24"/>
        </w:rPr>
        <w:t xml:space="preserve"> </w:t>
      </w:r>
      <w:r w:rsidRPr="0035519F">
        <w:rPr>
          <w:rFonts w:ascii="Arial" w:hAnsi="Arial" w:cs="Arial"/>
          <w:sz w:val="24"/>
        </w:rPr>
        <w:t>sampel</w:t>
      </w:r>
      <w:r w:rsidRPr="0035519F">
        <w:rPr>
          <w:rFonts w:ascii="Arial" w:hAnsi="Arial" w:cs="Arial"/>
          <w:sz w:val="24"/>
        </w:rPr>
        <w:tab/>
        <w:t>: serum yang disimpan pada suhu ≤ -20°</w:t>
      </w:r>
      <w:r w:rsidRPr="0035519F">
        <w:rPr>
          <w:rFonts w:ascii="Arial" w:hAnsi="Arial" w:cs="Arial"/>
          <w:spacing w:val="-7"/>
          <w:sz w:val="24"/>
        </w:rPr>
        <w:t xml:space="preserve"> </w:t>
      </w:r>
      <w:r w:rsidRPr="0035519F">
        <w:rPr>
          <w:rFonts w:ascii="Arial" w:hAnsi="Arial" w:cs="Arial"/>
          <w:sz w:val="24"/>
        </w:rPr>
        <w:t>C</w:t>
      </w:r>
    </w:p>
    <w:p w14:paraId="447C0EC8" w14:textId="77777777" w:rsidR="007757AB" w:rsidRPr="0035519F" w:rsidRDefault="007757AB" w:rsidP="007757AB">
      <w:pPr>
        <w:pStyle w:val="BodyText"/>
        <w:tabs>
          <w:tab w:val="left" w:pos="1418"/>
        </w:tabs>
        <w:jc w:val="both"/>
        <w:rPr>
          <w:lang w:val="id-ID"/>
        </w:rPr>
      </w:pPr>
    </w:p>
    <w:p w14:paraId="664FF5E8" w14:textId="77777777" w:rsidR="007757AB" w:rsidRPr="0035519F" w:rsidRDefault="007757AB" w:rsidP="00520D7C">
      <w:pPr>
        <w:pStyle w:val="ListParagraph"/>
        <w:widowControl w:val="0"/>
        <w:numPr>
          <w:ilvl w:val="2"/>
          <w:numId w:val="16"/>
        </w:numPr>
        <w:autoSpaceDE w:val="0"/>
        <w:autoSpaceDN w:val="0"/>
        <w:spacing w:after="0" w:line="480" w:lineRule="auto"/>
        <w:ind w:left="990" w:right="815"/>
        <w:jc w:val="both"/>
        <w:rPr>
          <w:rFonts w:ascii="Arial" w:hAnsi="Arial" w:cs="Arial"/>
          <w:sz w:val="24"/>
        </w:rPr>
      </w:pPr>
      <w:r w:rsidRPr="0035519F">
        <w:rPr>
          <w:rFonts w:ascii="Arial" w:hAnsi="Arial" w:cs="Arial"/>
          <w:sz w:val="24"/>
        </w:rPr>
        <w:t xml:space="preserve">Alat dan Bahan </w:t>
      </w:r>
      <w:r w:rsidRPr="0035519F">
        <w:rPr>
          <w:rFonts w:ascii="Arial" w:hAnsi="Arial" w:cs="Arial"/>
          <w:sz w:val="24"/>
        </w:rPr>
        <w:tab/>
        <w:t xml:space="preserve"> </w:t>
      </w:r>
      <w:r w:rsidR="00ED4E04" w:rsidRPr="0035519F">
        <w:rPr>
          <w:rFonts w:ascii="Arial" w:hAnsi="Arial" w:cs="Arial"/>
          <w:sz w:val="24"/>
        </w:rPr>
        <w:t xml:space="preserve">  </w:t>
      </w:r>
      <w:r w:rsidR="00E64E0A" w:rsidRPr="0035519F">
        <w:rPr>
          <w:rFonts w:ascii="Arial" w:hAnsi="Arial" w:cs="Arial"/>
          <w:sz w:val="24"/>
        </w:rPr>
        <w:t>:</w:t>
      </w:r>
      <w:r w:rsidRPr="0035519F">
        <w:rPr>
          <w:rFonts w:ascii="Arial" w:hAnsi="Arial" w:cs="Arial"/>
          <w:sz w:val="24"/>
        </w:rPr>
        <w:t xml:space="preserve"> mikropipet dan tips, tabung mikro, </w:t>
      </w:r>
      <w:r w:rsidRPr="0035519F">
        <w:rPr>
          <w:rFonts w:ascii="Arial" w:hAnsi="Arial" w:cs="Arial"/>
          <w:i/>
          <w:sz w:val="24"/>
        </w:rPr>
        <w:t xml:space="preserve">aquadest, microplate reader </w:t>
      </w:r>
      <w:r w:rsidRPr="0035519F">
        <w:rPr>
          <w:rFonts w:ascii="Arial" w:hAnsi="Arial" w:cs="Arial"/>
          <w:sz w:val="24"/>
        </w:rPr>
        <w:t xml:space="preserve">dengan panjang gelombang 450 ± 10 nm, kertas absorben dan satu kit reagen </w:t>
      </w:r>
      <w:r w:rsidR="00A77FCB" w:rsidRPr="0035519F">
        <w:rPr>
          <w:rFonts w:ascii="Arial" w:hAnsi="Arial" w:cs="Arial"/>
          <w:sz w:val="24"/>
        </w:rPr>
        <w:t>IGF-1</w:t>
      </w:r>
      <w:r w:rsidRPr="0035519F">
        <w:rPr>
          <w:rFonts w:ascii="Arial" w:hAnsi="Arial" w:cs="Arial"/>
          <w:sz w:val="24"/>
        </w:rPr>
        <w:t xml:space="preserve"> dari </w:t>
      </w:r>
      <w:r w:rsidR="00520D7C" w:rsidRPr="0035519F">
        <w:rPr>
          <w:rFonts w:ascii="Arial" w:hAnsi="Arial" w:cs="Arial"/>
          <w:i/>
          <w:sz w:val="24"/>
        </w:rPr>
        <w:t xml:space="preserve">Demeditec Diagnostics GmbH </w:t>
      </w:r>
      <w:r w:rsidRPr="0035519F">
        <w:rPr>
          <w:rFonts w:ascii="Arial" w:hAnsi="Arial" w:cs="Arial"/>
          <w:sz w:val="24"/>
        </w:rPr>
        <w:t>yang terdiri atas</w:t>
      </w:r>
      <w:r w:rsidR="00E64E0A" w:rsidRPr="0035519F">
        <w:rPr>
          <w:rFonts w:ascii="Arial" w:hAnsi="Arial" w:cs="Arial"/>
          <w:spacing w:val="-5"/>
          <w:sz w:val="24"/>
        </w:rPr>
        <w:t>:</w:t>
      </w:r>
    </w:p>
    <w:p w14:paraId="2499AAA9" w14:textId="77777777" w:rsidR="007757AB" w:rsidRPr="0035519F" w:rsidRDefault="007757AB" w:rsidP="007757AB">
      <w:pPr>
        <w:tabs>
          <w:tab w:val="left" w:pos="1418"/>
          <w:tab w:val="left" w:pos="5523"/>
        </w:tabs>
        <w:spacing w:before="1"/>
        <w:ind w:left="1582"/>
        <w:jc w:val="both"/>
        <w:rPr>
          <w:rFonts w:ascii="Arial" w:hAnsi="Arial" w:cs="Arial"/>
          <w:i/>
          <w:sz w:val="24"/>
        </w:rPr>
      </w:pPr>
      <w:r w:rsidRPr="0035519F">
        <w:rPr>
          <w:rFonts w:ascii="Arial" w:hAnsi="Arial" w:cs="Arial"/>
          <w:sz w:val="24"/>
        </w:rPr>
        <w:t xml:space="preserve">-   </w:t>
      </w:r>
      <w:r w:rsidRPr="0035519F">
        <w:rPr>
          <w:rFonts w:ascii="Arial" w:hAnsi="Arial" w:cs="Arial"/>
          <w:i/>
          <w:sz w:val="24"/>
        </w:rPr>
        <w:t>Pre coated</w:t>
      </w:r>
      <w:r w:rsidRPr="0035519F">
        <w:rPr>
          <w:rFonts w:ascii="Arial" w:hAnsi="Arial" w:cs="Arial"/>
          <w:i/>
          <w:spacing w:val="-2"/>
          <w:sz w:val="24"/>
        </w:rPr>
        <w:t xml:space="preserve"> </w:t>
      </w:r>
      <w:r w:rsidRPr="0035519F">
        <w:rPr>
          <w:rFonts w:ascii="Arial" w:hAnsi="Arial" w:cs="Arial"/>
          <w:i/>
          <w:sz w:val="24"/>
        </w:rPr>
        <w:t>ELISA</w:t>
      </w:r>
      <w:r w:rsidRPr="0035519F">
        <w:rPr>
          <w:rFonts w:ascii="Arial" w:hAnsi="Arial" w:cs="Arial"/>
          <w:i/>
          <w:spacing w:val="-3"/>
          <w:sz w:val="24"/>
        </w:rPr>
        <w:t xml:space="preserve"> </w:t>
      </w:r>
      <w:r w:rsidR="00852758" w:rsidRPr="0035519F">
        <w:rPr>
          <w:rFonts w:ascii="Arial" w:hAnsi="Arial" w:cs="Arial"/>
          <w:i/>
          <w:spacing w:val="-3"/>
          <w:sz w:val="24"/>
        </w:rPr>
        <w:t xml:space="preserve">Microtiter </w:t>
      </w:r>
      <w:r w:rsidRPr="0035519F">
        <w:rPr>
          <w:rFonts w:ascii="Arial" w:hAnsi="Arial" w:cs="Arial"/>
          <w:i/>
          <w:sz w:val="24"/>
        </w:rPr>
        <w:t>Plate</w:t>
      </w:r>
      <w:r w:rsidRPr="0035519F">
        <w:rPr>
          <w:rFonts w:ascii="Arial" w:hAnsi="Arial" w:cs="Arial"/>
          <w:i/>
          <w:sz w:val="24"/>
        </w:rPr>
        <w:tab/>
      </w:r>
      <w:r w:rsidRPr="0035519F">
        <w:rPr>
          <w:rFonts w:ascii="Arial" w:hAnsi="Arial" w:cs="Arial"/>
          <w:sz w:val="24"/>
        </w:rPr>
        <w:tab/>
        <w:t xml:space="preserve">        12 x 8</w:t>
      </w:r>
      <w:r w:rsidRPr="0035519F">
        <w:rPr>
          <w:rFonts w:ascii="Arial" w:hAnsi="Arial" w:cs="Arial"/>
          <w:spacing w:val="-1"/>
          <w:sz w:val="24"/>
        </w:rPr>
        <w:t xml:space="preserve"> </w:t>
      </w:r>
      <w:r w:rsidRPr="0035519F">
        <w:rPr>
          <w:rFonts w:ascii="Arial" w:hAnsi="Arial" w:cs="Arial"/>
          <w:i/>
          <w:sz w:val="24"/>
        </w:rPr>
        <w:t>well</w:t>
      </w:r>
    </w:p>
    <w:tbl>
      <w:tblPr>
        <w:tblW w:w="7000" w:type="dxa"/>
        <w:tblInd w:w="1539" w:type="dxa"/>
        <w:tblLayout w:type="fixed"/>
        <w:tblCellMar>
          <w:left w:w="0" w:type="dxa"/>
          <w:right w:w="0" w:type="dxa"/>
        </w:tblCellMar>
        <w:tblLook w:val="01E0" w:firstRow="1" w:lastRow="1" w:firstColumn="1" w:lastColumn="1" w:noHBand="0" w:noVBand="0"/>
      </w:tblPr>
      <w:tblGrid>
        <w:gridCol w:w="4698"/>
        <w:gridCol w:w="2302"/>
      </w:tblGrid>
      <w:tr w:rsidR="00117F69" w:rsidRPr="0035519F" w14:paraId="72D6D790" w14:textId="77777777" w:rsidTr="00DC3464">
        <w:trPr>
          <w:trHeight w:val="369"/>
        </w:trPr>
        <w:tc>
          <w:tcPr>
            <w:tcW w:w="4698" w:type="dxa"/>
          </w:tcPr>
          <w:p w14:paraId="3634E605" w14:textId="77777777" w:rsidR="007757AB" w:rsidRPr="0035519F" w:rsidRDefault="00852758" w:rsidP="00852758">
            <w:pPr>
              <w:pStyle w:val="TableParagraph"/>
              <w:numPr>
                <w:ilvl w:val="0"/>
                <w:numId w:val="17"/>
              </w:numPr>
              <w:tabs>
                <w:tab w:val="left" w:pos="334"/>
                <w:tab w:val="left" w:pos="1418"/>
              </w:tabs>
              <w:rPr>
                <w:rFonts w:cs="Arial"/>
                <w:sz w:val="24"/>
                <w:lang w:val="id-ID"/>
              </w:rPr>
            </w:pPr>
            <w:r w:rsidRPr="0035519F">
              <w:rPr>
                <w:rFonts w:cs="Arial"/>
                <w:i/>
                <w:sz w:val="24"/>
              </w:rPr>
              <w:t>Calibrator A-E</w:t>
            </w:r>
            <w:r w:rsidR="00DC3464" w:rsidRPr="0035519F">
              <w:rPr>
                <w:rFonts w:cs="Arial"/>
                <w:i/>
                <w:sz w:val="24"/>
              </w:rPr>
              <w:t xml:space="preserve"> (rec. hIGF-1)</w:t>
            </w:r>
          </w:p>
          <w:p w14:paraId="26691261" w14:textId="77777777" w:rsidR="007757AB" w:rsidRPr="0035519F" w:rsidRDefault="007757AB" w:rsidP="00852758">
            <w:pPr>
              <w:pStyle w:val="TableParagraph"/>
              <w:tabs>
                <w:tab w:val="left" w:pos="1418"/>
              </w:tabs>
              <w:rPr>
                <w:rFonts w:cs="Arial"/>
                <w:i/>
                <w:sz w:val="24"/>
                <w:lang w:val="id-ID"/>
              </w:rPr>
            </w:pPr>
          </w:p>
          <w:p w14:paraId="27F2CE6F" w14:textId="77777777" w:rsidR="00852758" w:rsidRPr="0035519F" w:rsidRDefault="00852758" w:rsidP="00852758">
            <w:pPr>
              <w:pStyle w:val="TableParagraph"/>
              <w:numPr>
                <w:ilvl w:val="0"/>
                <w:numId w:val="17"/>
              </w:numPr>
              <w:tabs>
                <w:tab w:val="left" w:pos="334"/>
                <w:tab w:val="left" w:pos="1418"/>
              </w:tabs>
              <w:rPr>
                <w:rFonts w:cs="Arial"/>
                <w:i/>
                <w:sz w:val="24"/>
                <w:lang w:val="id-ID"/>
              </w:rPr>
            </w:pPr>
            <w:r w:rsidRPr="0035519F">
              <w:rPr>
                <w:rFonts w:cs="Arial"/>
                <w:i/>
                <w:sz w:val="24"/>
              </w:rPr>
              <w:t>Control 1</w:t>
            </w:r>
            <w:r w:rsidR="00DC3464" w:rsidRPr="0035519F">
              <w:rPr>
                <w:rFonts w:cs="Arial"/>
                <w:i/>
                <w:sz w:val="24"/>
              </w:rPr>
              <w:t xml:space="preserve"> (Lyophyilzed)</w:t>
            </w:r>
          </w:p>
          <w:p w14:paraId="28E63ED5" w14:textId="77777777" w:rsidR="00852758" w:rsidRPr="0035519F" w:rsidRDefault="00852758" w:rsidP="00852758">
            <w:pPr>
              <w:pStyle w:val="ListParagraph"/>
              <w:spacing w:after="0" w:line="240" w:lineRule="auto"/>
              <w:rPr>
                <w:rFonts w:cs="Arial"/>
                <w:i/>
                <w:sz w:val="24"/>
                <w:lang w:val="id-ID"/>
              </w:rPr>
            </w:pPr>
          </w:p>
          <w:p w14:paraId="2405484C" w14:textId="77777777" w:rsidR="00852758" w:rsidRPr="0035519F" w:rsidRDefault="00852758" w:rsidP="00852758">
            <w:pPr>
              <w:pStyle w:val="TableParagraph"/>
              <w:numPr>
                <w:ilvl w:val="0"/>
                <w:numId w:val="17"/>
              </w:numPr>
              <w:tabs>
                <w:tab w:val="left" w:pos="334"/>
                <w:tab w:val="left" w:pos="1418"/>
              </w:tabs>
              <w:rPr>
                <w:rFonts w:cs="Arial"/>
                <w:i/>
                <w:sz w:val="24"/>
                <w:lang w:val="id-ID"/>
              </w:rPr>
            </w:pPr>
            <w:r w:rsidRPr="0035519F">
              <w:rPr>
                <w:rFonts w:cs="Arial"/>
                <w:i/>
                <w:sz w:val="24"/>
              </w:rPr>
              <w:t>Control 2</w:t>
            </w:r>
            <w:r w:rsidR="00DC3464" w:rsidRPr="0035519F">
              <w:rPr>
                <w:rFonts w:cs="Arial"/>
                <w:i/>
                <w:sz w:val="24"/>
              </w:rPr>
              <w:t xml:space="preserve"> (Lyophyilzed)</w:t>
            </w:r>
          </w:p>
          <w:p w14:paraId="79B35A0E" w14:textId="77777777" w:rsidR="00DC3464" w:rsidRPr="0035519F" w:rsidRDefault="00DC3464" w:rsidP="00DC3464">
            <w:pPr>
              <w:pStyle w:val="ListParagraph"/>
              <w:rPr>
                <w:rFonts w:cs="Arial"/>
                <w:i/>
                <w:sz w:val="24"/>
              </w:rPr>
            </w:pPr>
          </w:p>
          <w:p w14:paraId="7092D21B" w14:textId="77777777" w:rsidR="00852758" w:rsidRPr="0035519F" w:rsidRDefault="00DC3464" w:rsidP="00DC3464">
            <w:pPr>
              <w:pStyle w:val="ListParagraph"/>
              <w:numPr>
                <w:ilvl w:val="0"/>
                <w:numId w:val="17"/>
              </w:numPr>
              <w:rPr>
                <w:rFonts w:ascii="Arial" w:hAnsi="Arial" w:cs="Arial"/>
                <w:i/>
                <w:sz w:val="24"/>
              </w:rPr>
            </w:pPr>
            <w:r w:rsidRPr="0035519F">
              <w:rPr>
                <w:rFonts w:ascii="Arial" w:hAnsi="Arial" w:cs="Arial"/>
                <w:i/>
                <w:sz w:val="24"/>
              </w:rPr>
              <w:t>Antibody Conjugate (AhIGF1 Ab</w:t>
            </w:r>
          </w:p>
        </w:tc>
        <w:tc>
          <w:tcPr>
            <w:tcW w:w="2302" w:type="dxa"/>
          </w:tcPr>
          <w:p w14:paraId="4B933BEF" w14:textId="77777777" w:rsidR="007757AB" w:rsidRPr="0035519F" w:rsidRDefault="00852758" w:rsidP="00DC3464">
            <w:pPr>
              <w:pStyle w:val="TableParagraph"/>
              <w:tabs>
                <w:tab w:val="left" w:pos="1418"/>
              </w:tabs>
              <w:rPr>
                <w:rFonts w:cs="Arial"/>
                <w:sz w:val="24"/>
                <w:lang w:val="id-ID"/>
              </w:rPr>
            </w:pPr>
            <w:r w:rsidRPr="0035519F">
              <w:rPr>
                <w:rFonts w:cs="Arial"/>
                <w:sz w:val="24"/>
                <w:lang w:val="id-ID"/>
              </w:rPr>
              <w:t xml:space="preserve"> 5</w:t>
            </w:r>
            <w:r w:rsidRPr="0035519F">
              <w:rPr>
                <w:rFonts w:cs="Arial"/>
                <w:sz w:val="24"/>
              </w:rPr>
              <w:t>00</w:t>
            </w:r>
            <w:r w:rsidRPr="0035519F">
              <w:rPr>
                <w:rFonts w:cs="Arial"/>
                <w:sz w:val="24"/>
                <w:lang w:val="id-ID"/>
              </w:rPr>
              <w:t xml:space="preserve"> µL x 5</w:t>
            </w:r>
          </w:p>
          <w:p w14:paraId="6A6F2FD7" w14:textId="77777777" w:rsidR="007757AB" w:rsidRPr="0035519F" w:rsidRDefault="007757AB" w:rsidP="00DC3464">
            <w:pPr>
              <w:pStyle w:val="TableParagraph"/>
              <w:tabs>
                <w:tab w:val="left" w:pos="1418"/>
              </w:tabs>
              <w:rPr>
                <w:rFonts w:cs="Arial"/>
                <w:i/>
                <w:sz w:val="24"/>
                <w:lang w:val="id-ID"/>
              </w:rPr>
            </w:pPr>
          </w:p>
          <w:p w14:paraId="468B3A26" w14:textId="77777777" w:rsidR="007757AB" w:rsidRPr="0035519F" w:rsidRDefault="007757AB" w:rsidP="00DC3464">
            <w:pPr>
              <w:pStyle w:val="TableParagraph"/>
              <w:tabs>
                <w:tab w:val="left" w:pos="1418"/>
              </w:tabs>
              <w:ind w:left="50"/>
              <w:rPr>
                <w:rFonts w:cs="Arial"/>
                <w:sz w:val="24"/>
                <w:lang w:val="id-ID"/>
              </w:rPr>
            </w:pPr>
            <w:r w:rsidRPr="0035519F">
              <w:rPr>
                <w:rFonts w:cs="Arial"/>
                <w:sz w:val="24"/>
                <w:lang w:val="id-ID"/>
              </w:rPr>
              <w:t xml:space="preserve"> </w:t>
            </w:r>
            <w:r w:rsidR="00852758" w:rsidRPr="0035519F">
              <w:rPr>
                <w:rFonts w:cs="Arial"/>
                <w:sz w:val="24"/>
              </w:rPr>
              <w:t xml:space="preserve">500 </w:t>
            </w:r>
            <w:r w:rsidR="00852758" w:rsidRPr="0035519F">
              <w:rPr>
                <w:rFonts w:cs="Arial"/>
                <w:sz w:val="24"/>
                <w:lang w:val="id-ID"/>
              </w:rPr>
              <w:t>µ</w:t>
            </w:r>
            <w:r w:rsidRPr="0035519F">
              <w:rPr>
                <w:rFonts w:cs="Arial"/>
                <w:sz w:val="24"/>
                <w:lang w:val="id-ID"/>
              </w:rPr>
              <w:t>L x 1</w:t>
            </w:r>
          </w:p>
          <w:p w14:paraId="6642A4FC" w14:textId="77777777" w:rsidR="00852758" w:rsidRPr="0035519F" w:rsidRDefault="00852758" w:rsidP="00DC3464">
            <w:pPr>
              <w:pStyle w:val="TableParagraph"/>
              <w:tabs>
                <w:tab w:val="left" w:pos="1418"/>
              </w:tabs>
              <w:ind w:left="50"/>
              <w:rPr>
                <w:rFonts w:cs="Arial"/>
                <w:sz w:val="24"/>
                <w:lang w:val="id-ID"/>
              </w:rPr>
            </w:pPr>
          </w:p>
          <w:p w14:paraId="25C047F1" w14:textId="77777777" w:rsidR="00852758" w:rsidRPr="0035519F" w:rsidRDefault="00852758" w:rsidP="00DC3464">
            <w:pPr>
              <w:pStyle w:val="TableParagraph"/>
              <w:tabs>
                <w:tab w:val="left" w:pos="1418"/>
              </w:tabs>
              <w:rPr>
                <w:rFonts w:cs="Arial"/>
                <w:sz w:val="24"/>
                <w:lang w:val="id-ID"/>
              </w:rPr>
            </w:pPr>
            <w:r w:rsidRPr="0035519F">
              <w:rPr>
                <w:rFonts w:cs="Arial"/>
                <w:sz w:val="24"/>
              </w:rPr>
              <w:t xml:space="preserve">  500 </w:t>
            </w:r>
            <w:r w:rsidRPr="0035519F">
              <w:rPr>
                <w:rFonts w:cs="Arial"/>
                <w:sz w:val="24"/>
                <w:lang w:val="id-ID"/>
              </w:rPr>
              <w:t>µL x 1</w:t>
            </w:r>
          </w:p>
          <w:p w14:paraId="5C94ADB5" w14:textId="77777777" w:rsidR="00852758" w:rsidRPr="0035519F" w:rsidRDefault="00852758" w:rsidP="00DC3464">
            <w:pPr>
              <w:pStyle w:val="TableParagraph"/>
              <w:tabs>
                <w:tab w:val="left" w:pos="1418"/>
              </w:tabs>
              <w:rPr>
                <w:rFonts w:cs="Arial"/>
                <w:sz w:val="24"/>
                <w:lang w:val="id-ID"/>
              </w:rPr>
            </w:pPr>
          </w:p>
          <w:p w14:paraId="4ED8EBB1" w14:textId="77777777" w:rsidR="00852758" w:rsidRPr="0035519F" w:rsidRDefault="00DC3464" w:rsidP="00DC3464">
            <w:pPr>
              <w:pStyle w:val="TableParagraph"/>
              <w:tabs>
                <w:tab w:val="left" w:pos="1418"/>
              </w:tabs>
              <w:ind w:left="50"/>
              <w:rPr>
                <w:rFonts w:cs="Arial"/>
                <w:sz w:val="24"/>
              </w:rPr>
            </w:pPr>
            <w:r w:rsidRPr="0035519F">
              <w:rPr>
                <w:rFonts w:cs="Arial"/>
                <w:sz w:val="24"/>
              </w:rPr>
              <w:t>9 mL x 1</w:t>
            </w:r>
          </w:p>
        </w:tc>
      </w:tr>
      <w:tr w:rsidR="00117F69" w:rsidRPr="0035519F" w14:paraId="478D3968" w14:textId="77777777" w:rsidTr="00DC3464">
        <w:trPr>
          <w:trHeight w:val="552"/>
        </w:trPr>
        <w:tc>
          <w:tcPr>
            <w:tcW w:w="4698" w:type="dxa"/>
            <w:hideMark/>
          </w:tcPr>
          <w:p w14:paraId="3718AF97" w14:textId="77777777" w:rsidR="007757AB" w:rsidRPr="0035519F" w:rsidRDefault="007757AB" w:rsidP="00DC3464">
            <w:pPr>
              <w:pStyle w:val="TableParagraph"/>
              <w:tabs>
                <w:tab w:val="left" w:pos="333"/>
                <w:tab w:val="left" w:pos="1418"/>
              </w:tabs>
              <w:ind w:left="50"/>
              <w:rPr>
                <w:rFonts w:cs="Arial"/>
                <w:sz w:val="24"/>
              </w:rPr>
            </w:pPr>
            <w:r w:rsidRPr="0035519F">
              <w:rPr>
                <w:rFonts w:cs="Arial"/>
                <w:sz w:val="24"/>
                <w:lang w:val="id-ID"/>
              </w:rPr>
              <w:t>-</w:t>
            </w:r>
            <w:r w:rsidRPr="0035519F">
              <w:rPr>
                <w:rFonts w:cs="Arial"/>
                <w:sz w:val="24"/>
                <w:lang w:val="id-ID"/>
              </w:rPr>
              <w:tab/>
            </w:r>
            <w:r w:rsidR="00DC3464" w:rsidRPr="0035519F">
              <w:rPr>
                <w:rFonts w:cs="Arial"/>
                <w:i/>
                <w:sz w:val="24"/>
              </w:rPr>
              <w:t>Enzym Conjugate (HRP-Streptavidin)</w:t>
            </w:r>
          </w:p>
        </w:tc>
        <w:tc>
          <w:tcPr>
            <w:tcW w:w="2302" w:type="dxa"/>
            <w:hideMark/>
          </w:tcPr>
          <w:p w14:paraId="49150C7F" w14:textId="77777777" w:rsidR="007757AB" w:rsidRPr="0035519F" w:rsidRDefault="00DC3464" w:rsidP="00DC3464">
            <w:pPr>
              <w:pStyle w:val="TableParagraph"/>
              <w:tabs>
                <w:tab w:val="left" w:pos="1418"/>
              </w:tabs>
              <w:ind w:left="35"/>
              <w:rPr>
                <w:rFonts w:cs="Arial"/>
                <w:sz w:val="24"/>
                <w:lang w:val="id-ID"/>
              </w:rPr>
            </w:pPr>
            <w:r w:rsidRPr="0035519F">
              <w:rPr>
                <w:rFonts w:cs="Arial"/>
                <w:sz w:val="24"/>
                <w:lang w:val="id-ID"/>
              </w:rPr>
              <w:t>12</w:t>
            </w:r>
            <w:r w:rsidR="007757AB" w:rsidRPr="0035519F">
              <w:rPr>
                <w:rFonts w:cs="Arial"/>
                <w:sz w:val="24"/>
                <w:lang w:val="id-ID"/>
              </w:rPr>
              <w:t xml:space="preserve"> mL x 1</w:t>
            </w:r>
          </w:p>
        </w:tc>
      </w:tr>
      <w:tr w:rsidR="00117F69" w:rsidRPr="0035519F" w14:paraId="1839A51E" w14:textId="77777777" w:rsidTr="00DC3464">
        <w:trPr>
          <w:trHeight w:val="552"/>
        </w:trPr>
        <w:tc>
          <w:tcPr>
            <w:tcW w:w="4698" w:type="dxa"/>
            <w:hideMark/>
          </w:tcPr>
          <w:p w14:paraId="0FE01962" w14:textId="77777777" w:rsidR="007757AB" w:rsidRPr="0035519F" w:rsidRDefault="007757AB" w:rsidP="00DC3464">
            <w:pPr>
              <w:pStyle w:val="TableParagraph"/>
              <w:tabs>
                <w:tab w:val="left" w:pos="333"/>
                <w:tab w:val="left" w:pos="1418"/>
              </w:tabs>
              <w:ind w:left="50"/>
              <w:rPr>
                <w:rFonts w:cs="Arial"/>
                <w:i/>
                <w:sz w:val="24"/>
                <w:lang w:val="id-ID"/>
              </w:rPr>
            </w:pPr>
            <w:r w:rsidRPr="0035519F">
              <w:rPr>
                <w:rFonts w:cs="Arial"/>
                <w:sz w:val="24"/>
                <w:lang w:val="id-ID"/>
              </w:rPr>
              <w:t>-</w:t>
            </w:r>
            <w:r w:rsidRPr="0035519F">
              <w:rPr>
                <w:rFonts w:cs="Arial"/>
                <w:sz w:val="24"/>
                <w:lang w:val="id-ID"/>
              </w:rPr>
              <w:tab/>
            </w:r>
            <w:r w:rsidRPr="0035519F">
              <w:rPr>
                <w:rFonts w:cs="Arial"/>
                <w:i/>
                <w:sz w:val="24"/>
                <w:lang w:val="id-ID"/>
              </w:rPr>
              <w:t>Stop</w:t>
            </w:r>
            <w:r w:rsidRPr="0035519F">
              <w:rPr>
                <w:rFonts w:cs="Arial"/>
                <w:i/>
                <w:spacing w:val="-1"/>
                <w:sz w:val="24"/>
                <w:lang w:val="id-ID"/>
              </w:rPr>
              <w:t xml:space="preserve"> </w:t>
            </w:r>
            <w:r w:rsidRPr="0035519F">
              <w:rPr>
                <w:rFonts w:cs="Arial"/>
                <w:i/>
                <w:sz w:val="24"/>
                <w:lang w:val="id-ID"/>
              </w:rPr>
              <w:t>solution</w:t>
            </w:r>
          </w:p>
        </w:tc>
        <w:tc>
          <w:tcPr>
            <w:tcW w:w="2302" w:type="dxa"/>
            <w:hideMark/>
          </w:tcPr>
          <w:p w14:paraId="233A8CD6" w14:textId="77777777" w:rsidR="007757AB" w:rsidRPr="0035519F" w:rsidRDefault="007757AB" w:rsidP="00DC3464">
            <w:pPr>
              <w:pStyle w:val="TableParagraph"/>
              <w:tabs>
                <w:tab w:val="left" w:pos="563"/>
                <w:tab w:val="left" w:pos="1418"/>
              </w:tabs>
              <w:rPr>
                <w:rFonts w:cs="Arial"/>
                <w:sz w:val="24"/>
                <w:lang w:val="id-ID"/>
              </w:rPr>
            </w:pPr>
            <w:r w:rsidRPr="0035519F">
              <w:rPr>
                <w:rFonts w:cs="Arial"/>
                <w:sz w:val="24"/>
                <w:lang w:val="id-ID"/>
              </w:rPr>
              <w:t xml:space="preserve"> 6 mL x</w:t>
            </w:r>
            <w:r w:rsidRPr="0035519F">
              <w:rPr>
                <w:rFonts w:cs="Arial"/>
                <w:spacing w:val="-2"/>
                <w:sz w:val="24"/>
                <w:lang w:val="id-ID"/>
              </w:rPr>
              <w:t xml:space="preserve"> </w:t>
            </w:r>
            <w:r w:rsidRPr="0035519F">
              <w:rPr>
                <w:rFonts w:cs="Arial"/>
                <w:sz w:val="24"/>
                <w:lang w:val="id-ID"/>
              </w:rPr>
              <w:t>1</w:t>
            </w:r>
          </w:p>
        </w:tc>
      </w:tr>
      <w:tr w:rsidR="00117F69" w:rsidRPr="0035519F" w14:paraId="01E96C51" w14:textId="77777777" w:rsidTr="00DC3464">
        <w:trPr>
          <w:trHeight w:val="552"/>
        </w:trPr>
        <w:tc>
          <w:tcPr>
            <w:tcW w:w="4698" w:type="dxa"/>
            <w:hideMark/>
          </w:tcPr>
          <w:p w14:paraId="76802C4A" w14:textId="77777777" w:rsidR="007757AB" w:rsidRPr="0035519F" w:rsidRDefault="007757AB" w:rsidP="00DC3464">
            <w:pPr>
              <w:pStyle w:val="TableParagraph"/>
              <w:tabs>
                <w:tab w:val="left" w:pos="333"/>
                <w:tab w:val="left" w:pos="1418"/>
              </w:tabs>
              <w:ind w:left="50"/>
              <w:rPr>
                <w:rFonts w:cs="Arial"/>
                <w:i/>
                <w:sz w:val="24"/>
              </w:rPr>
            </w:pPr>
            <w:r w:rsidRPr="0035519F">
              <w:rPr>
                <w:rFonts w:cs="Arial"/>
                <w:sz w:val="24"/>
                <w:lang w:val="id-ID"/>
              </w:rPr>
              <w:t>-</w:t>
            </w:r>
            <w:r w:rsidRPr="0035519F">
              <w:rPr>
                <w:rFonts w:cs="Arial"/>
                <w:sz w:val="24"/>
                <w:lang w:val="id-ID"/>
              </w:rPr>
              <w:tab/>
            </w:r>
            <w:r w:rsidR="00DC3464" w:rsidRPr="0035519F">
              <w:rPr>
                <w:rFonts w:cs="Arial"/>
                <w:i/>
                <w:sz w:val="24"/>
              </w:rPr>
              <w:t>Sampel Buffer</w:t>
            </w:r>
          </w:p>
        </w:tc>
        <w:tc>
          <w:tcPr>
            <w:tcW w:w="2302" w:type="dxa"/>
            <w:hideMark/>
          </w:tcPr>
          <w:p w14:paraId="2E2FFC29" w14:textId="77777777" w:rsidR="007757AB" w:rsidRPr="0035519F" w:rsidRDefault="00DC3464" w:rsidP="00DC3464">
            <w:pPr>
              <w:pStyle w:val="TableParagraph"/>
              <w:tabs>
                <w:tab w:val="left" w:pos="1418"/>
              </w:tabs>
              <w:ind w:left="62"/>
              <w:rPr>
                <w:rFonts w:cs="Arial"/>
                <w:sz w:val="24"/>
                <w:lang w:val="id-ID"/>
              </w:rPr>
            </w:pPr>
            <w:r w:rsidRPr="0035519F">
              <w:rPr>
                <w:rFonts w:cs="Arial"/>
                <w:sz w:val="24"/>
                <w:lang w:val="id-ID"/>
              </w:rPr>
              <w:t>25</w:t>
            </w:r>
            <w:r w:rsidR="007757AB" w:rsidRPr="0035519F">
              <w:rPr>
                <w:rFonts w:cs="Arial"/>
                <w:sz w:val="24"/>
                <w:lang w:val="id-ID"/>
              </w:rPr>
              <w:t xml:space="preserve"> mL x 1</w:t>
            </w:r>
          </w:p>
        </w:tc>
      </w:tr>
      <w:tr w:rsidR="00117F69" w:rsidRPr="0035519F" w14:paraId="420CB5F4" w14:textId="77777777" w:rsidTr="00DC3464">
        <w:trPr>
          <w:trHeight w:val="552"/>
        </w:trPr>
        <w:tc>
          <w:tcPr>
            <w:tcW w:w="4698" w:type="dxa"/>
            <w:hideMark/>
          </w:tcPr>
          <w:p w14:paraId="72ED1479" w14:textId="77777777" w:rsidR="007757AB" w:rsidRPr="0035519F" w:rsidRDefault="007757AB" w:rsidP="00DC3464">
            <w:pPr>
              <w:pStyle w:val="TableParagraph"/>
              <w:tabs>
                <w:tab w:val="left" w:pos="333"/>
                <w:tab w:val="left" w:pos="1418"/>
              </w:tabs>
              <w:ind w:left="50"/>
              <w:rPr>
                <w:rFonts w:cs="Arial"/>
                <w:i/>
                <w:sz w:val="24"/>
                <w:lang w:val="id-ID"/>
              </w:rPr>
            </w:pPr>
            <w:r w:rsidRPr="0035519F">
              <w:rPr>
                <w:rFonts w:cs="Arial"/>
                <w:sz w:val="24"/>
                <w:lang w:val="id-ID"/>
              </w:rPr>
              <w:lastRenderedPageBreak/>
              <w:t>-</w:t>
            </w:r>
            <w:r w:rsidRPr="0035519F">
              <w:rPr>
                <w:rFonts w:cs="Arial"/>
                <w:sz w:val="24"/>
                <w:lang w:val="id-ID"/>
              </w:rPr>
              <w:tab/>
            </w:r>
            <w:r w:rsidRPr="0035519F">
              <w:rPr>
                <w:rFonts w:cs="Arial"/>
                <w:i/>
                <w:sz w:val="24"/>
                <w:lang w:val="id-ID"/>
              </w:rPr>
              <w:t>Wash</w:t>
            </w:r>
            <w:r w:rsidR="00DC3464" w:rsidRPr="0035519F">
              <w:rPr>
                <w:rFonts w:cs="Arial"/>
                <w:i/>
                <w:sz w:val="24"/>
              </w:rPr>
              <w:t>ing</w:t>
            </w:r>
            <w:r w:rsidRPr="0035519F">
              <w:rPr>
                <w:rFonts w:cs="Arial"/>
                <w:i/>
                <w:sz w:val="24"/>
                <w:lang w:val="id-ID"/>
              </w:rPr>
              <w:t xml:space="preserve"> buffer</w:t>
            </w:r>
          </w:p>
        </w:tc>
        <w:tc>
          <w:tcPr>
            <w:tcW w:w="2302" w:type="dxa"/>
            <w:hideMark/>
          </w:tcPr>
          <w:p w14:paraId="0C3756E1" w14:textId="77777777" w:rsidR="007757AB" w:rsidRPr="0035519F" w:rsidRDefault="00DC3464" w:rsidP="00DC3464">
            <w:pPr>
              <w:pStyle w:val="TableParagraph"/>
              <w:tabs>
                <w:tab w:val="left" w:pos="1418"/>
              </w:tabs>
              <w:rPr>
                <w:rFonts w:cs="Arial"/>
                <w:sz w:val="24"/>
                <w:lang w:val="id-ID"/>
              </w:rPr>
            </w:pPr>
            <w:r w:rsidRPr="0035519F">
              <w:rPr>
                <w:rFonts w:cs="Arial"/>
                <w:sz w:val="24"/>
              </w:rPr>
              <w:t xml:space="preserve"> </w:t>
            </w:r>
            <w:r w:rsidRPr="0035519F">
              <w:rPr>
                <w:rFonts w:cs="Arial"/>
                <w:sz w:val="24"/>
                <w:lang w:val="id-ID"/>
              </w:rPr>
              <w:t>5</w:t>
            </w:r>
            <w:r w:rsidR="007757AB" w:rsidRPr="0035519F">
              <w:rPr>
                <w:rFonts w:cs="Arial"/>
                <w:sz w:val="24"/>
                <w:lang w:val="id-ID"/>
              </w:rPr>
              <w:t>0 mL x 1</w:t>
            </w:r>
          </w:p>
        </w:tc>
      </w:tr>
      <w:tr w:rsidR="00117F69" w:rsidRPr="0035519F" w14:paraId="41A1C438" w14:textId="77777777" w:rsidTr="00DC3464">
        <w:trPr>
          <w:trHeight w:val="552"/>
        </w:trPr>
        <w:tc>
          <w:tcPr>
            <w:tcW w:w="4698" w:type="dxa"/>
            <w:hideMark/>
          </w:tcPr>
          <w:p w14:paraId="7CAD1EAA" w14:textId="77777777" w:rsidR="007757AB" w:rsidRPr="0035519F" w:rsidRDefault="007757AB" w:rsidP="00DC3464">
            <w:pPr>
              <w:pStyle w:val="TableParagraph"/>
              <w:tabs>
                <w:tab w:val="left" w:pos="333"/>
                <w:tab w:val="left" w:pos="1418"/>
              </w:tabs>
              <w:ind w:left="50"/>
              <w:rPr>
                <w:rFonts w:cs="Arial"/>
                <w:sz w:val="24"/>
              </w:rPr>
            </w:pPr>
            <w:r w:rsidRPr="0035519F">
              <w:rPr>
                <w:rFonts w:cs="Arial"/>
                <w:sz w:val="24"/>
                <w:lang w:val="id-ID"/>
              </w:rPr>
              <w:t>-</w:t>
            </w:r>
            <w:r w:rsidRPr="0035519F">
              <w:rPr>
                <w:rFonts w:cs="Arial"/>
                <w:sz w:val="24"/>
                <w:lang w:val="id-ID"/>
              </w:rPr>
              <w:tab/>
            </w:r>
            <w:r w:rsidR="00DC3464" w:rsidRPr="0035519F">
              <w:rPr>
                <w:rFonts w:cs="Arial"/>
                <w:i/>
                <w:sz w:val="24"/>
              </w:rPr>
              <w:t>Substrate (HRP-TMB)</w:t>
            </w:r>
          </w:p>
        </w:tc>
        <w:tc>
          <w:tcPr>
            <w:tcW w:w="2302" w:type="dxa"/>
            <w:hideMark/>
          </w:tcPr>
          <w:p w14:paraId="187E5579" w14:textId="77777777" w:rsidR="007757AB" w:rsidRPr="0035519F" w:rsidRDefault="00DC3464" w:rsidP="00DC3464">
            <w:pPr>
              <w:pStyle w:val="TableParagraph"/>
              <w:tabs>
                <w:tab w:val="left" w:pos="1418"/>
              </w:tabs>
              <w:rPr>
                <w:rFonts w:cs="Arial"/>
                <w:sz w:val="24"/>
                <w:lang w:val="id-ID"/>
              </w:rPr>
            </w:pPr>
            <w:r w:rsidRPr="0035519F">
              <w:rPr>
                <w:rFonts w:cs="Arial"/>
                <w:sz w:val="24"/>
              </w:rPr>
              <w:t xml:space="preserve"> </w:t>
            </w:r>
            <w:r w:rsidR="007757AB" w:rsidRPr="0035519F">
              <w:rPr>
                <w:rFonts w:cs="Arial"/>
                <w:sz w:val="24"/>
                <w:lang w:val="id-ID"/>
              </w:rPr>
              <w:t>1</w:t>
            </w:r>
            <w:r w:rsidRPr="0035519F">
              <w:rPr>
                <w:rFonts w:cs="Arial"/>
                <w:sz w:val="24"/>
              </w:rPr>
              <w:t>2</w:t>
            </w:r>
            <w:r w:rsidR="007757AB" w:rsidRPr="0035519F">
              <w:rPr>
                <w:rFonts w:cs="Arial"/>
                <w:sz w:val="24"/>
                <w:lang w:val="id-ID"/>
              </w:rPr>
              <w:t xml:space="preserve"> mL x 1</w:t>
            </w:r>
          </w:p>
        </w:tc>
      </w:tr>
      <w:tr w:rsidR="00117F69" w:rsidRPr="0035519F" w14:paraId="65332926" w14:textId="77777777" w:rsidTr="00DC3464">
        <w:trPr>
          <w:trHeight w:val="552"/>
        </w:trPr>
        <w:tc>
          <w:tcPr>
            <w:tcW w:w="4698" w:type="dxa"/>
            <w:hideMark/>
          </w:tcPr>
          <w:p w14:paraId="75F17A32" w14:textId="77777777" w:rsidR="007757AB" w:rsidRPr="0035519F" w:rsidRDefault="007757AB" w:rsidP="00DC3464">
            <w:pPr>
              <w:pStyle w:val="TableParagraph"/>
              <w:tabs>
                <w:tab w:val="left" w:pos="333"/>
                <w:tab w:val="left" w:pos="1418"/>
              </w:tabs>
              <w:ind w:left="50"/>
              <w:rPr>
                <w:rFonts w:cs="Arial"/>
                <w:sz w:val="24"/>
              </w:rPr>
            </w:pPr>
            <w:r w:rsidRPr="0035519F">
              <w:rPr>
                <w:rFonts w:cs="Arial"/>
                <w:sz w:val="24"/>
                <w:lang w:val="id-ID"/>
              </w:rPr>
              <w:t>-</w:t>
            </w:r>
            <w:r w:rsidRPr="0035519F">
              <w:rPr>
                <w:rFonts w:cs="Arial"/>
                <w:sz w:val="24"/>
                <w:lang w:val="id-ID"/>
              </w:rPr>
              <w:tab/>
            </w:r>
            <w:r w:rsidR="00DC3464" w:rsidRPr="0035519F">
              <w:rPr>
                <w:rFonts w:cs="Arial"/>
                <w:i/>
                <w:sz w:val="24"/>
              </w:rPr>
              <w:t>Stop Solution</w:t>
            </w:r>
          </w:p>
        </w:tc>
        <w:tc>
          <w:tcPr>
            <w:tcW w:w="2302" w:type="dxa"/>
            <w:hideMark/>
          </w:tcPr>
          <w:p w14:paraId="4BE9D8E8" w14:textId="77777777" w:rsidR="007757AB" w:rsidRPr="0035519F" w:rsidRDefault="007757AB" w:rsidP="00DC3464">
            <w:pPr>
              <w:pStyle w:val="TableParagraph"/>
              <w:tabs>
                <w:tab w:val="left" w:pos="1418"/>
              </w:tabs>
              <w:ind w:left="88"/>
              <w:rPr>
                <w:rFonts w:cs="Arial"/>
                <w:sz w:val="24"/>
              </w:rPr>
            </w:pPr>
            <w:r w:rsidRPr="0035519F">
              <w:rPr>
                <w:rFonts w:cs="Arial"/>
                <w:w w:val="99"/>
                <w:sz w:val="24"/>
                <w:lang w:val="id-ID"/>
              </w:rPr>
              <w:t>1</w:t>
            </w:r>
            <w:r w:rsidR="00DC3464" w:rsidRPr="0035519F">
              <w:rPr>
                <w:rFonts w:cs="Arial"/>
                <w:w w:val="99"/>
                <w:sz w:val="24"/>
              </w:rPr>
              <w:t>2 mL x 1</w:t>
            </w:r>
          </w:p>
        </w:tc>
      </w:tr>
      <w:tr w:rsidR="00117F69" w:rsidRPr="0035519F" w14:paraId="2EB975C9" w14:textId="77777777" w:rsidTr="00DC3464">
        <w:trPr>
          <w:trHeight w:val="552"/>
        </w:trPr>
        <w:tc>
          <w:tcPr>
            <w:tcW w:w="4698" w:type="dxa"/>
            <w:hideMark/>
          </w:tcPr>
          <w:p w14:paraId="76BE9415" w14:textId="77777777" w:rsidR="007757AB" w:rsidRPr="0035519F" w:rsidRDefault="007757AB" w:rsidP="00DC3464">
            <w:pPr>
              <w:pStyle w:val="TableParagraph"/>
              <w:tabs>
                <w:tab w:val="left" w:pos="333"/>
                <w:tab w:val="left" w:pos="1418"/>
              </w:tabs>
              <w:ind w:left="50"/>
              <w:rPr>
                <w:rFonts w:cs="Arial"/>
                <w:i/>
                <w:sz w:val="24"/>
                <w:lang w:val="id-ID"/>
              </w:rPr>
            </w:pPr>
            <w:r w:rsidRPr="0035519F">
              <w:rPr>
                <w:rFonts w:cs="Arial"/>
                <w:sz w:val="24"/>
                <w:lang w:val="id-ID"/>
              </w:rPr>
              <w:t>-</w:t>
            </w:r>
            <w:r w:rsidRPr="0035519F">
              <w:rPr>
                <w:rFonts w:cs="Arial"/>
                <w:sz w:val="24"/>
                <w:lang w:val="id-ID"/>
              </w:rPr>
              <w:tab/>
            </w:r>
            <w:r w:rsidRPr="0035519F">
              <w:rPr>
                <w:rFonts w:cs="Arial"/>
                <w:i/>
                <w:sz w:val="24"/>
                <w:lang w:val="id-ID"/>
              </w:rPr>
              <w:t>Plate</w:t>
            </w:r>
            <w:r w:rsidRPr="0035519F">
              <w:rPr>
                <w:rFonts w:cs="Arial"/>
                <w:i/>
                <w:spacing w:val="-1"/>
                <w:sz w:val="24"/>
                <w:lang w:val="id-ID"/>
              </w:rPr>
              <w:t xml:space="preserve"> </w:t>
            </w:r>
            <w:r w:rsidRPr="0035519F">
              <w:rPr>
                <w:rFonts w:cs="Arial"/>
                <w:i/>
                <w:sz w:val="24"/>
                <w:lang w:val="id-ID"/>
              </w:rPr>
              <w:t>sealer</w:t>
            </w:r>
          </w:p>
        </w:tc>
        <w:tc>
          <w:tcPr>
            <w:tcW w:w="2302" w:type="dxa"/>
            <w:hideMark/>
          </w:tcPr>
          <w:p w14:paraId="0843DE72" w14:textId="77777777" w:rsidR="007757AB" w:rsidRPr="0035519F" w:rsidRDefault="007757AB" w:rsidP="00DC3464">
            <w:pPr>
              <w:pStyle w:val="TableParagraph"/>
              <w:tabs>
                <w:tab w:val="left" w:pos="1418"/>
              </w:tabs>
              <w:ind w:left="47"/>
              <w:rPr>
                <w:rFonts w:cs="Arial"/>
                <w:sz w:val="24"/>
                <w:lang w:val="id-ID"/>
              </w:rPr>
            </w:pPr>
            <w:r w:rsidRPr="0035519F">
              <w:rPr>
                <w:rFonts w:cs="Arial"/>
                <w:w w:val="99"/>
                <w:sz w:val="24"/>
                <w:lang w:val="id-ID"/>
              </w:rPr>
              <w:t xml:space="preserve"> 2</w:t>
            </w:r>
          </w:p>
        </w:tc>
      </w:tr>
      <w:tr w:rsidR="007757AB" w:rsidRPr="0035519F" w14:paraId="63C758B5" w14:textId="77777777" w:rsidTr="00DC3464">
        <w:trPr>
          <w:trHeight w:val="410"/>
        </w:trPr>
        <w:tc>
          <w:tcPr>
            <w:tcW w:w="4698" w:type="dxa"/>
            <w:hideMark/>
          </w:tcPr>
          <w:p w14:paraId="1BE8669B" w14:textId="77777777" w:rsidR="007757AB" w:rsidRPr="0035519F" w:rsidRDefault="007757AB" w:rsidP="00DC3464">
            <w:pPr>
              <w:pStyle w:val="TableParagraph"/>
              <w:tabs>
                <w:tab w:val="left" w:pos="333"/>
                <w:tab w:val="left" w:pos="1418"/>
              </w:tabs>
              <w:ind w:left="50"/>
              <w:rPr>
                <w:rFonts w:cs="Arial"/>
                <w:i/>
                <w:sz w:val="24"/>
              </w:rPr>
            </w:pPr>
            <w:r w:rsidRPr="0035519F">
              <w:rPr>
                <w:rFonts w:cs="Arial"/>
                <w:sz w:val="24"/>
                <w:lang w:val="id-ID"/>
              </w:rPr>
              <w:t>-</w:t>
            </w:r>
            <w:r w:rsidRPr="0035519F">
              <w:rPr>
                <w:rFonts w:cs="Arial"/>
                <w:sz w:val="24"/>
                <w:lang w:val="id-ID"/>
              </w:rPr>
              <w:tab/>
            </w:r>
            <w:r w:rsidR="00DC3464" w:rsidRPr="0035519F">
              <w:rPr>
                <w:rFonts w:cs="Arial"/>
                <w:i/>
                <w:sz w:val="24"/>
              </w:rPr>
              <w:t>Instruction for use</w:t>
            </w:r>
          </w:p>
        </w:tc>
        <w:tc>
          <w:tcPr>
            <w:tcW w:w="2302" w:type="dxa"/>
            <w:hideMark/>
          </w:tcPr>
          <w:p w14:paraId="3DB4FFD5" w14:textId="77777777" w:rsidR="007757AB" w:rsidRPr="0035519F" w:rsidRDefault="007757AB" w:rsidP="00DC3464">
            <w:pPr>
              <w:pStyle w:val="TableParagraph"/>
              <w:tabs>
                <w:tab w:val="left" w:pos="1418"/>
              </w:tabs>
              <w:ind w:left="62"/>
              <w:rPr>
                <w:rFonts w:cs="Arial"/>
                <w:sz w:val="24"/>
                <w:lang w:val="id-ID"/>
              </w:rPr>
            </w:pPr>
            <w:r w:rsidRPr="0035519F">
              <w:rPr>
                <w:rFonts w:cs="Arial"/>
                <w:w w:val="99"/>
                <w:sz w:val="24"/>
                <w:lang w:val="id-ID"/>
              </w:rPr>
              <w:t xml:space="preserve"> 1</w:t>
            </w:r>
          </w:p>
        </w:tc>
      </w:tr>
    </w:tbl>
    <w:p w14:paraId="71A2F8C9" w14:textId="77777777" w:rsidR="007757AB" w:rsidRPr="0035519F" w:rsidRDefault="007757AB" w:rsidP="00DC3464">
      <w:pPr>
        <w:pStyle w:val="NoSpacing"/>
        <w:tabs>
          <w:tab w:val="left" w:pos="709"/>
        </w:tabs>
        <w:jc w:val="both"/>
        <w:rPr>
          <w:rFonts w:ascii="Arial" w:hAnsi="Arial" w:cs="Arial"/>
          <w:b/>
          <w:sz w:val="24"/>
          <w:szCs w:val="24"/>
        </w:rPr>
      </w:pPr>
    </w:p>
    <w:p w14:paraId="142F197A" w14:textId="77777777" w:rsidR="007757AB" w:rsidRPr="0035519F" w:rsidRDefault="007757AB" w:rsidP="00B124CB">
      <w:pPr>
        <w:pStyle w:val="ListParagraph"/>
        <w:widowControl w:val="0"/>
        <w:numPr>
          <w:ilvl w:val="0"/>
          <w:numId w:val="18"/>
        </w:numPr>
        <w:tabs>
          <w:tab w:val="left" w:pos="1296"/>
        </w:tabs>
        <w:autoSpaceDE w:val="0"/>
        <w:autoSpaceDN w:val="0"/>
        <w:spacing w:after="0" w:line="480" w:lineRule="auto"/>
        <w:ind w:left="993"/>
        <w:rPr>
          <w:rFonts w:ascii="Arial" w:hAnsi="Arial" w:cs="Arial"/>
          <w:sz w:val="24"/>
        </w:rPr>
      </w:pPr>
      <w:r w:rsidRPr="0035519F">
        <w:rPr>
          <w:rFonts w:ascii="Arial" w:hAnsi="Arial" w:cs="Arial"/>
          <w:sz w:val="24"/>
        </w:rPr>
        <w:t>Persiapan reagen</w:t>
      </w:r>
      <w:r w:rsidRPr="0035519F">
        <w:rPr>
          <w:rFonts w:ascii="Arial" w:hAnsi="Arial" w:cs="Arial"/>
          <w:spacing w:val="-3"/>
          <w:sz w:val="24"/>
        </w:rPr>
        <w:t xml:space="preserve"> </w:t>
      </w:r>
      <w:r w:rsidRPr="0035519F">
        <w:rPr>
          <w:rFonts w:ascii="Arial" w:hAnsi="Arial" w:cs="Arial"/>
          <w:spacing w:val="-3"/>
          <w:sz w:val="24"/>
        </w:rPr>
        <w:fldChar w:fldCharType="begin" w:fldLock="1"/>
      </w:r>
      <w:r w:rsidR="00B778C6" w:rsidRPr="0035519F">
        <w:rPr>
          <w:rFonts w:ascii="Arial" w:hAnsi="Arial" w:cs="Arial"/>
          <w:spacing w:val="-3"/>
          <w:sz w:val="24"/>
        </w:rPr>
        <w:instrText>ADDIN CSL_CITATION {"citationItems":[{"id":"ITEM-1","itemData":{"author":[{"dropping-particle":"","family":"Demeditec Diagnostics","given":"GmbH","non-dropping-particle":"","parse-names":false,"suffix":""}],"id":"ITEM-1","issued":{"date-parts":[["2022"]]},"title":"IGF-I ELISA - DEE020 - Demeditec Diagnostics GmbH","type":"article"},"uris":["http://www.mendeley.com/documents/?uuid=1d1718af-f969-3c5b-bc6d-0b4c9788a3cb"]}],"mendeley":{"formattedCitation":"(Demeditec Diagnostics, 2022)","plainTextFormattedCitation":"(Demeditec Diagnostics, 2022)","previouslyFormattedCitation":"(Demeditec Diagnostics, 2022)"},"properties":{"noteIndex":0},"schema":"https://github.com/citation-style-language/schema/raw/master/csl-citation.json"}</w:instrText>
      </w:r>
      <w:r w:rsidRPr="0035519F">
        <w:rPr>
          <w:rFonts w:ascii="Arial" w:hAnsi="Arial" w:cs="Arial"/>
          <w:spacing w:val="-3"/>
          <w:sz w:val="24"/>
        </w:rPr>
        <w:fldChar w:fldCharType="separate"/>
      </w:r>
      <w:r w:rsidR="00DC3464" w:rsidRPr="0035519F">
        <w:rPr>
          <w:rFonts w:ascii="Arial" w:hAnsi="Arial" w:cs="Arial"/>
          <w:noProof/>
          <w:spacing w:val="-3"/>
          <w:sz w:val="24"/>
        </w:rPr>
        <w:t>(Demeditec Diagnostics, 2022)</w:t>
      </w:r>
      <w:r w:rsidRPr="0035519F">
        <w:rPr>
          <w:rFonts w:ascii="Arial" w:hAnsi="Arial" w:cs="Arial"/>
          <w:spacing w:val="-3"/>
          <w:sz w:val="24"/>
        </w:rPr>
        <w:fldChar w:fldCharType="end"/>
      </w:r>
    </w:p>
    <w:p w14:paraId="6DF12ADE" w14:textId="77777777" w:rsidR="007757AB" w:rsidRPr="0035519F" w:rsidRDefault="007757AB" w:rsidP="00B124CB">
      <w:pPr>
        <w:pStyle w:val="ListParagraph"/>
        <w:widowControl w:val="0"/>
        <w:numPr>
          <w:ilvl w:val="3"/>
          <w:numId w:val="16"/>
        </w:numPr>
        <w:tabs>
          <w:tab w:val="left" w:pos="1581"/>
        </w:tabs>
        <w:autoSpaceDE w:val="0"/>
        <w:autoSpaceDN w:val="0"/>
        <w:spacing w:after="0" w:line="480" w:lineRule="auto"/>
        <w:ind w:left="1276" w:hanging="284"/>
        <w:rPr>
          <w:rFonts w:ascii="Arial" w:hAnsi="Arial" w:cs="Arial"/>
          <w:sz w:val="24"/>
        </w:rPr>
      </w:pPr>
      <w:r w:rsidRPr="0035519F">
        <w:rPr>
          <w:rFonts w:ascii="Arial" w:hAnsi="Arial" w:cs="Arial"/>
          <w:sz w:val="24"/>
        </w:rPr>
        <w:t>Semua reagen harus didiamkan pada suhu kamar sebelum digunakan.</w:t>
      </w:r>
    </w:p>
    <w:p w14:paraId="580686C6" w14:textId="77777777" w:rsidR="007757AB" w:rsidRPr="0035519F" w:rsidRDefault="007757AB" w:rsidP="00B124CB">
      <w:pPr>
        <w:pStyle w:val="ListParagraph"/>
        <w:widowControl w:val="0"/>
        <w:numPr>
          <w:ilvl w:val="3"/>
          <w:numId w:val="16"/>
        </w:numPr>
        <w:tabs>
          <w:tab w:val="left" w:pos="1581"/>
        </w:tabs>
        <w:autoSpaceDE w:val="0"/>
        <w:autoSpaceDN w:val="0"/>
        <w:spacing w:after="0" w:line="480" w:lineRule="auto"/>
        <w:ind w:left="1276" w:hanging="284"/>
        <w:rPr>
          <w:rFonts w:ascii="Arial" w:hAnsi="Arial" w:cs="Arial"/>
          <w:sz w:val="24"/>
        </w:rPr>
      </w:pPr>
      <w:r w:rsidRPr="0035519F">
        <w:rPr>
          <w:rFonts w:ascii="Arial" w:hAnsi="Arial" w:cs="Arial"/>
          <w:sz w:val="24"/>
        </w:rPr>
        <w:t>Larutan</w:t>
      </w:r>
      <w:r w:rsidRPr="0035519F">
        <w:rPr>
          <w:rFonts w:ascii="Arial" w:hAnsi="Arial" w:cs="Arial"/>
          <w:spacing w:val="-1"/>
          <w:sz w:val="24"/>
        </w:rPr>
        <w:t xml:space="preserve"> </w:t>
      </w:r>
      <w:r w:rsidR="00BA6854" w:rsidRPr="0035519F">
        <w:rPr>
          <w:rFonts w:ascii="Arial" w:hAnsi="Arial" w:cs="Arial"/>
          <w:sz w:val="24"/>
        </w:rPr>
        <w:t>kontrol dan kalibrator</w:t>
      </w:r>
    </w:p>
    <w:p w14:paraId="0D6D4B26" w14:textId="77777777" w:rsidR="007757AB" w:rsidRPr="0035519F" w:rsidRDefault="007757AB" w:rsidP="005D7727">
      <w:pPr>
        <w:pStyle w:val="ListParagraph"/>
        <w:widowControl w:val="0"/>
        <w:numPr>
          <w:ilvl w:val="4"/>
          <w:numId w:val="16"/>
        </w:numPr>
        <w:tabs>
          <w:tab w:val="left" w:pos="6946"/>
        </w:tabs>
        <w:autoSpaceDE w:val="0"/>
        <w:autoSpaceDN w:val="0"/>
        <w:spacing w:after="0" w:line="480" w:lineRule="auto"/>
        <w:ind w:left="1560" w:hanging="284"/>
        <w:jc w:val="both"/>
        <w:rPr>
          <w:rFonts w:ascii="Arial" w:hAnsi="Arial" w:cs="Arial"/>
          <w:sz w:val="24"/>
        </w:rPr>
      </w:pPr>
      <w:r w:rsidRPr="0035519F">
        <w:rPr>
          <w:rFonts w:ascii="Arial" w:hAnsi="Arial" w:cs="Arial"/>
          <w:sz w:val="24"/>
        </w:rPr>
        <w:t xml:space="preserve">Mencampurkan </w:t>
      </w:r>
      <w:r w:rsidR="00185E00" w:rsidRPr="0035519F">
        <w:rPr>
          <w:rFonts w:ascii="Arial" w:hAnsi="Arial" w:cs="Arial"/>
          <w:sz w:val="24"/>
        </w:rPr>
        <w:t>masing-masing 500</w:t>
      </w:r>
      <w:r w:rsidRPr="0035519F">
        <w:rPr>
          <w:rFonts w:ascii="Arial" w:hAnsi="Arial" w:cs="Arial"/>
          <w:spacing w:val="2"/>
          <w:sz w:val="24"/>
        </w:rPr>
        <w:t>µL</w:t>
      </w:r>
      <w:r w:rsidR="00185E00" w:rsidRPr="0035519F">
        <w:rPr>
          <w:rFonts w:ascii="Arial" w:hAnsi="Arial" w:cs="Arial"/>
          <w:spacing w:val="2"/>
          <w:sz w:val="24"/>
        </w:rPr>
        <w:t xml:space="preserve"> larutan kontrol</w:t>
      </w:r>
      <w:r w:rsidRPr="0035519F">
        <w:rPr>
          <w:rFonts w:ascii="Arial" w:hAnsi="Arial" w:cs="Arial"/>
          <w:spacing w:val="2"/>
          <w:sz w:val="24"/>
        </w:rPr>
        <w:t xml:space="preserve"> </w:t>
      </w:r>
      <w:r w:rsidR="00185E00" w:rsidRPr="0035519F">
        <w:rPr>
          <w:rFonts w:ascii="Arial" w:hAnsi="Arial" w:cs="Arial"/>
          <w:sz w:val="24"/>
        </w:rPr>
        <w:t>dengan 500</w:t>
      </w:r>
      <w:r w:rsidRPr="0035519F">
        <w:rPr>
          <w:rFonts w:ascii="Arial" w:hAnsi="Arial" w:cs="Arial"/>
          <w:spacing w:val="2"/>
          <w:sz w:val="24"/>
        </w:rPr>
        <w:t>µL</w:t>
      </w:r>
      <w:r w:rsidR="00185E00" w:rsidRPr="0035519F">
        <w:rPr>
          <w:rFonts w:ascii="Arial" w:hAnsi="Arial" w:cs="Arial"/>
          <w:spacing w:val="2"/>
          <w:sz w:val="24"/>
        </w:rPr>
        <w:t xml:space="preserve"> </w:t>
      </w:r>
      <w:r w:rsidR="00185E00" w:rsidRPr="0035519F">
        <w:rPr>
          <w:rFonts w:ascii="Arial" w:hAnsi="Arial" w:cs="Arial"/>
          <w:i/>
          <w:spacing w:val="2"/>
          <w:sz w:val="24"/>
        </w:rPr>
        <w:t>sample buffer</w:t>
      </w:r>
      <w:r w:rsidR="00185E00" w:rsidRPr="0035519F">
        <w:rPr>
          <w:rFonts w:ascii="Arial" w:hAnsi="Arial" w:cs="Arial"/>
          <w:spacing w:val="2"/>
          <w:sz w:val="24"/>
        </w:rPr>
        <w:t>.</w:t>
      </w:r>
      <w:r w:rsidR="005D7727" w:rsidRPr="0035519F">
        <w:rPr>
          <w:rFonts w:ascii="Arial" w:hAnsi="Arial" w:cs="Arial"/>
          <w:sz w:val="24"/>
        </w:rPr>
        <w:t xml:space="preserve"> Setelah proses tersebut selsai, gunakan masing-masing 20</w:t>
      </w:r>
      <w:r w:rsidR="005D7727" w:rsidRPr="0035519F">
        <w:rPr>
          <w:rFonts w:ascii="Arial" w:hAnsi="Arial" w:cs="Arial"/>
          <w:spacing w:val="2"/>
          <w:sz w:val="24"/>
        </w:rPr>
        <w:t>µL (konsentrasi akhir)</w:t>
      </w:r>
      <w:r w:rsidR="005D7727" w:rsidRPr="0035519F">
        <w:rPr>
          <w:rFonts w:ascii="Arial" w:hAnsi="Arial" w:cs="Arial"/>
          <w:sz w:val="24"/>
        </w:rPr>
        <w:t xml:space="preserve"> kontrol untuk dimasukkan ke dalam well.</w:t>
      </w:r>
    </w:p>
    <w:p w14:paraId="34E8B5E4" w14:textId="77777777" w:rsidR="008D780E" w:rsidRPr="0035519F" w:rsidRDefault="00185E00" w:rsidP="00B778C6">
      <w:pPr>
        <w:pStyle w:val="ListParagraph"/>
        <w:widowControl w:val="0"/>
        <w:numPr>
          <w:ilvl w:val="4"/>
          <w:numId w:val="16"/>
        </w:numPr>
        <w:autoSpaceDE w:val="0"/>
        <w:autoSpaceDN w:val="0"/>
        <w:spacing w:after="0" w:line="480" w:lineRule="auto"/>
        <w:ind w:left="1560" w:hanging="284"/>
        <w:jc w:val="both"/>
        <w:rPr>
          <w:rFonts w:ascii="Arial" w:hAnsi="Arial" w:cs="Arial"/>
          <w:sz w:val="24"/>
        </w:rPr>
      </w:pPr>
      <w:r w:rsidRPr="0035519F">
        <w:rPr>
          <w:rFonts w:ascii="Arial" w:hAnsi="Arial" w:cs="Arial"/>
          <w:sz w:val="24"/>
        </w:rPr>
        <w:t>Menyiapkan larutan kalibrator dengan mencampurkan</w:t>
      </w:r>
      <w:r w:rsidR="007757AB" w:rsidRPr="0035519F">
        <w:rPr>
          <w:rFonts w:ascii="Arial" w:hAnsi="Arial" w:cs="Arial"/>
          <w:sz w:val="24"/>
        </w:rPr>
        <w:t xml:space="preserve"> </w:t>
      </w:r>
      <w:r w:rsidRPr="0035519F">
        <w:rPr>
          <w:rFonts w:ascii="Arial" w:hAnsi="Arial" w:cs="Arial"/>
          <w:sz w:val="24"/>
        </w:rPr>
        <w:t>masing-masing 500</w:t>
      </w:r>
      <w:r w:rsidRPr="0035519F">
        <w:rPr>
          <w:rFonts w:ascii="Arial" w:hAnsi="Arial" w:cs="Arial"/>
          <w:spacing w:val="2"/>
          <w:sz w:val="24"/>
        </w:rPr>
        <w:t xml:space="preserve">µL kalibrator A-E dengan </w:t>
      </w:r>
      <w:r w:rsidRPr="0035519F">
        <w:rPr>
          <w:rFonts w:ascii="Arial" w:hAnsi="Arial" w:cs="Arial"/>
          <w:sz w:val="24"/>
        </w:rPr>
        <w:t>500</w:t>
      </w:r>
      <w:r w:rsidRPr="0035519F">
        <w:rPr>
          <w:rFonts w:ascii="Arial" w:hAnsi="Arial" w:cs="Arial"/>
          <w:spacing w:val="2"/>
          <w:sz w:val="24"/>
        </w:rPr>
        <w:t xml:space="preserve">µL </w:t>
      </w:r>
      <w:r w:rsidRPr="0035519F">
        <w:rPr>
          <w:rFonts w:ascii="Arial" w:hAnsi="Arial" w:cs="Arial"/>
          <w:i/>
          <w:spacing w:val="2"/>
          <w:sz w:val="24"/>
        </w:rPr>
        <w:t xml:space="preserve">sample buffer. </w:t>
      </w:r>
      <w:r w:rsidR="007757AB" w:rsidRPr="0035519F">
        <w:rPr>
          <w:rFonts w:ascii="Arial" w:hAnsi="Arial" w:cs="Arial"/>
          <w:sz w:val="24"/>
        </w:rPr>
        <w:t xml:space="preserve">selanjutnya </w:t>
      </w:r>
      <w:r w:rsidRPr="0035519F">
        <w:rPr>
          <w:rFonts w:ascii="Arial" w:hAnsi="Arial" w:cs="Arial"/>
          <w:sz w:val="24"/>
        </w:rPr>
        <w:t xml:space="preserve">homogenkan segera dan lakukan inkubasi selama maksimal 2 jam. Perbedaan konsentrasi </w:t>
      </w:r>
      <w:r w:rsidR="00B778C6" w:rsidRPr="0035519F">
        <w:rPr>
          <w:rFonts w:ascii="Arial" w:hAnsi="Arial" w:cs="Arial"/>
          <w:sz w:val="24"/>
        </w:rPr>
        <w:t xml:space="preserve">akhir </w:t>
      </w:r>
      <w:r w:rsidRPr="0035519F">
        <w:rPr>
          <w:rFonts w:ascii="Arial" w:hAnsi="Arial" w:cs="Arial"/>
          <w:sz w:val="24"/>
        </w:rPr>
        <w:t>pada masing-</w:t>
      </w:r>
      <w:r w:rsidR="00B778C6" w:rsidRPr="0035519F">
        <w:rPr>
          <w:rFonts w:ascii="Arial" w:hAnsi="Arial" w:cs="Arial"/>
          <w:sz w:val="24"/>
        </w:rPr>
        <w:t xml:space="preserve">masing kalibrator dapat dilihat pada tabel 4. </w:t>
      </w:r>
    </w:p>
    <w:p w14:paraId="5E96B16F" w14:textId="77777777" w:rsidR="00583A43" w:rsidRPr="0035519F" w:rsidRDefault="00583A43" w:rsidP="008D780E">
      <w:pPr>
        <w:widowControl w:val="0"/>
        <w:autoSpaceDE w:val="0"/>
        <w:autoSpaceDN w:val="0"/>
        <w:spacing w:after="0" w:line="480" w:lineRule="auto"/>
        <w:jc w:val="both"/>
        <w:rPr>
          <w:rFonts w:ascii="Arial" w:hAnsi="Arial" w:cs="Arial"/>
          <w:sz w:val="24"/>
        </w:rPr>
      </w:pPr>
    </w:p>
    <w:p w14:paraId="5621E5B6" w14:textId="77777777" w:rsidR="00583A43" w:rsidRPr="0035519F" w:rsidRDefault="00583A43" w:rsidP="008D780E">
      <w:pPr>
        <w:widowControl w:val="0"/>
        <w:autoSpaceDE w:val="0"/>
        <w:autoSpaceDN w:val="0"/>
        <w:spacing w:after="0" w:line="480" w:lineRule="auto"/>
        <w:jc w:val="both"/>
        <w:rPr>
          <w:rFonts w:ascii="Arial" w:hAnsi="Arial" w:cs="Arial"/>
          <w:sz w:val="24"/>
        </w:rPr>
      </w:pPr>
    </w:p>
    <w:p w14:paraId="6D7650A7" w14:textId="77777777" w:rsidR="008D780E" w:rsidRPr="0035519F" w:rsidRDefault="008D780E" w:rsidP="008D780E">
      <w:pPr>
        <w:widowControl w:val="0"/>
        <w:autoSpaceDE w:val="0"/>
        <w:autoSpaceDN w:val="0"/>
        <w:spacing w:after="0" w:line="480" w:lineRule="auto"/>
        <w:jc w:val="both"/>
        <w:rPr>
          <w:rFonts w:ascii="Arial" w:hAnsi="Arial" w:cs="Arial"/>
          <w:sz w:val="24"/>
        </w:rPr>
      </w:pPr>
    </w:p>
    <w:tbl>
      <w:tblPr>
        <w:tblpPr w:leftFromText="180" w:rightFromText="180" w:bottomFromText="160" w:vertAnchor="text" w:horzAnchor="page" w:tblpX="3087" w:tblpY="6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5"/>
        <w:gridCol w:w="1305"/>
        <w:gridCol w:w="4679"/>
      </w:tblGrid>
      <w:tr w:rsidR="00117F69" w:rsidRPr="0035519F" w14:paraId="32D245D0" w14:textId="77777777" w:rsidTr="006E0438">
        <w:trPr>
          <w:trHeight w:val="460"/>
        </w:trPr>
        <w:tc>
          <w:tcPr>
            <w:tcW w:w="1525" w:type="dxa"/>
            <w:tcBorders>
              <w:top w:val="single" w:sz="4" w:space="0" w:color="000000"/>
              <w:left w:val="single" w:sz="4" w:space="0" w:color="000000"/>
              <w:bottom w:val="single" w:sz="4" w:space="0" w:color="000000"/>
              <w:right w:val="single" w:sz="4" w:space="0" w:color="000000"/>
            </w:tcBorders>
            <w:vAlign w:val="center"/>
            <w:hideMark/>
          </w:tcPr>
          <w:p w14:paraId="46129DC0" w14:textId="77777777" w:rsidR="006E0438" w:rsidRPr="0035519F" w:rsidRDefault="006E0438" w:rsidP="006E0438">
            <w:pPr>
              <w:pStyle w:val="TableParagraph"/>
              <w:spacing w:line="229" w:lineRule="exact"/>
              <w:ind w:left="83" w:right="82"/>
              <w:jc w:val="center"/>
              <w:rPr>
                <w:sz w:val="20"/>
                <w:lang w:val="id-ID"/>
              </w:rPr>
            </w:pPr>
            <w:r w:rsidRPr="0035519F">
              <w:rPr>
                <w:sz w:val="20"/>
                <w:lang w:val="id-ID"/>
              </w:rPr>
              <w:lastRenderedPageBreak/>
              <w:t>Larutan</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533AB3FA" w14:textId="77777777" w:rsidR="006E0438" w:rsidRPr="0035519F" w:rsidRDefault="006E0438" w:rsidP="006E0438">
            <w:pPr>
              <w:pStyle w:val="TableParagraph"/>
              <w:spacing w:line="229" w:lineRule="exact"/>
              <w:ind w:left="136"/>
              <w:jc w:val="center"/>
              <w:rPr>
                <w:sz w:val="20"/>
              </w:rPr>
            </w:pPr>
            <w:r w:rsidRPr="0035519F">
              <w:rPr>
                <w:sz w:val="20"/>
              </w:rPr>
              <w:t>Komposisi</w:t>
            </w:r>
          </w:p>
        </w:tc>
        <w:tc>
          <w:tcPr>
            <w:tcW w:w="4679" w:type="dxa"/>
            <w:tcBorders>
              <w:top w:val="single" w:sz="4" w:space="0" w:color="000000"/>
              <w:left w:val="single" w:sz="4" w:space="0" w:color="000000"/>
              <w:bottom w:val="single" w:sz="4" w:space="0" w:color="000000"/>
              <w:right w:val="single" w:sz="4" w:space="0" w:color="000000"/>
            </w:tcBorders>
            <w:vAlign w:val="center"/>
            <w:hideMark/>
          </w:tcPr>
          <w:p w14:paraId="0E1766E0" w14:textId="77777777" w:rsidR="006E0438" w:rsidRPr="0035519F" w:rsidRDefault="006E0438" w:rsidP="006E0438">
            <w:pPr>
              <w:pStyle w:val="TableParagraph"/>
              <w:spacing w:line="229" w:lineRule="exact"/>
              <w:ind w:right="46"/>
              <w:jc w:val="center"/>
              <w:rPr>
                <w:sz w:val="20"/>
              </w:rPr>
            </w:pPr>
            <w:r w:rsidRPr="0035519F">
              <w:rPr>
                <w:sz w:val="20"/>
                <w:lang w:val="id-ID"/>
              </w:rPr>
              <w:t xml:space="preserve">Konsentrasi </w:t>
            </w:r>
            <w:r w:rsidRPr="0035519F">
              <w:rPr>
                <w:sz w:val="20"/>
              </w:rPr>
              <w:t>Akhir</w:t>
            </w:r>
          </w:p>
        </w:tc>
      </w:tr>
      <w:tr w:rsidR="00117F69" w:rsidRPr="0035519F" w14:paraId="744D4677" w14:textId="77777777" w:rsidTr="006E0438">
        <w:trPr>
          <w:trHeight w:val="457"/>
        </w:trPr>
        <w:tc>
          <w:tcPr>
            <w:tcW w:w="1525" w:type="dxa"/>
            <w:tcBorders>
              <w:top w:val="single" w:sz="4" w:space="0" w:color="000000"/>
              <w:left w:val="single" w:sz="4" w:space="0" w:color="000000"/>
              <w:bottom w:val="single" w:sz="4" w:space="0" w:color="000000"/>
              <w:right w:val="single" w:sz="4" w:space="0" w:color="000000"/>
            </w:tcBorders>
            <w:hideMark/>
          </w:tcPr>
          <w:p w14:paraId="47CD1D5F" w14:textId="77777777" w:rsidR="006E0438" w:rsidRPr="0035519F" w:rsidRDefault="006E0438" w:rsidP="006E0438">
            <w:pPr>
              <w:pStyle w:val="TableParagraph"/>
              <w:spacing w:line="229" w:lineRule="exact"/>
              <w:ind w:left="85" w:right="82"/>
              <w:jc w:val="center"/>
              <w:rPr>
                <w:sz w:val="20"/>
                <w:lang w:val="id-ID"/>
              </w:rPr>
            </w:pPr>
            <w:r w:rsidRPr="0035519F">
              <w:rPr>
                <w:sz w:val="20"/>
                <w:lang w:val="id-ID"/>
              </w:rPr>
              <w:t xml:space="preserve">Kalibrator </w:t>
            </w:r>
            <w:r w:rsidRPr="0035519F">
              <w:rPr>
                <w:sz w:val="20"/>
              </w:rPr>
              <w:t>A</w:t>
            </w:r>
          </w:p>
        </w:tc>
        <w:tc>
          <w:tcPr>
            <w:tcW w:w="1305" w:type="dxa"/>
            <w:tcBorders>
              <w:top w:val="single" w:sz="4" w:space="0" w:color="000000"/>
              <w:left w:val="single" w:sz="4" w:space="0" w:color="000000"/>
              <w:bottom w:val="single" w:sz="4" w:space="0" w:color="000000"/>
              <w:right w:val="single" w:sz="4" w:space="0" w:color="000000"/>
            </w:tcBorders>
            <w:hideMark/>
          </w:tcPr>
          <w:p w14:paraId="22EC9311" w14:textId="77777777" w:rsidR="006E0438" w:rsidRPr="0035519F" w:rsidRDefault="006E0438" w:rsidP="006E0438">
            <w:pPr>
              <w:pStyle w:val="TableParagraph"/>
              <w:spacing w:line="229" w:lineRule="exact"/>
              <w:jc w:val="center"/>
              <w:rPr>
                <w:sz w:val="20"/>
                <w:lang w:val="id-ID"/>
              </w:rPr>
            </w:pPr>
            <w:r w:rsidRPr="0035519F">
              <w:rPr>
                <w:sz w:val="20"/>
                <w:lang w:val="id-ID"/>
              </w:rPr>
              <w:t xml:space="preserve">2 </w:t>
            </w:r>
            <w:r w:rsidRPr="0035519F">
              <w:rPr>
                <w:sz w:val="20"/>
              </w:rPr>
              <w:t>n</w:t>
            </w:r>
            <w:r w:rsidRPr="0035519F">
              <w:rPr>
                <w:sz w:val="20"/>
                <w:lang w:val="id-ID"/>
              </w:rPr>
              <w:t>g/mL</w:t>
            </w:r>
          </w:p>
        </w:tc>
        <w:tc>
          <w:tcPr>
            <w:tcW w:w="4679" w:type="dxa"/>
            <w:vMerge w:val="restart"/>
            <w:tcBorders>
              <w:top w:val="single" w:sz="4" w:space="0" w:color="000000"/>
              <w:left w:val="single" w:sz="4" w:space="0" w:color="000000"/>
              <w:right w:val="single" w:sz="4" w:space="0" w:color="000000"/>
            </w:tcBorders>
            <w:vAlign w:val="center"/>
            <w:hideMark/>
          </w:tcPr>
          <w:p w14:paraId="68D2A693" w14:textId="77777777" w:rsidR="006E0438" w:rsidRPr="0035519F" w:rsidRDefault="006E0438" w:rsidP="006E0438">
            <w:pPr>
              <w:pStyle w:val="TableParagraph"/>
              <w:spacing w:line="229" w:lineRule="exact"/>
              <w:ind w:left="227" w:right="226"/>
              <w:jc w:val="center"/>
              <w:rPr>
                <w:sz w:val="20"/>
              </w:rPr>
            </w:pPr>
            <w:r w:rsidRPr="0035519F">
              <w:rPr>
                <w:sz w:val="20"/>
              </w:rPr>
              <w:t>Masing-masing 20</w:t>
            </w:r>
            <w:r w:rsidRPr="0035519F">
              <w:rPr>
                <w:sz w:val="20"/>
                <w:lang w:val="id-ID"/>
              </w:rPr>
              <w:t xml:space="preserve"> µL</w:t>
            </w:r>
            <w:r w:rsidRPr="0035519F">
              <w:rPr>
                <w:sz w:val="20"/>
              </w:rPr>
              <w:t xml:space="preserve"> diambil dari campuran </w:t>
            </w:r>
            <w:r w:rsidRPr="0035519F">
              <w:rPr>
                <w:rFonts w:cs="Arial"/>
                <w:sz w:val="20"/>
                <w:szCs w:val="20"/>
              </w:rPr>
              <w:t>500</w:t>
            </w:r>
            <w:r w:rsidRPr="0035519F">
              <w:rPr>
                <w:rFonts w:cs="Arial"/>
                <w:spacing w:val="2"/>
                <w:sz w:val="20"/>
                <w:szCs w:val="20"/>
              </w:rPr>
              <w:t xml:space="preserve">µL dan </w:t>
            </w:r>
            <w:r w:rsidRPr="0035519F">
              <w:rPr>
                <w:rFonts w:cs="Arial"/>
                <w:sz w:val="20"/>
                <w:szCs w:val="20"/>
              </w:rPr>
              <w:t>500</w:t>
            </w:r>
            <w:r w:rsidRPr="0035519F">
              <w:rPr>
                <w:rFonts w:cs="Arial"/>
                <w:spacing w:val="2"/>
                <w:sz w:val="20"/>
                <w:szCs w:val="20"/>
              </w:rPr>
              <w:t xml:space="preserve">µL </w:t>
            </w:r>
            <w:r w:rsidRPr="0035519F">
              <w:rPr>
                <w:rFonts w:cs="Arial"/>
                <w:i/>
                <w:spacing w:val="2"/>
                <w:sz w:val="20"/>
                <w:szCs w:val="20"/>
              </w:rPr>
              <w:t>Sample Buffer</w:t>
            </w:r>
          </w:p>
        </w:tc>
      </w:tr>
      <w:tr w:rsidR="00117F69" w:rsidRPr="0035519F" w14:paraId="7EDE9EB3" w14:textId="77777777" w:rsidTr="006E0438">
        <w:trPr>
          <w:trHeight w:val="460"/>
        </w:trPr>
        <w:tc>
          <w:tcPr>
            <w:tcW w:w="1525" w:type="dxa"/>
            <w:tcBorders>
              <w:top w:val="single" w:sz="4" w:space="0" w:color="000000"/>
              <w:left w:val="single" w:sz="4" w:space="0" w:color="000000"/>
              <w:bottom w:val="single" w:sz="4" w:space="0" w:color="000000"/>
              <w:right w:val="single" w:sz="4" w:space="0" w:color="000000"/>
            </w:tcBorders>
            <w:hideMark/>
          </w:tcPr>
          <w:p w14:paraId="5395471A" w14:textId="77777777" w:rsidR="006E0438" w:rsidRPr="0035519F" w:rsidRDefault="006E0438" w:rsidP="006E0438">
            <w:pPr>
              <w:pStyle w:val="TableParagraph"/>
              <w:spacing w:before="2" w:line="256" w:lineRule="auto"/>
              <w:ind w:left="85" w:right="82"/>
              <w:jc w:val="center"/>
              <w:rPr>
                <w:sz w:val="20"/>
                <w:lang w:val="id-ID"/>
              </w:rPr>
            </w:pPr>
            <w:r w:rsidRPr="0035519F">
              <w:rPr>
                <w:sz w:val="20"/>
                <w:lang w:val="id-ID"/>
              </w:rPr>
              <w:t xml:space="preserve">Kalibrator </w:t>
            </w:r>
            <w:r w:rsidRPr="0035519F">
              <w:rPr>
                <w:sz w:val="20"/>
              </w:rPr>
              <w:t>B</w:t>
            </w:r>
          </w:p>
        </w:tc>
        <w:tc>
          <w:tcPr>
            <w:tcW w:w="1305" w:type="dxa"/>
            <w:tcBorders>
              <w:top w:val="single" w:sz="4" w:space="0" w:color="000000"/>
              <w:left w:val="single" w:sz="4" w:space="0" w:color="000000"/>
              <w:bottom w:val="single" w:sz="4" w:space="0" w:color="000000"/>
              <w:right w:val="single" w:sz="4" w:space="0" w:color="000000"/>
            </w:tcBorders>
            <w:hideMark/>
          </w:tcPr>
          <w:p w14:paraId="20D5A4A9" w14:textId="77777777" w:rsidR="006E0438" w:rsidRPr="0035519F" w:rsidRDefault="006E0438" w:rsidP="006E0438">
            <w:pPr>
              <w:pStyle w:val="TableParagraph"/>
              <w:spacing w:before="2" w:line="256" w:lineRule="auto"/>
              <w:jc w:val="center"/>
              <w:rPr>
                <w:sz w:val="20"/>
                <w:lang w:val="id-ID"/>
              </w:rPr>
            </w:pPr>
            <w:r w:rsidRPr="0035519F">
              <w:rPr>
                <w:sz w:val="20"/>
                <w:lang w:val="id-ID"/>
              </w:rPr>
              <w:t>5 ng/mL</w:t>
            </w:r>
          </w:p>
        </w:tc>
        <w:tc>
          <w:tcPr>
            <w:tcW w:w="4679" w:type="dxa"/>
            <w:vMerge/>
            <w:tcBorders>
              <w:left w:val="single" w:sz="4" w:space="0" w:color="000000"/>
              <w:right w:val="single" w:sz="4" w:space="0" w:color="000000"/>
            </w:tcBorders>
          </w:tcPr>
          <w:p w14:paraId="3F1AB6AB" w14:textId="77777777" w:rsidR="006E0438" w:rsidRPr="0035519F" w:rsidRDefault="006E0438" w:rsidP="006E0438">
            <w:pPr>
              <w:pStyle w:val="TableParagraph"/>
              <w:spacing w:before="2" w:line="256" w:lineRule="auto"/>
              <w:ind w:left="107"/>
              <w:rPr>
                <w:sz w:val="20"/>
                <w:lang w:val="id-ID"/>
              </w:rPr>
            </w:pPr>
          </w:p>
        </w:tc>
      </w:tr>
      <w:tr w:rsidR="00117F69" w:rsidRPr="0035519F" w14:paraId="217E0FBF" w14:textId="77777777" w:rsidTr="006E0438">
        <w:trPr>
          <w:trHeight w:val="460"/>
        </w:trPr>
        <w:tc>
          <w:tcPr>
            <w:tcW w:w="1525" w:type="dxa"/>
            <w:tcBorders>
              <w:top w:val="single" w:sz="4" w:space="0" w:color="000000"/>
              <w:left w:val="single" w:sz="4" w:space="0" w:color="000000"/>
              <w:bottom w:val="single" w:sz="4" w:space="0" w:color="000000"/>
              <w:right w:val="single" w:sz="4" w:space="0" w:color="000000"/>
            </w:tcBorders>
            <w:hideMark/>
          </w:tcPr>
          <w:p w14:paraId="3D7B3E66" w14:textId="77777777" w:rsidR="006E0438" w:rsidRPr="0035519F" w:rsidRDefault="006E0438" w:rsidP="006E0438">
            <w:pPr>
              <w:pStyle w:val="TableParagraph"/>
              <w:spacing w:line="229" w:lineRule="exact"/>
              <w:ind w:left="85" w:right="82"/>
              <w:jc w:val="center"/>
              <w:rPr>
                <w:sz w:val="20"/>
              </w:rPr>
            </w:pPr>
            <w:r w:rsidRPr="0035519F">
              <w:rPr>
                <w:sz w:val="20"/>
                <w:lang w:val="id-ID"/>
              </w:rPr>
              <w:t xml:space="preserve">Kalibrator </w:t>
            </w:r>
            <w:r w:rsidRPr="0035519F">
              <w:rPr>
                <w:sz w:val="20"/>
              </w:rPr>
              <w:t>C</w:t>
            </w:r>
          </w:p>
        </w:tc>
        <w:tc>
          <w:tcPr>
            <w:tcW w:w="1305" w:type="dxa"/>
            <w:tcBorders>
              <w:top w:val="single" w:sz="4" w:space="0" w:color="000000"/>
              <w:left w:val="single" w:sz="4" w:space="0" w:color="000000"/>
              <w:bottom w:val="single" w:sz="4" w:space="0" w:color="000000"/>
              <w:right w:val="single" w:sz="4" w:space="0" w:color="000000"/>
            </w:tcBorders>
            <w:hideMark/>
          </w:tcPr>
          <w:p w14:paraId="3C15B52F" w14:textId="77777777" w:rsidR="006E0438" w:rsidRPr="0035519F" w:rsidRDefault="006E0438" w:rsidP="006E0438">
            <w:pPr>
              <w:pStyle w:val="TableParagraph"/>
              <w:spacing w:line="229" w:lineRule="exact"/>
              <w:jc w:val="center"/>
              <w:rPr>
                <w:sz w:val="20"/>
                <w:lang w:val="id-ID"/>
              </w:rPr>
            </w:pPr>
            <w:r w:rsidRPr="0035519F">
              <w:rPr>
                <w:sz w:val="20"/>
                <w:lang w:val="id-ID"/>
              </w:rPr>
              <w:t>15 ng/mL</w:t>
            </w:r>
          </w:p>
        </w:tc>
        <w:tc>
          <w:tcPr>
            <w:tcW w:w="4679" w:type="dxa"/>
            <w:vMerge/>
            <w:tcBorders>
              <w:left w:val="single" w:sz="4" w:space="0" w:color="000000"/>
              <w:right w:val="single" w:sz="4" w:space="0" w:color="000000"/>
            </w:tcBorders>
          </w:tcPr>
          <w:p w14:paraId="27D495A8" w14:textId="77777777" w:rsidR="006E0438" w:rsidRPr="0035519F" w:rsidRDefault="006E0438" w:rsidP="006E0438">
            <w:pPr>
              <w:pStyle w:val="TableParagraph"/>
              <w:spacing w:line="229" w:lineRule="exact"/>
              <w:ind w:left="107"/>
              <w:rPr>
                <w:sz w:val="20"/>
                <w:lang w:val="id-ID"/>
              </w:rPr>
            </w:pPr>
          </w:p>
        </w:tc>
      </w:tr>
      <w:tr w:rsidR="00117F69" w:rsidRPr="0035519F" w14:paraId="37718FD0" w14:textId="77777777" w:rsidTr="006E0438">
        <w:trPr>
          <w:trHeight w:val="461"/>
        </w:trPr>
        <w:tc>
          <w:tcPr>
            <w:tcW w:w="1525" w:type="dxa"/>
            <w:tcBorders>
              <w:top w:val="single" w:sz="4" w:space="0" w:color="000000"/>
              <w:left w:val="single" w:sz="4" w:space="0" w:color="000000"/>
              <w:bottom w:val="single" w:sz="4" w:space="0" w:color="000000"/>
              <w:right w:val="single" w:sz="4" w:space="0" w:color="000000"/>
            </w:tcBorders>
            <w:hideMark/>
          </w:tcPr>
          <w:p w14:paraId="7C2ED153" w14:textId="77777777" w:rsidR="006E0438" w:rsidRPr="0035519F" w:rsidRDefault="006E0438" w:rsidP="006E0438">
            <w:pPr>
              <w:pStyle w:val="TableParagraph"/>
              <w:spacing w:line="229" w:lineRule="exact"/>
              <w:ind w:left="85" w:right="82"/>
              <w:jc w:val="center"/>
              <w:rPr>
                <w:sz w:val="20"/>
              </w:rPr>
            </w:pPr>
            <w:r w:rsidRPr="0035519F">
              <w:rPr>
                <w:sz w:val="20"/>
                <w:lang w:val="id-ID"/>
              </w:rPr>
              <w:t xml:space="preserve">Kalibrator </w:t>
            </w:r>
            <w:r w:rsidRPr="0035519F">
              <w:rPr>
                <w:sz w:val="20"/>
              </w:rPr>
              <w:t>D</w:t>
            </w:r>
          </w:p>
        </w:tc>
        <w:tc>
          <w:tcPr>
            <w:tcW w:w="1305" w:type="dxa"/>
            <w:tcBorders>
              <w:top w:val="single" w:sz="4" w:space="0" w:color="000000"/>
              <w:left w:val="single" w:sz="4" w:space="0" w:color="000000"/>
              <w:bottom w:val="single" w:sz="4" w:space="0" w:color="000000"/>
              <w:right w:val="single" w:sz="4" w:space="0" w:color="000000"/>
            </w:tcBorders>
            <w:hideMark/>
          </w:tcPr>
          <w:p w14:paraId="2B214D2C" w14:textId="77777777" w:rsidR="006E0438" w:rsidRPr="0035519F" w:rsidRDefault="006E0438" w:rsidP="006E0438">
            <w:pPr>
              <w:pStyle w:val="TableParagraph"/>
              <w:spacing w:line="229" w:lineRule="exact"/>
              <w:jc w:val="center"/>
              <w:rPr>
                <w:sz w:val="20"/>
                <w:lang w:val="id-ID"/>
              </w:rPr>
            </w:pPr>
            <w:r w:rsidRPr="0035519F">
              <w:rPr>
                <w:sz w:val="20"/>
                <w:lang w:val="id-ID"/>
              </w:rPr>
              <w:t>30 ng/mL</w:t>
            </w:r>
          </w:p>
        </w:tc>
        <w:tc>
          <w:tcPr>
            <w:tcW w:w="4679" w:type="dxa"/>
            <w:vMerge/>
            <w:tcBorders>
              <w:left w:val="single" w:sz="4" w:space="0" w:color="000000"/>
              <w:right w:val="single" w:sz="4" w:space="0" w:color="000000"/>
            </w:tcBorders>
          </w:tcPr>
          <w:p w14:paraId="379A59BE" w14:textId="77777777" w:rsidR="006E0438" w:rsidRPr="0035519F" w:rsidRDefault="006E0438" w:rsidP="006E0438">
            <w:pPr>
              <w:pStyle w:val="TableParagraph"/>
              <w:spacing w:line="229" w:lineRule="exact"/>
              <w:ind w:left="107"/>
              <w:rPr>
                <w:sz w:val="20"/>
                <w:lang w:val="id-ID"/>
              </w:rPr>
            </w:pPr>
          </w:p>
        </w:tc>
      </w:tr>
      <w:tr w:rsidR="00117F69" w:rsidRPr="0035519F" w14:paraId="711A37AC" w14:textId="77777777" w:rsidTr="006E0438">
        <w:trPr>
          <w:trHeight w:val="460"/>
        </w:trPr>
        <w:tc>
          <w:tcPr>
            <w:tcW w:w="1525" w:type="dxa"/>
            <w:tcBorders>
              <w:top w:val="single" w:sz="4" w:space="0" w:color="000000"/>
              <w:left w:val="single" w:sz="4" w:space="0" w:color="000000"/>
              <w:bottom w:val="single" w:sz="4" w:space="0" w:color="000000"/>
              <w:right w:val="single" w:sz="4" w:space="0" w:color="000000"/>
            </w:tcBorders>
            <w:hideMark/>
          </w:tcPr>
          <w:p w14:paraId="1AA6E479" w14:textId="77777777" w:rsidR="006E0438" w:rsidRPr="0035519F" w:rsidRDefault="006E0438" w:rsidP="006E0438">
            <w:pPr>
              <w:pStyle w:val="TableParagraph"/>
              <w:spacing w:line="229" w:lineRule="exact"/>
              <w:ind w:left="85" w:right="82"/>
              <w:jc w:val="center"/>
              <w:rPr>
                <w:sz w:val="20"/>
              </w:rPr>
            </w:pPr>
            <w:r w:rsidRPr="0035519F">
              <w:rPr>
                <w:sz w:val="20"/>
                <w:lang w:val="id-ID"/>
              </w:rPr>
              <w:t xml:space="preserve">Kalibrator </w:t>
            </w:r>
            <w:r w:rsidRPr="0035519F">
              <w:rPr>
                <w:sz w:val="20"/>
              </w:rPr>
              <w:t>E</w:t>
            </w:r>
          </w:p>
        </w:tc>
        <w:tc>
          <w:tcPr>
            <w:tcW w:w="1305" w:type="dxa"/>
            <w:tcBorders>
              <w:top w:val="single" w:sz="4" w:space="0" w:color="000000"/>
              <w:left w:val="single" w:sz="4" w:space="0" w:color="000000"/>
              <w:bottom w:val="single" w:sz="4" w:space="0" w:color="000000"/>
              <w:right w:val="single" w:sz="4" w:space="0" w:color="000000"/>
            </w:tcBorders>
            <w:hideMark/>
          </w:tcPr>
          <w:p w14:paraId="0F97BB7E" w14:textId="77777777" w:rsidR="006E0438" w:rsidRPr="0035519F" w:rsidRDefault="006E0438" w:rsidP="006E0438">
            <w:pPr>
              <w:pStyle w:val="TableParagraph"/>
              <w:spacing w:line="229" w:lineRule="exact"/>
              <w:jc w:val="center"/>
              <w:rPr>
                <w:sz w:val="20"/>
                <w:lang w:val="id-ID"/>
              </w:rPr>
            </w:pPr>
            <w:r w:rsidRPr="0035519F">
              <w:rPr>
                <w:sz w:val="20"/>
                <w:lang w:val="id-ID"/>
              </w:rPr>
              <w:t>50 ng/mL</w:t>
            </w:r>
          </w:p>
        </w:tc>
        <w:tc>
          <w:tcPr>
            <w:tcW w:w="4679" w:type="dxa"/>
            <w:vMerge/>
            <w:tcBorders>
              <w:left w:val="single" w:sz="4" w:space="0" w:color="000000"/>
              <w:bottom w:val="single" w:sz="4" w:space="0" w:color="000000"/>
              <w:right w:val="single" w:sz="4" w:space="0" w:color="000000"/>
            </w:tcBorders>
          </w:tcPr>
          <w:p w14:paraId="4B0099D4" w14:textId="77777777" w:rsidR="006E0438" w:rsidRPr="0035519F" w:rsidRDefault="006E0438" w:rsidP="006E0438">
            <w:pPr>
              <w:pStyle w:val="TableParagraph"/>
              <w:spacing w:line="229" w:lineRule="exact"/>
              <w:ind w:left="107"/>
              <w:rPr>
                <w:sz w:val="20"/>
                <w:lang w:val="id-ID"/>
              </w:rPr>
            </w:pPr>
          </w:p>
        </w:tc>
      </w:tr>
    </w:tbl>
    <w:p w14:paraId="14F5C144" w14:textId="5149D3B6" w:rsidR="007757AB" w:rsidRPr="0035519F" w:rsidRDefault="007757AB" w:rsidP="006E0438">
      <w:pPr>
        <w:pStyle w:val="Caption"/>
        <w:ind w:left="720" w:hanging="720"/>
        <w:rPr>
          <w:rFonts w:ascii="Arial" w:hAnsi="Arial" w:cs="Arial"/>
          <w:i w:val="0"/>
          <w:color w:val="auto"/>
          <w:sz w:val="24"/>
          <w:szCs w:val="24"/>
        </w:rPr>
      </w:pPr>
      <w:r w:rsidRPr="0035519F">
        <w:rPr>
          <w:rFonts w:ascii="Arial" w:hAnsi="Arial" w:cs="Arial"/>
          <w:color w:val="auto"/>
          <w:sz w:val="24"/>
          <w:szCs w:val="24"/>
        </w:rPr>
        <w:tab/>
      </w:r>
      <w:bookmarkStart w:id="67" w:name="_Toc111873676"/>
      <w:bookmarkStart w:id="68" w:name="_Toc72145880"/>
      <w:bookmarkStart w:id="69" w:name="_Toc73825306"/>
      <w:r w:rsidR="00611B87" w:rsidRPr="0035519F">
        <w:rPr>
          <w:rFonts w:ascii="Arial" w:hAnsi="Arial" w:cs="Arial"/>
          <w:i w:val="0"/>
          <w:color w:val="auto"/>
          <w:sz w:val="24"/>
          <w:szCs w:val="24"/>
        </w:rPr>
        <w:t xml:space="preserve">Tabel </w:t>
      </w:r>
      <w:r w:rsidR="00611B87" w:rsidRPr="0035519F">
        <w:rPr>
          <w:rFonts w:ascii="Arial" w:hAnsi="Arial" w:cs="Arial"/>
          <w:i w:val="0"/>
          <w:color w:val="auto"/>
          <w:sz w:val="24"/>
          <w:szCs w:val="24"/>
        </w:rPr>
        <w:fldChar w:fldCharType="begin"/>
      </w:r>
      <w:r w:rsidR="00611B87" w:rsidRPr="0035519F">
        <w:rPr>
          <w:rFonts w:ascii="Arial" w:hAnsi="Arial" w:cs="Arial"/>
          <w:i w:val="0"/>
          <w:color w:val="auto"/>
          <w:sz w:val="24"/>
          <w:szCs w:val="24"/>
        </w:rPr>
        <w:instrText xml:space="preserve"> SEQ Tabel \* ARABIC </w:instrText>
      </w:r>
      <w:r w:rsidR="00611B87"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4</w:t>
      </w:r>
      <w:r w:rsidR="00611B87" w:rsidRPr="0035519F">
        <w:rPr>
          <w:rFonts w:ascii="Arial" w:hAnsi="Arial" w:cs="Arial"/>
          <w:i w:val="0"/>
          <w:color w:val="auto"/>
          <w:sz w:val="24"/>
          <w:szCs w:val="24"/>
        </w:rPr>
        <w:fldChar w:fldCharType="end"/>
      </w:r>
      <w:r w:rsidR="00611B87" w:rsidRPr="0035519F">
        <w:rPr>
          <w:rFonts w:ascii="Arial" w:hAnsi="Arial" w:cs="Arial"/>
          <w:i w:val="0"/>
          <w:color w:val="auto"/>
          <w:sz w:val="24"/>
          <w:szCs w:val="24"/>
        </w:rPr>
        <w:t xml:space="preserve">. </w:t>
      </w:r>
      <w:r w:rsidRPr="0035519F">
        <w:rPr>
          <w:rFonts w:ascii="Arial" w:hAnsi="Arial" w:cs="Arial"/>
          <w:i w:val="0"/>
          <w:color w:val="auto"/>
          <w:sz w:val="24"/>
          <w:szCs w:val="24"/>
        </w:rPr>
        <w:t xml:space="preserve">Pengenceran Larutan </w:t>
      </w:r>
      <w:r w:rsidR="00B778C6" w:rsidRPr="0035519F">
        <w:rPr>
          <w:rFonts w:ascii="Arial" w:hAnsi="Arial" w:cs="Arial"/>
          <w:i w:val="0"/>
          <w:color w:val="auto"/>
          <w:sz w:val="24"/>
          <w:szCs w:val="24"/>
        </w:rPr>
        <w:t>Kalibrator</w:t>
      </w:r>
      <w:r w:rsidRPr="0035519F">
        <w:rPr>
          <w:rFonts w:ascii="Arial" w:hAnsi="Arial" w:cs="Arial"/>
          <w:i w:val="0"/>
          <w:color w:val="auto"/>
          <w:sz w:val="24"/>
          <w:szCs w:val="24"/>
        </w:rPr>
        <w:t xml:space="preserve"> </w:t>
      </w:r>
      <w:r w:rsidRPr="0035519F">
        <w:rPr>
          <w:rFonts w:ascii="Arial" w:hAnsi="Arial" w:cs="Arial"/>
          <w:i w:val="0"/>
          <w:color w:val="auto"/>
          <w:sz w:val="24"/>
          <w:szCs w:val="24"/>
        </w:rPr>
        <w:fldChar w:fldCharType="begin" w:fldLock="1"/>
      </w:r>
      <w:r w:rsidR="00297EB7" w:rsidRPr="0035519F">
        <w:rPr>
          <w:rFonts w:ascii="Arial" w:hAnsi="Arial" w:cs="Arial"/>
          <w:i w:val="0"/>
          <w:color w:val="auto"/>
          <w:sz w:val="24"/>
          <w:szCs w:val="24"/>
        </w:rPr>
        <w:instrText>ADDIN CSL_CITATION {"citationItems":[{"id":"ITEM-1","itemData":{"author":[{"dropping-particle":"","family":"Demeditec Diagnostics","given":"GmbH","non-dropping-particle":"","parse-names":false,"suffix":""}],"id":"ITEM-1","issued":{"date-parts":[["2022"]]},"title":"IGF-I ELISA - DEE020 - Demeditec Diagnostics GmbH","type":"article"},"uris":["http://www.mendeley.com/documents/?uuid=1d1718af-f969-3c5b-bc6d-0b4c9788a3cb"]}],"mendeley":{"formattedCitation":"(Demeditec Diagnostics, 2022)","plainTextFormattedCitation":"(Demeditec Diagnostics, 2022)","previouslyFormattedCitation":"(Demeditec Diagnostics, 2022)"},"properties":{"noteIndex":0},"schema":"https://github.com/citation-style-language/schema/raw/master/csl-citation.json"}</w:instrText>
      </w:r>
      <w:r w:rsidRPr="0035519F">
        <w:rPr>
          <w:rFonts w:ascii="Arial" w:hAnsi="Arial" w:cs="Arial"/>
          <w:i w:val="0"/>
          <w:color w:val="auto"/>
          <w:sz w:val="24"/>
          <w:szCs w:val="24"/>
        </w:rPr>
        <w:fldChar w:fldCharType="separate"/>
      </w:r>
      <w:bookmarkEnd w:id="68"/>
      <w:bookmarkEnd w:id="69"/>
      <w:r w:rsidR="00B778C6" w:rsidRPr="0035519F">
        <w:rPr>
          <w:rFonts w:ascii="Arial" w:hAnsi="Arial" w:cs="Arial"/>
          <w:i w:val="0"/>
          <w:noProof/>
          <w:color w:val="auto"/>
          <w:sz w:val="24"/>
          <w:szCs w:val="24"/>
        </w:rPr>
        <w:t>(Demeditec Diagnostics, 2022)</w:t>
      </w:r>
      <w:bookmarkEnd w:id="67"/>
      <w:r w:rsidRPr="0035519F">
        <w:rPr>
          <w:rFonts w:ascii="Arial" w:hAnsi="Arial" w:cs="Arial"/>
          <w:i w:val="0"/>
          <w:color w:val="auto"/>
          <w:sz w:val="24"/>
          <w:szCs w:val="24"/>
        </w:rPr>
        <w:fldChar w:fldCharType="end"/>
      </w:r>
    </w:p>
    <w:p w14:paraId="33040141" w14:textId="77777777" w:rsidR="007757AB" w:rsidRPr="0035519F" w:rsidRDefault="00AB4D3D" w:rsidP="00B124CB">
      <w:pPr>
        <w:pStyle w:val="ListParagraph"/>
        <w:widowControl w:val="0"/>
        <w:numPr>
          <w:ilvl w:val="0"/>
          <w:numId w:val="19"/>
        </w:numPr>
        <w:tabs>
          <w:tab w:val="left" w:pos="2063"/>
          <w:tab w:val="left" w:pos="6804"/>
        </w:tabs>
        <w:autoSpaceDE w:val="0"/>
        <w:autoSpaceDN w:val="0"/>
        <w:spacing w:before="92" w:after="0" w:line="480" w:lineRule="auto"/>
        <w:ind w:left="1276"/>
        <w:jc w:val="both"/>
        <w:rPr>
          <w:rFonts w:ascii="Arial" w:hAnsi="Arial" w:cs="Arial"/>
          <w:sz w:val="24"/>
        </w:rPr>
      </w:pPr>
      <w:r w:rsidRPr="0035519F">
        <w:rPr>
          <w:rFonts w:ascii="Arial" w:hAnsi="Arial" w:cs="Arial"/>
          <w:sz w:val="24"/>
        </w:rPr>
        <w:t>Buffer pencuci: Encerkan 25 mL konsentrat buffer pencuci 20</w:t>
      </w:r>
      <w:r w:rsidR="007757AB" w:rsidRPr="0035519F">
        <w:rPr>
          <w:rFonts w:ascii="Arial" w:hAnsi="Arial" w:cs="Arial"/>
          <w:sz w:val="24"/>
        </w:rPr>
        <w:t xml:space="preserve"> kali dengan air suling untuk menghasilkan 500 mL buffer pencuci. Apabila terbentuk kristal dalam konsentrat maka dikocok dengan lembut sampai butiran kristal</w:t>
      </w:r>
      <w:r w:rsidR="007757AB" w:rsidRPr="0035519F">
        <w:rPr>
          <w:rFonts w:ascii="Arial" w:hAnsi="Arial" w:cs="Arial"/>
          <w:spacing w:val="-15"/>
          <w:sz w:val="24"/>
        </w:rPr>
        <w:t xml:space="preserve"> </w:t>
      </w:r>
      <w:r w:rsidR="007757AB" w:rsidRPr="0035519F">
        <w:rPr>
          <w:rFonts w:ascii="Arial" w:hAnsi="Arial" w:cs="Arial"/>
          <w:sz w:val="24"/>
        </w:rPr>
        <w:t xml:space="preserve">terlarut. </w:t>
      </w:r>
    </w:p>
    <w:p w14:paraId="3BB0F341" w14:textId="77777777" w:rsidR="007757AB" w:rsidRPr="0035519F" w:rsidRDefault="007757AB" w:rsidP="007757AB"/>
    <w:p w14:paraId="0E70D9E3" w14:textId="77777777" w:rsidR="007757AB" w:rsidRPr="0035519F" w:rsidRDefault="007757AB" w:rsidP="00B124CB">
      <w:pPr>
        <w:pStyle w:val="NoSpacing"/>
        <w:numPr>
          <w:ilvl w:val="1"/>
          <w:numId w:val="16"/>
        </w:numPr>
        <w:tabs>
          <w:tab w:val="left" w:pos="709"/>
        </w:tabs>
        <w:spacing w:line="480" w:lineRule="auto"/>
        <w:ind w:left="709"/>
        <w:jc w:val="both"/>
        <w:rPr>
          <w:rFonts w:ascii="Arial" w:hAnsi="Arial" w:cs="Arial"/>
          <w:b/>
          <w:sz w:val="24"/>
          <w:szCs w:val="24"/>
        </w:rPr>
      </w:pPr>
      <w:r w:rsidRPr="0035519F">
        <w:rPr>
          <w:rFonts w:ascii="Arial" w:hAnsi="Arial" w:cs="Arial"/>
          <w:b/>
          <w:sz w:val="24"/>
          <w:szCs w:val="24"/>
        </w:rPr>
        <w:t xml:space="preserve">Tahapan Analitik </w:t>
      </w:r>
      <w:r w:rsidRPr="0035519F">
        <w:rPr>
          <w:rFonts w:ascii="Arial" w:hAnsi="Arial" w:cs="Arial"/>
          <w:b/>
          <w:sz w:val="24"/>
          <w:szCs w:val="24"/>
        </w:rPr>
        <w:fldChar w:fldCharType="begin" w:fldLock="1"/>
      </w:r>
      <w:r w:rsidR="000E7219" w:rsidRPr="0035519F">
        <w:rPr>
          <w:rFonts w:ascii="Arial" w:hAnsi="Arial" w:cs="Arial"/>
          <w:b/>
          <w:sz w:val="24"/>
          <w:szCs w:val="24"/>
        </w:rPr>
        <w:instrText>ADDIN CSL_CITATION {"citationItems":[{"id":"ITEM-1","itemData":{"author":[{"dropping-particle":"","family":"Demeditec Diagnostics","given":"GmbH","non-dropping-particle":"","parse-names":false,"suffix":""}],"id":"ITEM-1","issued":{"date-parts":[["2022"]]},"title":"IGF-I ELISA - DEE020 - Demeditec Diagnostics GmbH","type":"article"},"uris":["http://www.mendeley.com/documents/?uuid=1d1718af-f969-3c5b-bc6d-0b4c9788a3cb"]}],"mendeley":{"formattedCitation":"(Demeditec Diagnostics, 2022)","plainTextFormattedCitation":"(Demeditec Diagnostics, 2022)","previouslyFormattedCitation":"(Demeditec Diagnostics, 2022)"},"properties":{"noteIndex":0},"schema":"https://github.com/citation-style-language/schema/raw/master/csl-citation.json"}</w:instrText>
      </w:r>
      <w:r w:rsidRPr="0035519F">
        <w:rPr>
          <w:rFonts w:ascii="Arial" w:hAnsi="Arial" w:cs="Arial"/>
          <w:b/>
          <w:sz w:val="24"/>
          <w:szCs w:val="24"/>
        </w:rPr>
        <w:fldChar w:fldCharType="separate"/>
      </w:r>
      <w:r w:rsidR="00297EB7" w:rsidRPr="0035519F">
        <w:rPr>
          <w:rFonts w:ascii="Arial" w:hAnsi="Arial" w:cs="Arial"/>
          <w:noProof/>
          <w:sz w:val="24"/>
          <w:szCs w:val="24"/>
        </w:rPr>
        <w:t>(Demeditec Diagnostics, 2022)</w:t>
      </w:r>
      <w:r w:rsidRPr="0035519F">
        <w:rPr>
          <w:rFonts w:ascii="Arial" w:hAnsi="Arial" w:cs="Arial"/>
          <w:b/>
          <w:sz w:val="24"/>
          <w:szCs w:val="24"/>
        </w:rPr>
        <w:fldChar w:fldCharType="end"/>
      </w:r>
    </w:p>
    <w:p w14:paraId="1A6381B4" w14:textId="77777777" w:rsidR="007757AB" w:rsidRPr="0035519F" w:rsidRDefault="007757AB" w:rsidP="00B124CB">
      <w:pPr>
        <w:pStyle w:val="ListParagraph"/>
        <w:widowControl w:val="0"/>
        <w:numPr>
          <w:ilvl w:val="0"/>
          <w:numId w:val="20"/>
        </w:numPr>
        <w:tabs>
          <w:tab w:val="left" w:pos="1985"/>
        </w:tabs>
        <w:autoSpaceDE w:val="0"/>
        <w:autoSpaceDN w:val="0"/>
        <w:spacing w:after="0" w:line="240" w:lineRule="auto"/>
        <w:ind w:left="993"/>
        <w:rPr>
          <w:rFonts w:ascii="Arial" w:hAnsi="Arial" w:cs="Arial"/>
          <w:sz w:val="24"/>
        </w:rPr>
      </w:pPr>
      <w:r w:rsidRPr="0035519F">
        <w:rPr>
          <w:rFonts w:ascii="Arial" w:hAnsi="Arial" w:cs="Arial"/>
          <w:sz w:val="24"/>
        </w:rPr>
        <w:t>Prinsip</w:t>
      </w:r>
      <w:r w:rsidRPr="0035519F">
        <w:rPr>
          <w:rFonts w:ascii="Arial" w:hAnsi="Arial" w:cs="Arial"/>
          <w:spacing w:val="-1"/>
          <w:sz w:val="24"/>
        </w:rPr>
        <w:t xml:space="preserve"> </w:t>
      </w:r>
      <w:r w:rsidRPr="0035519F">
        <w:rPr>
          <w:rFonts w:ascii="Arial" w:hAnsi="Arial" w:cs="Arial"/>
          <w:sz w:val="24"/>
        </w:rPr>
        <w:t>tes</w:t>
      </w:r>
    </w:p>
    <w:p w14:paraId="76739E9E" w14:textId="77777777" w:rsidR="007757AB" w:rsidRPr="0035519F" w:rsidRDefault="007757AB" w:rsidP="007757AB">
      <w:pPr>
        <w:pStyle w:val="BodyText"/>
        <w:rPr>
          <w:lang w:val="id-ID"/>
        </w:rPr>
      </w:pPr>
    </w:p>
    <w:p w14:paraId="4C99177F" w14:textId="77777777" w:rsidR="007757AB" w:rsidRPr="0035519F" w:rsidRDefault="007757AB" w:rsidP="007757AB">
      <w:pPr>
        <w:pStyle w:val="BodyText"/>
        <w:spacing w:line="480" w:lineRule="auto"/>
        <w:ind w:left="993"/>
        <w:jc w:val="both"/>
        <w:rPr>
          <w:lang w:val="id-ID"/>
        </w:rPr>
      </w:pPr>
      <w:r w:rsidRPr="0035519F">
        <w:rPr>
          <w:lang w:val="id-ID"/>
        </w:rPr>
        <w:t xml:space="preserve">Reagen </w:t>
      </w:r>
      <w:r w:rsidR="00297EB7" w:rsidRPr="0035519F">
        <w:rPr>
          <w:i/>
          <w:noProof/>
        </w:rPr>
        <w:t>Demeditec</w:t>
      </w:r>
      <w:r w:rsidR="00297EB7" w:rsidRPr="0035519F">
        <w:rPr>
          <w:noProof/>
        </w:rPr>
        <w:t xml:space="preserve"> </w:t>
      </w:r>
      <w:r w:rsidR="00297EB7" w:rsidRPr="0035519F">
        <w:rPr>
          <w:i/>
          <w:noProof/>
        </w:rPr>
        <w:t>Diagnostics</w:t>
      </w:r>
      <w:r w:rsidR="00297EB7" w:rsidRPr="0035519F">
        <w:rPr>
          <w:i/>
          <w:lang w:val="id-ID"/>
        </w:rPr>
        <w:t xml:space="preserve"> </w:t>
      </w:r>
      <w:r w:rsidR="00297EB7" w:rsidRPr="0035519F">
        <w:rPr>
          <w:i/>
        </w:rPr>
        <w:t>GmbH</w:t>
      </w:r>
      <w:r w:rsidR="00297EB7" w:rsidRPr="0035519F">
        <w:t xml:space="preserve"> </w:t>
      </w:r>
      <w:r w:rsidRPr="0035519F">
        <w:rPr>
          <w:lang w:val="id-ID"/>
        </w:rPr>
        <w:t xml:space="preserve">produksi </w:t>
      </w:r>
      <w:r w:rsidR="00297EB7" w:rsidRPr="0035519F">
        <w:t xml:space="preserve">Jerman </w:t>
      </w:r>
      <w:r w:rsidRPr="0035519F">
        <w:rPr>
          <w:lang w:val="id-ID"/>
        </w:rPr>
        <w:t xml:space="preserve">menggunakan prinsip </w:t>
      </w:r>
      <w:r w:rsidRPr="0035519F">
        <w:rPr>
          <w:rFonts w:eastAsia="Times New Roman"/>
          <w:i/>
          <w:lang w:val="id-ID"/>
        </w:rPr>
        <w:t>Enzyme-Linked Immunosorbent Assay</w:t>
      </w:r>
      <w:r w:rsidRPr="0035519F">
        <w:rPr>
          <w:rFonts w:eastAsia="Times New Roman"/>
          <w:lang w:val="id-ID"/>
        </w:rPr>
        <w:t xml:space="preserve"> (ELISA)</w:t>
      </w:r>
      <w:r w:rsidRPr="0035519F">
        <w:rPr>
          <w:rFonts w:eastAsia="Times New Roman"/>
        </w:rPr>
        <w:t xml:space="preserve"> metode </w:t>
      </w:r>
      <w:r w:rsidRPr="0035519F">
        <w:rPr>
          <w:rFonts w:eastAsia="Times New Roman"/>
          <w:i/>
        </w:rPr>
        <w:t>sandwich</w:t>
      </w:r>
      <w:r w:rsidRPr="0035519F">
        <w:rPr>
          <w:rFonts w:eastAsia="Times New Roman"/>
          <w:lang w:val="id-ID"/>
        </w:rPr>
        <w:t xml:space="preserve">. </w:t>
      </w:r>
      <w:r w:rsidR="00A77FCB" w:rsidRPr="0035519F">
        <w:rPr>
          <w:rFonts w:eastAsia="Times New Roman"/>
        </w:rPr>
        <w:t>IGF-1</w:t>
      </w:r>
      <w:r w:rsidRPr="0035519F">
        <w:rPr>
          <w:rFonts w:eastAsia="Times New Roman"/>
        </w:rPr>
        <w:t xml:space="preserve"> yang ada dalam sampel ditambahkan ke dalam sumur yang telah dilapisi dengan antibodi monoklonal anti </w:t>
      </w:r>
      <w:r w:rsidR="00A77FCB" w:rsidRPr="0035519F">
        <w:rPr>
          <w:rFonts w:eastAsia="Times New Roman"/>
        </w:rPr>
        <w:t>IGF-1</w:t>
      </w:r>
      <w:r w:rsidRPr="0035519F">
        <w:rPr>
          <w:rFonts w:eastAsia="Times New Roman"/>
        </w:rPr>
        <w:t xml:space="preserve">. </w:t>
      </w:r>
      <w:r w:rsidRPr="0035519F">
        <w:rPr>
          <w:rFonts w:eastAsia="Times New Roman"/>
          <w:lang w:val="id-ID"/>
        </w:rPr>
        <w:t xml:space="preserve">Antibodi </w:t>
      </w:r>
      <w:r w:rsidR="00A77FCB" w:rsidRPr="0035519F">
        <w:rPr>
          <w:rFonts w:eastAsia="Times New Roman"/>
          <w:lang w:val="id-ID"/>
        </w:rPr>
        <w:t>IGF-1</w:t>
      </w:r>
      <w:r w:rsidRPr="0035519F">
        <w:rPr>
          <w:rFonts w:eastAsia="Times New Roman"/>
          <w:lang w:val="id-ID"/>
        </w:rPr>
        <w:t xml:space="preserve"> manusia yang </w:t>
      </w:r>
      <w:r w:rsidRPr="0035519F">
        <w:rPr>
          <w:rFonts w:eastAsia="Times New Roman"/>
        </w:rPr>
        <w:t>berlabel biotin</w:t>
      </w:r>
      <w:r w:rsidRPr="0035519F">
        <w:rPr>
          <w:rFonts w:eastAsia="Times New Roman"/>
          <w:lang w:val="id-ID"/>
        </w:rPr>
        <w:t xml:space="preserve"> </w:t>
      </w:r>
      <w:r w:rsidRPr="0035519F">
        <w:rPr>
          <w:rFonts w:eastAsia="Times New Roman"/>
        </w:rPr>
        <w:t xml:space="preserve">ditambahkan </w:t>
      </w:r>
      <w:r w:rsidRPr="0035519F">
        <w:rPr>
          <w:rFonts w:eastAsia="Times New Roman"/>
          <w:lang w:val="id-ID"/>
        </w:rPr>
        <w:t xml:space="preserve">dan </w:t>
      </w:r>
      <w:r w:rsidRPr="0035519F">
        <w:rPr>
          <w:rFonts w:eastAsia="Times New Roman"/>
        </w:rPr>
        <w:t xml:space="preserve">akan membentuk ikatan dengan </w:t>
      </w:r>
      <w:r w:rsidR="00A77FCB" w:rsidRPr="0035519F">
        <w:rPr>
          <w:rFonts w:eastAsia="Times New Roman"/>
        </w:rPr>
        <w:t>IGF-1</w:t>
      </w:r>
      <w:r w:rsidRPr="0035519F">
        <w:rPr>
          <w:rFonts w:eastAsia="Times New Roman"/>
          <w:lang w:val="id-ID"/>
        </w:rPr>
        <w:t xml:space="preserve">. Kemudian Streptavidin-HRP ditambahkan dan berikatan dengan antibodi </w:t>
      </w:r>
      <w:r w:rsidR="00A77FCB" w:rsidRPr="0035519F">
        <w:rPr>
          <w:rFonts w:eastAsia="Times New Roman"/>
          <w:lang w:val="id-ID"/>
        </w:rPr>
        <w:t>IGF-1</w:t>
      </w:r>
      <w:r w:rsidRPr="0035519F">
        <w:rPr>
          <w:rFonts w:eastAsia="Times New Roman"/>
          <w:lang w:val="id-ID"/>
        </w:rPr>
        <w:t xml:space="preserve"> </w:t>
      </w:r>
      <w:r w:rsidRPr="0035519F">
        <w:rPr>
          <w:rFonts w:eastAsia="Times New Roman"/>
        </w:rPr>
        <w:t>berlabel biotin</w:t>
      </w:r>
      <w:r w:rsidRPr="0035519F">
        <w:rPr>
          <w:rFonts w:eastAsia="Times New Roman"/>
          <w:lang w:val="id-ID"/>
        </w:rPr>
        <w:t xml:space="preserve">. Setelah inkubasi, Streptavidin-HRP yang tidak terikat </w:t>
      </w:r>
      <w:r w:rsidRPr="0035519F">
        <w:rPr>
          <w:rFonts w:eastAsia="Times New Roman"/>
        </w:rPr>
        <w:t>dikeluarkan melalui</w:t>
      </w:r>
      <w:r w:rsidRPr="0035519F">
        <w:rPr>
          <w:rFonts w:eastAsia="Times New Roman"/>
          <w:lang w:val="id-ID"/>
        </w:rPr>
        <w:t xml:space="preserve"> pencucian. Larutan substrat</w:t>
      </w:r>
      <w:r w:rsidRPr="0035519F">
        <w:rPr>
          <w:rFonts w:eastAsia="Times New Roman"/>
        </w:rPr>
        <w:t xml:space="preserve"> A dan B akan ditambahkan sehingga menyebabkan perubahan </w:t>
      </w:r>
      <w:r w:rsidRPr="0035519F">
        <w:rPr>
          <w:rFonts w:eastAsia="Times New Roman"/>
        </w:rPr>
        <w:lastRenderedPageBreak/>
        <w:t xml:space="preserve">warna sesuai dengan kadar </w:t>
      </w:r>
      <w:r w:rsidR="00A77FCB" w:rsidRPr="0035519F">
        <w:rPr>
          <w:rFonts w:eastAsia="Times New Roman"/>
        </w:rPr>
        <w:t>IGF-1</w:t>
      </w:r>
      <w:r w:rsidRPr="0035519F">
        <w:rPr>
          <w:rFonts w:eastAsia="Times New Roman"/>
        </w:rPr>
        <w:t xml:space="preserve"> pada sampel. </w:t>
      </w:r>
      <w:r w:rsidRPr="0035519F">
        <w:rPr>
          <w:rFonts w:eastAsia="Times New Roman"/>
          <w:lang w:val="id-ID"/>
        </w:rPr>
        <w:t xml:space="preserve">Reaksi diakhiri dengan </w:t>
      </w:r>
      <w:r w:rsidRPr="0035519F">
        <w:rPr>
          <w:rFonts w:eastAsia="Times New Roman"/>
        </w:rPr>
        <w:t>menambahkan</w:t>
      </w:r>
      <w:r w:rsidRPr="0035519F">
        <w:rPr>
          <w:rFonts w:eastAsia="Times New Roman"/>
          <w:lang w:val="id-ID"/>
        </w:rPr>
        <w:t xml:space="preserve"> </w:t>
      </w:r>
      <w:r w:rsidRPr="0035519F">
        <w:rPr>
          <w:rFonts w:eastAsia="Times New Roman"/>
          <w:i/>
        </w:rPr>
        <w:t>stop solution</w:t>
      </w:r>
      <w:r w:rsidRPr="0035519F">
        <w:rPr>
          <w:rFonts w:eastAsia="Times New Roman"/>
        </w:rPr>
        <w:t xml:space="preserve"> </w:t>
      </w:r>
      <w:r w:rsidRPr="0035519F">
        <w:rPr>
          <w:rFonts w:eastAsia="Times New Roman"/>
          <w:lang w:val="id-ID"/>
        </w:rPr>
        <w:t xml:space="preserve">dan </w:t>
      </w:r>
      <w:r w:rsidRPr="0035519F">
        <w:rPr>
          <w:rFonts w:eastAsia="Times New Roman"/>
        </w:rPr>
        <w:t xml:space="preserve">warna yang terbentuk dibaca pada panjang gelombang </w:t>
      </w:r>
      <w:r w:rsidRPr="0035519F">
        <w:rPr>
          <w:rFonts w:eastAsia="Times New Roman"/>
          <w:lang w:val="id-ID"/>
        </w:rPr>
        <w:t>450 nm.</w:t>
      </w:r>
      <w:r w:rsidRPr="0035519F">
        <w:rPr>
          <w:lang w:val="id-ID"/>
        </w:rPr>
        <w:t xml:space="preserve"> </w:t>
      </w:r>
    </w:p>
    <w:p w14:paraId="282745F8" w14:textId="77777777" w:rsidR="007757AB" w:rsidRPr="0035519F" w:rsidRDefault="007757AB" w:rsidP="00B124CB">
      <w:pPr>
        <w:pStyle w:val="ListParagraph"/>
        <w:widowControl w:val="0"/>
        <w:numPr>
          <w:ilvl w:val="0"/>
          <w:numId w:val="20"/>
        </w:numPr>
        <w:tabs>
          <w:tab w:val="left" w:pos="1985"/>
        </w:tabs>
        <w:autoSpaceDE w:val="0"/>
        <w:autoSpaceDN w:val="0"/>
        <w:spacing w:after="0" w:line="240" w:lineRule="auto"/>
        <w:ind w:left="993"/>
        <w:rPr>
          <w:rFonts w:ascii="Arial" w:hAnsi="Arial" w:cs="Arial"/>
          <w:sz w:val="24"/>
        </w:rPr>
      </w:pPr>
      <w:r w:rsidRPr="0035519F">
        <w:rPr>
          <w:rFonts w:ascii="Arial" w:hAnsi="Arial" w:cs="Arial"/>
          <w:sz w:val="24"/>
        </w:rPr>
        <w:t>Cara</w:t>
      </w:r>
      <w:r w:rsidRPr="0035519F">
        <w:rPr>
          <w:rFonts w:ascii="Arial" w:hAnsi="Arial" w:cs="Arial"/>
          <w:spacing w:val="-1"/>
          <w:sz w:val="24"/>
        </w:rPr>
        <w:t xml:space="preserve"> </w:t>
      </w:r>
      <w:r w:rsidRPr="0035519F">
        <w:rPr>
          <w:rFonts w:ascii="Arial" w:hAnsi="Arial" w:cs="Arial"/>
          <w:sz w:val="24"/>
        </w:rPr>
        <w:t>Kerja</w:t>
      </w:r>
    </w:p>
    <w:p w14:paraId="05B404FA" w14:textId="77777777" w:rsidR="007757AB" w:rsidRPr="0035519F" w:rsidRDefault="007757AB" w:rsidP="007757AB">
      <w:pPr>
        <w:pStyle w:val="BodyText"/>
        <w:spacing w:before="1"/>
        <w:rPr>
          <w:lang w:val="id-ID"/>
        </w:rPr>
      </w:pPr>
    </w:p>
    <w:p w14:paraId="662FA20A" w14:textId="77777777" w:rsidR="007757AB" w:rsidRPr="0035519F" w:rsidRDefault="007757AB"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Semua bahan dan sampel ditempatkan pada suhu</w:t>
      </w:r>
      <w:r w:rsidRPr="0035519F">
        <w:rPr>
          <w:rFonts w:ascii="Arial" w:hAnsi="Arial" w:cs="Arial"/>
          <w:spacing w:val="-11"/>
          <w:sz w:val="24"/>
        </w:rPr>
        <w:t xml:space="preserve"> </w:t>
      </w:r>
      <w:r w:rsidRPr="0035519F">
        <w:rPr>
          <w:rFonts w:ascii="Arial" w:hAnsi="Arial" w:cs="Arial"/>
          <w:sz w:val="24"/>
        </w:rPr>
        <w:t>ruang</w:t>
      </w:r>
    </w:p>
    <w:p w14:paraId="4C6854D1" w14:textId="77777777" w:rsidR="00297EB7" w:rsidRPr="0035519F" w:rsidRDefault="00297EB7"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 xml:space="preserve">Ditambahkan 80 µL </w:t>
      </w:r>
      <w:r w:rsidRPr="0035519F">
        <w:rPr>
          <w:rFonts w:ascii="Arial" w:hAnsi="Arial" w:cs="Arial"/>
          <w:i/>
          <w:sz w:val="24"/>
        </w:rPr>
        <w:t xml:space="preserve">Antibody Conjugate </w:t>
      </w:r>
      <w:r w:rsidRPr="0035519F">
        <w:rPr>
          <w:rFonts w:ascii="Arial" w:hAnsi="Arial" w:cs="Arial"/>
          <w:sz w:val="24"/>
        </w:rPr>
        <w:t>ke semua well</w:t>
      </w:r>
    </w:p>
    <w:p w14:paraId="598AA114" w14:textId="77777777" w:rsidR="007757AB" w:rsidRPr="0035519F" w:rsidRDefault="00297EB7"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Ditambahkan 20 µL kalibrator</w:t>
      </w:r>
      <w:r w:rsidR="007757AB" w:rsidRPr="0035519F">
        <w:rPr>
          <w:rFonts w:ascii="Arial" w:hAnsi="Arial" w:cs="Arial"/>
          <w:sz w:val="24"/>
        </w:rPr>
        <w:t xml:space="preserve"> ke </w:t>
      </w:r>
      <w:r w:rsidR="007757AB" w:rsidRPr="0035519F">
        <w:rPr>
          <w:rFonts w:ascii="Arial" w:hAnsi="Arial" w:cs="Arial"/>
          <w:i/>
          <w:sz w:val="24"/>
        </w:rPr>
        <w:t xml:space="preserve">well </w:t>
      </w:r>
      <w:r w:rsidR="007757AB" w:rsidRPr="0035519F">
        <w:rPr>
          <w:rFonts w:ascii="Arial" w:hAnsi="Arial" w:cs="Arial"/>
          <w:sz w:val="24"/>
        </w:rPr>
        <w:t>untuk</w:t>
      </w:r>
      <w:r w:rsidR="007757AB" w:rsidRPr="0035519F">
        <w:rPr>
          <w:rFonts w:ascii="Arial" w:hAnsi="Arial" w:cs="Arial"/>
          <w:spacing w:val="-2"/>
          <w:sz w:val="24"/>
        </w:rPr>
        <w:t xml:space="preserve"> </w:t>
      </w:r>
      <w:r w:rsidRPr="0035519F">
        <w:rPr>
          <w:rFonts w:ascii="Arial" w:hAnsi="Arial" w:cs="Arial"/>
          <w:sz w:val="24"/>
        </w:rPr>
        <w:t>kalibrator</w:t>
      </w:r>
    </w:p>
    <w:p w14:paraId="36525D39" w14:textId="77777777" w:rsidR="00297EB7" w:rsidRPr="0035519F" w:rsidRDefault="00297EB7" w:rsidP="00297EB7">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 xml:space="preserve">Ditambahkan 20 µL kontrol ke </w:t>
      </w:r>
      <w:r w:rsidRPr="0035519F">
        <w:rPr>
          <w:rFonts w:ascii="Arial" w:hAnsi="Arial" w:cs="Arial"/>
          <w:i/>
          <w:sz w:val="24"/>
        </w:rPr>
        <w:t xml:space="preserve">well </w:t>
      </w:r>
      <w:r w:rsidRPr="0035519F">
        <w:rPr>
          <w:rFonts w:ascii="Arial" w:hAnsi="Arial" w:cs="Arial"/>
          <w:sz w:val="24"/>
        </w:rPr>
        <w:t>untuk</w:t>
      </w:r>
      <w:r w:rsidRPr="0035519F">
        <w:rPr>
          <w:rFonts w:ascii="Arial" w:hAnsi="Arial" w:cs="Arial"/>
          <w:spacing w:val="-2"/>
          <w:sz w:val="24"/>
        </w:rPr>
        <w:t xml:space="preserve"> </w:t>
      </w:r>
      <w:r w:rsidRPr="0035519F">
        <w:rPr>
          <w:rFonts w:ascii="Arial" w:hAnsi="Arial" w:cs="Arial"/>
          <w:sz w:val="24"/>
        </w:rPr>
        <w:t>kontrol</w:t>
      </w:r>
    </w:p>
    <w:p w14:paraId="10CF2F33" w14:textId="77777777" w:rsidR="007757AB" w:rsidRPr="0035519F" w:rsidRDefault="00297EB7"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Ditambahkan 2</w:t>
      </w:r>
      <w:r w:rsidR="007757AB" w:rsidRPr="0035519F">
        <w:rPr>
          <w:rFonts w:ascii="Arial" w:hAnsi="Arial" w:cs="Arial"/>
          <w:sz w:val="24"/>
        </w:rPr>
        <w:t xml:space="preserve">0 </w:t>
      </w:r>
      <w:r w:rsidR="007757AB" w:rsidRPr="0035519F">
        <w:rPr>
          <w:rFonts w:ascii="Arial" w:hAnsi="Arial" w:cs="Arial"/>
          <w:spacing w:val="2"/>
          <w:sz w:val="24"/>
        </w:rPr>
        <w:t xml:space="preserve">µL </w:t>
      </w:r>
      <w:r w:rsidR="007757AB" w:rsidRPr="0035519F">
        <w:rPr>
          <w:rFonts w:ascii="Arial" w:hAnsi="Arial" w:cs="Arial"/>
          <w:sz w:val="24"/>
        </w:rPr>
        <w:t xml:space="preserve">sampel ke </w:t>
      </w:r>
      <w:r w:rsidR="007757AB" w:rsidRPr="0035519F">
        <w:rPr>
          <w:rFonts w:ascii="Arial" w:hAnsi="Arial" w:cs="Arial"/>
          <w:i/>
          <w:sz w:val="24"/>
        </w:rPr>
        <w:t xml:space="preserve">well </w:t>
      </w:r>
      <w:r w:rsidR="007757AB" w:rsidRPr="0035519F">
        <w:rPr>
          <w:rFonts w:ascii="Arial" w:hAnsi="Arial" w:cs="Arial"/>
          <w:sz w:val="24"/>
        </w:rPr>
        <w:t xml:space="preserve">untuk sampel </w:t>
      </w:r>
    </w:p>
    <w:p w14:paraId="775262AF" w14:textId="77777777" w:rsidR="00297EB7" w:rsidRPr="0035519F" w:rsidRDefault="00297EB7"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rPr>
        <w:t>Tutup well dengan sealer kemudian dilakukan inkubasi selama 1 jam pada suhu 20-25</w:t>
      </w:r>
      <w:r w:rsidRPr="0035519F">
        <w:rPr>
          <w:rFonts w:ascii="Arial" w:hAnsi="Arial" w:cs="Arial"/>
          <w:sz w:val="24"/>
          <w:vertAlign w:val="superscript"/>
        </w:rPr>
        <w:t>o</w:t>
      </w:r>
      <w:r w:rsidRPr="0035519F">
        <w:rPr>
          <w:rFonts w:ascii="Arial" w:hAnsi="Arial" w:cs="Arial"/>
          <w:sz w:val="24"/>
        </w:rPr>
        <w:t>C dengan putaran 350 rpm</w:t>
      </w:r>
    </w:p>
    <w:p w14:paraId="2EA0C564" w14:textId="77777777" w:rsidR="007757AB" w:rsidRPr="0035519F" w:rsidRDefault="007757AB"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i/>
          <w:sz w:val="24"/>
          <w:szCs w:val="24"/>
        </w:rPr>
        <w:t>Seale</w:t>
      </w:r>
      <w:r w:rsidRPr="0035519F">
        <w:rPr>
          <w:rFonts w:ascii="Arial" w:hAnsi="Arial" w:cs="Arial"/>
          <w:sz w:val="24"/>
          <w:szCs w:val="24"/>
        </w:rPr>
        <w:t xml:space="preserve">r dilepaskan dan dilakukan pencucian </w:t>
      </w:r>
      <w:r w:rsidRPr="0035519F">
        <w:rPr>
          <w:rFonts w:ascii="Arial" w:hAnsi="Arial" w:cs="Arial"/>
          <w:i/>
          <w:sz w:val="24"/>
          <w:szCs w:val="24"/>
        </w:rPr>
        <w:t>plate</w:t>
      </w:r>
      <w:r w:rsidRPr="0035519F">
        <w:rPr>
          <w:rFonts w:ascii="Arial" w:hAnsi="Arial" w:cs="Arial"/>
          <w:i/>
          <w:spacing w:val="24"/>
          <w:sz w:val="24"/>
          <w:szCs w:val="24"/>
        </w:rPr>
        <w:t xml:space="preserve"> </w:t>
      </w:r>
      <w:r w:rsidRPr="0035519F">
        <w:rPr>
          <w:rFonts w:ascii="Arial" w:hAnsi="Arial" w:cs="Arial"/>
          <w:sz w:val="24"/>
          <w:szCs w:val="24"/>
        </w:rPr>
        <w:t xml:space="preserve">sebanyak 5 </w:t>
      </w:r>
      <w:r w:rsidR="00297EB7" w:rsidRPr="0035519F">
        <w:rPr>
          <w:rFonts w:ascii="Arial" w:hAnsi="Arial" w:cs="Arial"/>
          <w:sz w:val="24"/>
          <w:szCs w:val="24"/>
        </w:rPr>
        <w:t>kali. Pencucian menggunakan 300</w:t>
      </w:r>
      <w:r w:rsidR="00297EB7" w:rsidRPr="0035519F">
        <w:rPr>
          <w:rFonts w:ascii="Arial" w:hAnsi="Arial" w:cs="Arial"/>
          <w:spacing w:val="2"/>
          <w:sz w:val="24"/>
        </w:rPr>
        <w:t xml:space="preserve"> µL</w:t>
      </w:r>
      <w:r w:rsidRPr="0035519F">
        <w:rPr>
          <w:rFonts w:ascii="Arial" w:hAnsi="Arial" w:cs="Arial"/>
          <w:sz w:val="24"/>
          <w:szCs w:val="24"/>
        </w:rPr>
        <w:t xml:space="preserve"> </w:t>
      </w:r>
      <w:r w:rsidRPr="0035519F">
        <w:rPr>
          <w:rFonts w:ascii="Arial" w:hAnsi="Arial" w:cs="Arial"/>
          <w:i/>
          <w:sz w:val="24"/>
          <w:szCs w:val="24"/>
        </w:rPr>
        <w:t xml:space="preserve">wash </w:t>
      </w:r>
      <w:r w:rsidRPr="0035519F">
        <w:rPr>
          <w:rFonts w:ascii="Arial" w:hAnsi="Arial" w:cs="Arial"/>
          <w:sz w:val="24"/>
          <w:szCs w:val="24"/>
        </w:rPr>
        <w:t xml:space="preserve">buffer </w:t>
      </w:r>
      <w:r w:rsidR="000E7219" w:rsidRPr="0035519F">
        <w:rPr>
          <w:rFonts w:ascii="Arial" w:hAnsi="Arial" w:cs="Arial"/>
          <w:sz w:val="24"/>
          <w:szCs w:val="24"/>
        </w:rPr>
        <w:t xml:space="preserve">pada masing-masing </w:t>
      </w:r>
      <w:r w:rsidR="000E7219" w:rsidRPr="0035519F">
        <w:rPr>
          <w:rFonts w:ascii="Arial" w:hAnsi="Arial" w:cs="Arial"/>
          <w:i/>
          <w:sz w:val="24"/>
          <w:szCs w:val="24"/>
        </w:rPr>
        <w:t>well</w:t>
      </w:r>
      <w:r w:rsidRPr="0035519F">
        <w:rPr>
          <w:rFonts w:ascii="Arial" w:hAnsi="Arial" w:cs="Arial"/>
          <w:sz w:val="24"/>
          <w:szCs w:val="24"/>
        </w:rPr>
        <w:t xml:space="preserve">. </w:t>
      </w:r>
    </w:p>
    <w:p w14:paraId="68C163DE" w14:textId="77777777" w:rsidR="000E7219" w:rsidRPr="0035519F" w:rsidRDefault="000E7219"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szCs w:val="24"/>
        </w:rPr>
        <w:t>Ditambahkan Enzyme Conjugate 100</w:t>
      </w:r>
      <w:r w:rsidRPr="0035519F">
        <w:rPr>
          <w:rFonts w:ascii="Arial" w:hAnsi="Arial" w:cs="Arial"/>
          <w:spacing w:val="2"/>
          <w:sz w:val="24"/>
        </w:rPr>
        <w:t xml:space="preserve"> µL pada masing-masing well, tutup dengan sealer dan dilakukan inkubasi selama 30 menit pada suhu </w:t>
      </w:r>
      <w:r w:rsidRPr="0035519F">
        <w:rPr>
          <w:rFonts w:ascii="Arial" w:hAnsi="Arial" w:cs="Arial"/>
          <w:sz w:val="24"/>
        </w:rPr>
        <w:t>20-25</w:t>
      </w:r>
      <w:r w:rsidRPr="0035519F">
        <w:rPr>
          <w:rFonts w:ascii="Arial" w:hAnsi="Arial" w:cs="Arial"/>
          <w:sz w:val="24"/>
          <w:vertAlign w:val="superscript"/>
        </w:rPr>
        <w:t>o</w:t>
      </w:r>
      <w:r w:rsidRPr="0035519F">
        <w:rPr>
          <w:rFonts w:ascii="Arial" w:hAnsi="Arial" w:cs="Arial"/>
          <w:sz w:val="24"/>
        </w:rPr>
        <w:t>C dengan putaran 350 rpm.</w:t>
      </w:r>
    </w:p>
    <w:p w14:paraId="5E2133FB" w14:textId="77777777" w:rsidR="000E7219" w:rsidRPr="0035519F" w:rsidRDefault="000E7219" w:rsidP="000E7219">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i/>
          <w:sz w:val="24"/>
          <w:szCs w:val="24"/>
        </w:rPr>
        <w:t>Seale</w:t>
      </w:r>
      <w:r w:rsidRPr="0035519F">
        <w:rPr>
          <w:rFonts w:ascii="Arial" w:hAnsi="Arial" w:cs="Arial"/>
          <w:sz w:val="24"/>
          <w:szCs w:val="24"/>
        </w:rPr>
        <w:t xml:space="preserve">r dilepaskan dan dilakukan pencucian </w:t>
      </w:r>
      <w:r w:rsidRPr="0035519F">
        <w:rPr>
          <w:rFonts w:ascii="Arial" w:hAnsi="Arial" w:cs="Arial"/>
          <w:i/>
          <w:sz w:val="24"/>
          <w:szCs w:val="24"/>
        </w:rPr>
        <w:t>plate</w:t>
      </w:r>
      <w:r w:rsidRPr="0035519F">
        <w:rPr>
          <w:rFonts w:ascii="Arial" w:hAnsi="Arial" w:cs="Arial"/>
          <w:i/>
          <w:spacing w:val="24"/>
          <w:sz w:val="24"/>
          <w:szCs w:val="24"/>
        </w:rPr>
        <w:t xml:space="preserve"> </w:t>
      </w:r>
      <w:r w:rsidRPr="0035519F">
        <w:rPr>
          <w:rFonts w:ascii="Arial" w:hAnsi="Arial" w:cs="Arial"/>
          <w:sz w:val="24"/>
          <w:szCs w:val="24"/>
        </w:rPr>
        <w:t>sebanyak 5 kali. Pencucian menggunakan 300</w:t>
      </w:r>
      <w:r w:rsidRPr="0035519F">
        <w:rPr>
          <w:rFonts w:ascii="Arial" w:hAnsi="Arial" w:cs="Arial"/>
          <w:spacing w:val="2"/>
          <w:sz w:val="24"/>
        </w:rPr>
        <w:t xml:space="preserve"> µL</w:t>
      </w:r>
      <w:r w:rsidRPr="0035519F">
        <w:rPr>
          <w:rFonts w:ascii="Arial" w:hAnsi="Arial" w:cs="Arial"/>
          <w:sz w:val="24"/>
          <w:szCs w:val="24"/>
        </w:rPr>
        <w:t xml:space="preserve"> </w:t>
      </w:r>
      <w:r w:rsidRPr="0035519F">
        <w:rPr>
          <w:rFonts w:ascii="Arial" w:hAnsi="Arial" w:cs="Arial"/>
          <w:i/>
          <w:sz w:val="24"/>
          <w:szCs w:val="24"/>
        </w:rPr>
        <w:t xml:space="preserve">wash </w:t>
      </w:r>
      <w:r w:rsidRPr="0035519F">
        <w:rPr>
          <w:rFonts w:ascii="Arial" w:hAnsi="Arial" w:cs="Arial"/>
          <w:sz w:val="24"/>
          <w:szCs w:val="24"/>
        </w:rPr>
        <w:t xml:space="preserve">buffer pada masing-masing </w:t>
      </w:r>
      <w:r w:rsidRPr="0035519F">
        <w:rPr>
          <w:rFonts w:ascii="Arial" w:hAnsi="Arial" w:cs="Arial"/>
          <w:i/>
          <w:sz w:val="24"/>
          <w:szCs w:val="24"/>
        </w:rPr>
        <w:t>well</w:t>
      </w:r>
      <w:r w:rsidRPr="0035519F">
        <w:rPr>
          <w:rFonts w:ascii="Arial" w:hAnsi="Arial" w:cs="Arial"/>
          <w:sz w:val="24"/>
          <w:szCs w:val="24"/>
        </w:rPr>
        <w:t xml:space="preserve">. </w:t>
      </w:r>
    </w:p>
    <w:p w14:paraId="3AD41972" w14:textId="77777777" w:rsidR="007757AB" w:rsidRPr="0035519F" w:rsidRDefault="007757AB"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szCs w:val="24"/>
        </w:rPr>
        <w:t xml:space="preserve">Ditambahkan </w:t>
      </w:r>
      <w:r w:rsidR="000E7219" w:rsidRPr="0035519F">
        <w:rPr>
          <w:rFonts w:ascii="Arial" w:hAnsi="Arial" w:cs="Arial"/>
          <w:sz w:val="24"/>
          <w:szCs w:val="24"/>
        </w:rPr>
        <w:t>10</w:t>
      </w:r>
      <w:r w:rsidRPr="0035519F">
        <w:rPr>
          <w:rFonts w:ascii="Arial" w:hAnsi="Arial" w:cs="Arial"/>
          <w:sz w:val="24"/>
          <w:szCs w:val="24"/>
        </w:rPr>
        <w:t xml:space="preserve">0 </w:t>
      </w:r>
      <w:r w:rsidR="000E7219" w:rsidRPr="0035519F">
        <w:rPr>
          <w:rFonts w:ascii="Arial" w:hAnsi="Arial" w:cs="Arial"/>
          <w:spacing w:val="2"/>
          <w:sz w:val="24"/>
          <w:szCs w:val="24"/>
        </w:rPr>
        <w:t xml:space="preserve">µL </w:t>
      </w:r>
      <w:r w:rsidR="000E7219" w:rsidRPr="0035519F">
        <w:rPr>
          <w:rFonts w:ascii="Arial" w:hAnsi="Arial" w:cs="Arial"/>
          <w:i/>
          <w:spacing w:val="2"/>
          <w:sz w:val="24"/>
          <w:szCs w:val="24"/>
        </w:rPr>
        <w:t>Substrate</w:t>
      </w:r>
      <w:r w:rsidRPr="0035519F">
        <w:rPr>
          <w:rFonts w:ascii="Arial" w:hAnsi="Arial" w:cs="Arial"/>
          <w:spacing w:val="2"/>
          <w:sz w:val="24"/>
          <w:szCs w:val="24"/>
        </w:rPr>
        <w:t xml:space="preserve"> </w:t>
      </w:r>
      <w:r w:rsidRPr="0035519F">
        <w:rPr>
          <w:rFonts w:ascii="Arial" w:hAnsi="Arial" w:cs="Arial"/>
          <w:sz w:val="24"/>
          <w:szCs w:val="24"/>
        </w:rPr>
        <w:t xml:space="preserve">ke setiap </w:t>
      </w:r>
      <w:r w:rsidRPr="0035519F">
        <w:rPr>
          <w:rFonts w:ascii="Arial" w:hAnsi="Arial" w:cs="Arial"/>
          <w:i/>
          <w:sz w:val="24"/>
          <w:szCs w:val="24"/>
        </w:rPr>
        <w:t>well</w:t>
      </w:r>
      <w:r w:rsidRPr="0035519F">
        <w:rPr>
          <w:rFonts w:ascii="Arial" w:hAnsi="Arial" w:cs="Arial"/>
          <w:sz w:val="24"/>
          <w:szCs w:val="24"/>
        </w:rPr>
        <w:t xml:space="preserve">. </w:t>
      </w:r>
      <w:r w:rsidRPr="0035519F">
        <w:rPr>
          <w:rFonts w:ascii="Arial" w:hAnsi="Arial" w:cs="Arial"/>
          <w:i/>
          <w:sz w:val="24"/>
          <w:szCs w:val="24"/>
        </w:rPr>
        <w:t xml:space="preserve">Plate </w:t>
      </w:r>
      <w:r w:rsidRPr="0035519F">
        <w:rPr>
          <w:rFonts w:ascii="Arial" w:hAnsi="Arial" w:cs="Arial"/>
          <w:sz w:val="24"/>
          <w:szCs w:val="24"/>
        </w:rPr>
        <w:t xml:space="preserve">ditutup dengan </w:t>
      </w:r>
      <w:r w:rsidRPr="0035519F">
        <w:rPr>
          <w:rFonts w:ascii="Arial" w:hAnsi="Arial" w:cs="Arial"/>
          <w:i/>
          <w:sz w:val="24"/>
          <w:szCs w:val="24"/>
        </w:rPr>
        <w:t xml:space="preserve">sealer </w:t>
      </w:r>
      <w:r w:rsidRPr="0035519F">
        <w:rPr>
          <w:rFonts w:ascii="Arial" w:hAnsi="Arial" w:cs="Arial"/>
          <w:sz w:val="24"/>
          <w:szCs w:val="24"/>
        </w:rPr>
        <w:t xml:space="preserve">yang </w:t>
      </w:r>
      <w:r w:rsidR="000E7219" w:rsidRPr="0035519F">
        <w:rPr>
          <w:rFonts w:ascii="Arial" w:hAnsi="Arial" w:cs="Arial"/>
          <w:sz w:val="24"/>
          <w:szCs w:val="24"/>
        </w:rPr>
        <w:t>baru dan diinkubasikan selama 15 menit pada suhu 20-25</w:t>
      </w:r>
      <w:r w:rsidRPr="0035519F">
        <w:rPr>
          <w:rFonts w:ascii="Arial" w:hAnsi="Arial" w:cs="Arial"/>
          <w:position w:val="8"/>
          <w:sz w:val="24"/>
          <w:szCs w:val="24"/>
          <w:vertAlign w:val="superscript"/>
        </w:rPr>
        <w:t>o</w:t>
      </w:r>
      <w:r w:rsidRPr="0035519F">
        <w:rPr>
          <w:rFonts w:ascii="Arial" w:hAnsi="Arial" w:cs="Arial"/>
          <w:sz w:val="24"/>
          <w:szCs w:val="24"/>
        </w:rPr>
        <w:t>C pada tempat yang</w:t>
      </w:r>
      <w:r w:rsidRPr="0035519F">
        <w:rPr>
          <w:rFonts w:ascii="Arial" w:hAnsi="Arial" w:cs="Arial"/>
          <w:spacing w:val="-13"/>
          <w:sz w:val="24"/>
          <w:szCs w:val="24"/>
        </w:rPr>
        <w:t xml:space="preserve"> </w:t>
      </w:r>
      <w:r w:rsidRPr="0035519F">
        <w:rPr>
          <w:rFonts w:ascii="Arial" w:hAnsi="Arial" w:cs="Arial"/>
          <w:sz w:val="24"/>
          <w:szCs w:val="24"/>
        </w:rPr>
        <w:t xml:space="preserve">gelap. </w:t>
      </w:r>
    </w:p>
    <w:p w14:paraId="75E10E84" w14:textId="77777777" w:rsidR="007757AB" w:rsidRPr="0035519F" w:rsidRDefault="007757AB" w:rsidP="00B124CB">
      <w:pPr>
        <w:pStyle w:val="ListParagraph"/>
        <w:widowControl w:val="0"/>
        <w:numPr>
          <w:ilvl w:val="0"/>
          <w:numId w:val="21"/>
        </w:numPr>
        <w:tabs>
          <w:tab w:val="left" w:pos="2268"/>
        </w:tabs>
        <w:autoSpaceDE w:val="0"/>
        <w:autoSpaceDN w:val="0"/>
        <w:spacing w:after="0" w:line="480" w:lineRule="auto"/>
        <w:ind w:left="1276" w:hanging="284"/>
        <w:jc w:val="both"/>
        <w:rPr>
          <w:rFonts w:ascii="Arial" w:hAnsi="Arial" w:cs="Arial"/>
          <w:sz w:val="24"/>
        </w:rPr>
      </w:pPr>
      <w:r w:rsidRPr="0035519F">
        <w:rPr>
          <w:rFonts w:ascii="Arial" w:hAnsi="Arial" w:cs="Arial"/>
          <w:sz w:val="24"/>
          <w:szCs w:val="24"/>
        </w:rPr>
        <w:lastRenderedPageBreak/>
        <w:t xml:space="preserve">Ditambahkan 50 µL </w:t>
      </w:r>
      <w:r w:rsidRPr="0035519F">
        <w:rPr>
          <w:rFonts w:ascii="Arial" w:hAnsi="Arial" w:cs="Arial"/>
          <w:i/>
          <w:sz w:val="24"/>
          <w:szCs w:val="24"/>
        </w:rPr>
        <w:t xml:space="preserve">stop solution </w:t>
      </w:r>
      <w:r w:rsidRPr="0035519F">
        <w:rPr>
          <w:rFonts w:ascii="Arial" w:hAnsi="Arial" w:cs="Arial"/>
          <w:sz w:val="24"/>
          <w:szCs w:val="24"/>
        </w:rPr>
        <w:t xml:space="preserve">pada setiap </w:t>
      </w:r>
      <w:r w:rsidRPr="0035519F">
        <w:rPr>
          <w:rFonts w:ascii="Arial" w:hAnsi="Arial" w:cs="Arial"/>
          <w:i/>
          <w:sz w:val="24"/>
          <w:szCs w:val="24"/>
        </w:rPr>
        <w:t xml:space="preserve">well </w:t>
      </w:r>
      <w:r w:rsidR="00A77FCB" w:rsidRPr="0035519F">
        <w:rPr>
          <w:rFonts w:ascii="Arial" w:hAnsi="Arial" w:cs="Arial"/>
          <w:sz w:val="24"/>
          <w:szCs w:val="24"/>
        </w:rPr>
        <w:t>dan hasil dibaca</w:t>
      </w:r>
      <w:r w:rsidRPr="0035519F">
        <w:rPr>
          <w:rFonts w:ascii="Arial" w:hAnsi="Arial" w:cs="Arial"/>
          <w:sz w:val="24"/>
          <w:szCs w:val="24"/>
        </w:rPr>
        <w:t xml:space="preserve"> pada panjang gelombang 450 nm dalam waktu 10 menit setelah pemberian </w:t>
      </w:r>
      <w:r w:rsidRPr="0035519F">
        <w:rPr>
          <w:rFonts w:ascii="Arial" w:hAnsi="Arial" w:cs="Arial"/>
          <w:i/>
          <w:sz w:val="24"/>
          <w:szCs w:val="24"/>
        </w:rPr>
        <w:t>stop</w:t>
      </w:r>
      <w:r w:rsidRPr="0035519F">
        <w:rPr>
          <w:rFonts w:ascii="Arial" w:hAnsi="Arial" w:cs="Arial"/>
          <w:i/>
          <w:spacing w:val="-3"/>
          <w:sz w:val="24"/>
          <w:szCs w:val="24"/>
        </w:rPr>
        <w:t xml:space="preserve"> </w:t>
      </w:r>
      <w:r w:rsidRPr="0035519F">
        <w:rPr>
          <w:rFonts w:ascii="Arial" w:hAnsi="Arial" w:cs="Arial"/>
          <w:i/>
          <w:sz w:val="24"/>
          <w:szCs w:val="24"/>
        </w:rPr>
        <w:t>solution</w:t>
      </w:r>
      <w:r w:rsidRPr="0035519F">
        <w:rPr>
          <w:rFonts w:ascii="Arial" w:hAnsi="Arial" w:cs="Arial"/>
          <w:sz w:val="24"/>
          <w:szCs w:val="24"/>
        </w:rPr>
        <w:t>.</w:t>
      </w:r>
    </w:p>
    <w:p w14:paraId="55F6D191" w14:textId="187A5415" w:rsidR="007757AB" w:rsidRPr="0035519F" w:rsidRDefault="007757AB" w:rsidP="00B124CB">
      <w:pPr>
        <w:pStyle w:val="NoSpacing"/>
        <w:numPr>
          <w:ilvl w:val="1"/>
          <w:numId w:val="16"/>
        </w:numPr>
        <w:tabs>
          <w:tab w:val="left" w:pos="709"/>
        </w:tabs>
        <w:spacing w:line="480" w:lineRule="auto"/>
        <w:ind w:left="709"/>
        <w:jc w:val="both"/>
        <w:rPr>
          <w:rFonts w:ascii="Arial" w:hAnsi="Arial" w:cs="Arial"/>
          <w:b/>
          <w:sz w:val="24"/>
          <w:szCs w:val="24"/>
        </w:rPr>
      </w:pPr>
      <w:r w:rsidRPr="0035519F">
        <w:rPr>
          <w:rFonts w:ascii="Arial" w:hAnsi="Arial" w:cs="Arial"/>
          <w:b/>
          <w:sz w:val="24"/>
          <w:szCs w:val="24"/>
        </w:rPr>
        <w:t xml:space="preserve">Tahapan Pasca Analitik </w:t>
      </w:r>
      <w:r w:rsidRPr="0035519F">
        <w:rPr>
          <w:rFonts w:ascii="Arial" w:hAnsi="Arial" w:cs="Arial"/>
          <w:b/>
          <w:sz w:val="24"/>
          <w:szCs w:val="24"/>
        </w:rPr>
        <w:fldChar w:fldCharType="begin" w:fldLock="1"/>
      </w:r>
      <w:r w:rsidR="00B71A29" w:rsidRPr="0035519F">
        <w:rPr>
          <w:rFonts w:ascii="Arial" w:hAnsi="Arial" w:cs="Arial"/>
          <w:b/>
          <w:sz w:val="24"/>
          <w:szCs w:val="24"/>
        </w:rPr>
        <w:instrText>ADDIN CSL_CITATION {"citationItems":[{"id":"ITEM-1","itemData":{"author":[{"dropping-particle":"","family":"Demeditec Diagnostics","given":"GmbH","non-dropping-particle":"","parse-names":false,"suffix":""}],"id":"ITEM-1","issued":{"date-parts":[["2022"]]},"title":"IGF-I ELISA - DEE020 - Demeditec Diagnostics GmbH","type":"article"},"uris":["http://www.mendeley.com/documents/?uuid=1d1718af-f969-3c5b-bc6d-0b4c9788a3cb"]}],"mendeley":{"formattedCitation":"(Demeditec Diagnostics, 2022)","plainTextFormattedCitation":"(Demeditec Diagnostics, 2022)","previouslyFormattedCitation":"(Demeditec Diagnostics, 2022)"},"properties":{"noteIndex":0},"schema":"https://github.com/citation-style-language/schema/raw/master/csl-citation.json"}</w:instrText>
      </w:r>
      <w:r w:rsidRPr="0035519F">
        <w:rPr>
          <w:rFonts w:ascii="Arial" w:hAnsi="Arial" w:cs="Arial"/>
          <w:b/>
          <w:sz w:val="24"/>
          <w:szCs w:val="24"/>
        </w:rPr>
        <w:fldChar w:fldCharType="separate"/>
      </w:r>
      <w:r w:rsidR="000E7219" w:rsidRPr="0035519F">
        <w:rPr>
          <w:rFonts w:ascii="Arial" w:hAnsi="Arial" w:cs="Arial"/>
          <w:noProof/>
          <w:sz w:val="24"/>
          <w:szCs w:val="24"/>
        </w:rPr>
        <w:t>(Demeditec Diagnostics, 2022)</w:t>
      </w:r>
      <w:r w:rsidRPr="0035519F">
        <w:rPr>
          <w:rFonts w:ascii="Arial" w:hAnsi="Arial" w:cs="Arial"/>
          <w:b/>
          <w:sz w:val="24"/>
          <w:szCs w:val="24"/>
        </w:rPr>
        <w:fldChar w:fldCharType="end"/>
      </w:r>
    </w:p>
    <w:p w14:paraId="78D28C00" w14:textId="77777777" w:rsidR="00B5006B" w:rsidRPr="0035519F" w:rsidRDefault="007757AB" w:rsidP="00A53569">
      <w:pPr>
        <w:pStyle w:val="BodyText"/>
        <w:ind w:left="720"/>
      </w:pPr>
      <w:r w:rsidRPr="0035519F">
        <w:rPr>
          <w:lang w:val="id-ID"/>
        </w:rPr>
        <w:t>Limitasi reagen</w:t>
      </w:r>
      <w:r w:rsidR="00E64E0A" w:rsidRPr="0035519F">
        <w:rPr>
          <w:lang w:val="id-ID"/>
        </w:rPr>
        <w:t>:</w:t>
      </w:r>
      <w:r w:rsidRPr="0035519F">
        <w:rPr>
          <w:lang w:val="id-ID"/>
        </w:rPr>
        <w:t xml:space="preserve"> </w:t>
      </w:r>
      <w:r w:rsidR="0076310D" w:rsidRPr="0035519F">
        <w:t>0,09-1050 n</w:t>
      </w:r>
      <w:r w:rsidR="002B0CE6" w:rsidRPr="0035519F">
        <w:t>g /</w:t>
      </w:r>
      <w:r w:rsidR="0076310D" w:rsidRPr="0035519F">
        <w:t>m</w:t>
      </w:r>
      <w:r w:rsidR="002B0CE6" w:rsidRPr="0035519F">
        <w:t xml:space="preserve">L </w:t>
      </w:r>
    </w:p>
    <w:p w14:paraId="4051E485" w14:textId="77777777" w:rsidR="007757AB" w:rsidRPr="0035519F" w:rsidRDefault="007757AB" w:rsidP="007757AB">
      <w:pPr>
        <w:pStyle w:val="BodyText"/>
        <w:ind w:left="709" w:firstLine="425"/>
      </w:pPr>
    </w:p>
    <w:p w14:paraId="20B89A5C" w14:textId="77777777" w:rsidR="007757AB" w:rsidRPr="0035519F" w:rsidRDefault="007757AB" w:rsidP="007757AB">
      <w:pPr>
        <w:pStyle w:val="BodyText"/>
        <w:ind w:left="709" w:firstLine="425"/>
      </w:pPr>
    </w:p>
    <w:p w14:paraId="65067F4E" w14:textId="77777777" w:rsidR="007757AB" w:rsidRPr="0035519F" w:rsidRDefault="007757AB" w:rsidP="007757AB">
      <w:pPr>
        <w:pStyle w:val="ListParagraph"/>
        <w:numPr>
          <w:ilvl w:val="2"/>
          <w:numId w:val="1"/>
        </w:numPr>
        <w:spacing w:before="240" w:line="480" w:lineRule="auto"/>
        <w:ind w:left="426" w:hanging="426"/>
        <w:jc w:val="center"/>
        <w:outlineLvl w:val="1"/>
        <w:rPr>
          <w:rFonts w:ascii="Arial" w:hAnsi="Arial" w:cs="Arial"/>
          <w:b/>
          <w:sz w:val="24"/>
          <w:szCs w:val="24"/>
        </w:rPr>
      </w:pPr>
      <w:bookmarkStart w:id="70" w:name="_Toc111022784"/>
      <w:r w:rsidRPr="0035519F">
        <w:rPr>
          <w:rFonts w:ascii="Arial" w:hAnsi="Arial" w:cs="Arial"/>
          <w:b/>
          <w:sz w:val="24"/>
          <w:szCs w:val="24"/>
        </w:rPr>
        <w:t>Def</w:t>
      </w:r>
      <w:r w:rsidRPr="0035519F">
        <w:rPr>
          <w:rFonts w:ascii="Arial" w:hAnsi="Arial" w:cs="Arial"/>
          <w:b/>
          <w:sz w:val="24"/>
          <w:szCs w:val="24"/>
          <w:lang w:val="id-ID"/>
        </w:rPr>
        <w:t>i</w:t>
      </w:r>
      <w:r w:rsidRPr="0035519F">
        <w:rPr>
          <w:rFonts w:ascii="Arial" w:hAnsi="Arial" w:cs="Arial"/>
          <w:b/>
          <w:sz w:val="24"/>
          <w:szCs w:val="24"/>
        </w:rPr>
        <w:t>nisi operasional dan kriteria objektif</w:t>
      </w:r>
      <w:bookmarkEnd w:id="70"/>
    </w:p>
    <w:p w14:paraId="66DA4A84" w14:textId="35533E15" w:rsidR="00337A5F" w:rsidRPr="0035519F" w:rsidRDefault="00337A5F" w:rsidP="00B124CB">
      <w:pPr>
        <w:pStyle w:val="ListParagraph"/>
        <w:numPr>
          <w:ilvl w:val="0"/>
          <w:numId w:val="22"/>
        </w:numPr>
        <w:spacing w:before="240" w:line="480" w:lineRule="auto"/>
        <w:ind w:left="360"/>
        <w:jc w:val="both"/>
        <w:rPr>
          <w:rFonts w:ascii="Arial" w:hAnsi="Arial" w:cs="Arial"/>
          <w:sz w:val="24"/>
          <w:szCs w:val="24"/>
        </w:rPr>
      </w:pPr>
      <w:r w:rsidRPr="0035519F">
        <w:rPr>
          <w:rFonts w:ascii="Arial" w:hAnsi="Arial" w:cs="Arial"/>
          <w:sz w:val="24"/>
          <w:szCs w:val="24"/>
        </w:rPr>
        <w:t>Non DM adalah subjek jenis</w:t>
      </w:r>
      <w:r w:rsidRPr="0035519F">
        <w:rPr>
          <w:rFonts w:ascii="Arial" w:hAnsi="Arial" w:cs="Arial"/>
          <w:spacing w:val="1"/>
          <w:sz w:val="24"/>
          <w:szCs w:val="24"/>
        </w:rPr>
        <w:t xml:space="preserve"> </w:t>
      </w:r>
      <w:r w:rsidRPr="0035519F">
        <w:rPr>
          <w:rFonts w:ascii="Arial" w:hAnsi="Arial" w:cs="Arial"/>
          <w:sz w:val="24"/>
          <w:szCs w:val="24"/>
        </w:rPr>
        <w:t xml:space="preserve">kelamin pria dan wanita usia &gt; 20 tahun yang pada </w:t>
      </w:r>
      <w:r w:rsidR="00CC4A39" w:rsidRPr="0035519F">
        <w:rPr>
          <w:rFonts w:ascii="Arial" w:hAnsi="Arial" w:cs="Arial"/>
          <w:sz w:val="24"/>
          <w:szCs w:val="24"/>
        </w:rPr>
        <w:t>hasil wawancara tidak ditemukan tanda DM dan hasil pemeriksaan GDP ≤ 126 mg/dL.</w:t>
      </w:r>
    </w:p>
    <w:p w14:paraId="454EC2E7" w14:textId="6FAB7E13" w:rsidR="007757AB" w:rsidRPr="0035519F" w:rsidRDefault="002956B6" w:rsidP="00B124C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t>O</w:t>
      </w:r>
      <w:r w:rsidR="007757AB" w:rsidRPr="0035519F">
        <w:rPr>
          <w:rFonts w:ascii="Arial" w:hAnsi="Arial" w:cs="Arial"/>
          <w:sz w:val="24"/>
          <w:szCs w:val="24"/>
        </w:rPr>
        <w:t>besitas</w:t>
      </w:r>
      <w:r w:rsidR="007757AB" w:rsidRPr="0035519F">
        <w:rPr>
          <w:rFonts w:ascii="Arial" w:hAnsi="Arial" w:cs="Arial"/>
          <w:spacing w:val="1"/>
          <w:sz w:val="24"/>
          <w:szCs w:val="24"/>
        </w:rPr>
        <w:t xml:space="preserve"> </w:t>
      </w:r>
      <w:r w:rsidR="007757AB" w:rsidRPr="0035519F">
        <w:rPr>
          <w:rFonts w:ascii="Arial" w:hAnsi="Arial" w:cs="Arial"/>
          <w:sz w:val="24"/>
          <w:szCs w:val="24"/>
        </w:rPr>
        <w:t>sentral</w:t>
      </w:r>
      <w:r w:rsidR="007757AB" w:rsidRPr="0035519F">
        <w:rPr>
          <w:rFonts w:ascii="Arial" w:hAnsi="Arial" w:cs="Arial"/>
          <w:spacing w:val="1"/>
          <w:sz w:val="24"/>
          <w:szCs w:val="24"/>
        </w:rPr>
        <w:t xml:space="preserve"> </w:t>
      </w:r>
      <w:r w:rsidR="007757AB" w:rsidRPr="0035519F">
        <w:rPr>
          <w:rFonts w:ascii="Arial" w:hAnsi="Arial" w:cs="Arial"/>
          <w:sz w:val="24"/>
          <w:szCs w:val="24"/>
        </w:rPr>
        <w:t>adalah</w:t>
      </w:r>
      <w:r w:rsidR="007757AB" w:rsidRPr="0035519F">
        <w:rPr>
          <w:rFonts w:ascii="Arial" w:hAnsi="Arial" w:cs="Arial"/>
          <w:spacing w:val="1"/>
          <w:sz w:val="24"/>
          <w:szCs w:val="24"/>
        </w:rPr>
        <w:t xml:space="preserve"> </w:t>
      </w:r>
      <w:r w:rsidR="00CC4A39" w:rsidRPr="0035519F">
        <w:rPr>
          <w:rFonts w:ascii="Arial" w:hAnsi="Arial" w:cs="Arial"/>
          <w:spacing w:val="1"/>
          <w:sz w:val="24"/>
          <w:szCs w:val="24"/>
        </w:rPr>
        <w:t xml:space="preserve">subjek </w:t>
      </w:r>
      <w:r w:rsidRPr="0035519F">
        <w:rPr>
          <w:rFonts w:ascii="Arial" w:hAnsi="Arial" w:cs="Arial"/>
          <w:i/>
          <w:sz w:val="24"/>
          <w:szCs w:val="24"/>
        </w:rPr>
        <w:t>non</w:t>
      </w:r>
      <w:r w:rsidRPr="0035519F">
        <w:rPr>
          <w:rFonts w:ascii="Arial" w:hAnsi="Arial" w:cs="Arial"/>
          <w:sz w:val="24"/>
          <w:szCs w:val="24"/>
        </w:rPr>
        <w:t xml:space="preserve"> DM </w:t>
      </w:r>
      <w:r w:rsidR="007757AB" w:rsidRPr="0035519F">
        <w:rPr>
          <w:rFonts w:ascii="Arial" w:hAnsi="Arial" w:cs="Arial"/>
          <w:sz w:val="24"/>
          <w:lang w:val="id-ID"/>
        </w:rPr>
        <w:t>dengan lingkar pinggang ≥ 90 cm</w:t>
      </w:r>
      <w:r w:rsidR="007757AB" w:rsidRPr="0035519F">
        <w:rPr>
          <w:rFonts w:ascii="Arial" w:hAnsi="Arial" w:cs="Arial"/>
          <w:sz w:val="24"/>
        </w:rPr>
        <w:t xml:space="preserve"> untuk pria</w:t>
      </w:r>
      <w:r w:rsidR="007757AB" w:rsidRPr="0035519F">
        <w:rPr>
          <w:rFonts w:ascii="Arial" w:hAnsi="Arial" w:cs="Arial"/>
          <w:spacing w:val="1"/>
          <w:sz w:val="24"/>
          <w:lang w:val="id-ID"/>
        </w:rPr>
        <w:t xml:space="preserve"> </w:t>
      </w:r>
      <w:r w:rsidR="007757AB" w:rsidRPr="0035519F">
        <w:rPr>
          <w:rFonts w:ascii="Arial" w:hAnsi="Arial" w:cs="Arial"/>
          <w:sz w:val="24"/>
          <w:szCs w:val="24"/>
        </w:rPr>
        <w:t xml:space="preserve">dan lingkar pinggang ≥ 80 cm untuk wanita berdasarkan klasifikasi WHO untuk daerah Asia Pasifik.  </w:t>
      </w:r>
    </w:p>
    <w:p w14:paraId="79980383" w14:textId="12330456" w:rsidR="007757AB" w:rsidRPr="0035519F" w:rsidRDefault="002956B6" w:rsidP="00B124C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t>Tanpa o</w:t>
      </w:r>
      <w:r w:rsidR="002E13B4" w:rsidRPr="0035519F">
        <w:rPr>
          <w:rFonts w:ascii="Arial" w:hAnsi="Arial" w:cs="Arial"/>
          <w:sz w:val="24"/>
          <w:szCs w:val="24"/>
        </w:rPr>
        <w:t>besitas sentral</w:t>
      </w:r>
      <w:r w:rsidR="007757AB" w:rsidRPr="0035519F">
        <w:rPr>
          <w:rFonts w:ascii="Arial" w:hAnsi="Arial" w:cs="Arial"/>
          <w:spacing w:val="1"/>
          <w:sz w:val="24"/>
          <w:szCs w:val="24"/>
        </w:rPr>
        <w:t xml:space="preserve"> </w:t>
      </w:r>
      <w:r w:rsidR="007757AB" w:rsidRPr="0035519F">
        <w:rPr>
          <w:rFonts w:ascii="Arial" w:hAnsi="Arial" w:cs="Arial"/>
          <w:sz w:val="24"/>
          <w:szCs w:val="24"/>
        </w:rPr>
        <w:t>adalah</w:t>
      </w:r>
      <w:r w:rsidR="007757AB" w:rsidRPr="0035519F">
        <w:rPr>
          <w:rFonts w:ascii="Arial" w:hAnsi="Arial" w:cs="Arial"/>
          <w:spacing w:val="1"/>
          <w:sz w:val="24"/>
          <w:szCs w:val="24"/>
        </w:rPr>
        <w:t xml:space="preserve"> </w:t>
      </w:r>
      <w:r w:rsidR="00CC4A39" w:rsidRPr="0035519F">
        <w:rPr>
          <w:rFonts w:ascii="Arial" w:hAnsi="Arial" w:cs="Arial"/>
          <w:sz w:val="24"/>
          <w:szCs w:val="24"/>
        </w:rPr>
        <w:t xml:space="preserve">subjek </w:t>
      </w:r>
      <w:r w:rsidRPr="0035519F">
        <w:rPr>
          <w:rFonts w:ascii="Arial" w:hAnsi="Arial" w:cs="Arial"/>
          <w:i/>
          <w:sz w:val="24"/>
          <w:szCs w:val="24"/>
        </w:rPr>
        <w:t>non</w:t>
      </w:r>
      <w:r w:rsidRPr="0035519F">
        <w:rPr>
          <w:rFonts w:ascii="Arial" w:hAnsi="Arial" w:cs="Arial"/>
          <w:sz w:val="24"/>
          <w:szCs w:val="24"/>
        </w:rPr>
        <w:t xml:space="preserve"> DM</w:t>
      </w:r>
      <w:r w:rsidR="007757AB" w:rsidRPr="0035519F">
        <w:rPr>
          <w:rFonts w:ascii="Arial" w:hAnsi="Arial" w:cs="Arial"/>
          <w:sz w:val="24"/>
          <w:szCs w:val="24"/>
        </w:rPr>
        <w:t xml:space="preserve"> </w:t>
      </w:r>
      <w:r w:rsidR="007757AB" w:rsidRPr="0035519F">
        <w:rPr>
          <w:rFonts w:ascii="Arial" w:hAnsi="Arial" w:cs="Arial"/>
          <w:sz w:val="24"/>
          <w:lang w:val="id-ID"/>
        </w:rPr>
        <w:t xml:space="preserve">dengan lingkar pinggang </w:t>
      </w:r>
      <w:r w:rsidR="007757AB" w:rsidRPr="0035519F">
        <w:rPr>
          <w:rFonts w:ascii="Arial" w:hAnsi="Arial" w:cs="Arial"/>
          <w:sz w:val="24"/>
        </w:rPr>
        <w:t>&lt;</w:t>
      </w:r>
      <w:r w:rsidR="007757AB" w:rsidRPr="0035519F">
        <w:rPr>
          <w:rFonts w:ascii="Arial" w:hAnsi="Arial" w:cs="Arial"/>
          <w:spacing w:val="1"/>
          <w:sz w:val="24"/>
          <w:lang w:val="id-ID"/>
        </w:rPr>
        <w:t xml:space="preserve"> </w:t>
      </w:r>
      <w:r w:rsidR="007757AB" w:rsidRPr="0035519F">
        <w:rPr>
          <w:rFonts w:ascii="Arial" w:hAnsi="Arial" w:cs="Arial"/>
          <w:sz w:val="24"/>
          <w:lang w:val="id-ID"/>
        </w:rPr>
        <w:t>90</w:t>
      </w:r>
      <w:r w:rsidR="007757AB" w:rsidRPr="0035519F">
        <w:rPr>
          <w:rFonts w:ascii="Arial" w:hAnsi="Arial" w:cs="Arial"/>
          <w:sz w:val="24"/>
        </w:rPr>
        <w:t xml:space="preserve"> cm</w:t>
      </w:r>
      <w:r w:rsidR="007757AB" w:rsidRPr="0035519F">
        <w:rPr>
          <w:rFonts w:ascii="Arial" w:hAnsi="Arial" w:cs="Arial"/>
          <w:spacing w:val="1"/>
          <w:sz w:val="24"/>
          <w:lang w:val="id-ID"/>
        </w:rPr>
        <w:t xml:space="preserve"> </w:t>
      </w:r>
      <w:r w:rsidR="007757AB" w:rsidRPr="0035519F">
        <w:rPr>
          <w:rFonts w:ascii="Arial" w:hAnsi="Arial" w:cs="Arial"/>
          <w:sz w:val="24"/>
        </w:rPr>
        <w:t>untuk pria</w:t>
      </w:r>
      <w:r w:rsidR="007757AB" w:rsidRPr="0035519F">
        <w:rPr>
          <w:rFonts w:ascii="Arial" w:hAnsi="Arial" w:cs="Arial"/>
          <w:spacing w:val="1"/>
          <w:sz w:val="24"/>
          <w:lang w:val="id-ID"/>
        </w:rPr>
        <w:t xml:space="preserve"> </w:t>
      </w:r>
      <w:r w:rsidR="007757AB" w:rsidRPr="0035519F">
        <w:rPr>
          <w:rFonts w:ascii="Arial" w:hAnsi="Arial" w:cs="Arial"/>
          <w:sz w:val="24"/>
          <w:szCs w:val="24"/>
        </w:rPr>
        <w:t xml:space="preserve">dan lingkar pinggang &lt; 80 cm untuk wanita berdasarkan klasifikasi WHO untuk daerah Asia Pasifik. </w:t>
      </w:r>
    </w:p>
    <w:p w14:paraId="57CBB27F" w14:textId="0A6E9BEF" w:rsidR="007757AB" w:rsidRPr="0035519F" w:rsidRDefault="007757AB" w:rsidP="00B124C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t xml:space="preserve">Resistensi insulin adalah ketidakmampuan insulin untuk menurunkan kadar glukosa dalam darah. Pengukuran resistensi insulin dapat menggunakan </w:t>
      </w:r>
      <w:r w:rsidRPr="0035519F">
        <w:rPr>
          <w:rFonts w:ascii="Arial" w:hAnsi="Arial" w:cs="Arial"/>
          <w:i/>
          <w:sz w:val="24"/>
          <w:szCs w:val="24"/>
        </w:rPr>
        <w:t>Homeostatis Models Assessment–Insulin Resistance</w:t>
      </w:r>
      <w:r w:rsidRPr="0035519F">
        <w:rPr>
          <w:rFonts w:ascii="Arial" w:hAnsi="Arial" w:cs="Arial"/>
          <w:sz w:val="24"/>
          <w:szCs w:val="24"/>
        </w:rPr>
        <w:t xml:space="preserve"> (HOMA-IR). </w:t>
      </w:r>
    </w:p>
    <w:p w14:paraId="29E0604D" w14:textId="2D61F79D" w:rsidR="00CC4A39" w:rsidRPr="0035519F" w:rsidRDefault="0026284F" w:rsidP="009434A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t>HOMA-IR adalah index</w:t>
      </w:r>
      <w:r w:rsidR="009434AB" w:rsidRPr="0035519F">
        <w:rPr>
          <w:rFonts w:ascii="Arial" w:hAnsi="Arial" w:cs="Arial"/>
          <w:sz w:val="24"/>
          <w:szCs w:val="24"/>
        </w:rPr>
        <w:t xml:space="preserve"> resistensi insulin yang dihitung dengan menggunakan rumus = [glukosa plasma puasa (mg/dl) x insulin (μu/ml) /405]. </w:t>
      </w:r>
    </w:p>
    <w:p w14:paraId="7CB32D15" w14:textId="77777777" w:rsidR="00CC4A39" w:rsidRPr="0035519F" w:rsidRDefault="00CC4A39" w:rsidP="00CC4A39">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lastRenderedPageBreak/>
        <w:t xml:space="preserve">Glukosa plasma puasa adalah hasil pemeriksaan glukosa darah subjek setelah berpuasa minimal 8 jam yang diukur dengan metode enzimatik hexokinase menggunakan alat abx pentra 400 (Horiba, Jepang) yang dinyatakan dalam satuan mg/dL. subjek yang menderita diabetes melitus atau kadar glukosa puasa &gt;126 mg/dl tidak dimasukkan dalam penelitian ini. </w:t>
      </w:r>
    </w:p>
    <w:p w14:paraId="2D3E6DCA" w14:textId="01F95E29" w:rsidR="00CC4A39" w:rsidRPr="0035519F" w:rsidRDefault="00CC4A39" w:rsidP="009434A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sz w:val="24"/>
          <w:szCs w:val="24"/>
        </w:rPr>
        <w:t>I</w:t>
      </w:r>
      <w:r w:rsidR="009434AB" w:rsidRPr="0035519F">
        <w:rPr>
          <w:rFonts w:ascii="Arial" w:hAnsi="Arial" w:cs="Arial"/>
          <w:sz w:val="24"/>
          <w:szCs w:val="24"/>
        </w:rPr>
        <w:t xml:space="preserve">nsulin </w:t>
      </w:r>
      <w:r w:rsidRPr="0035519F">
        <w:rPr>
          <w:rFonts w:ascii="Arial" w:hAnsi="Arial" w:cs="Arial"/>
          <w:sz w:val="24"/>
          <w:szCs w:val="24"/>
        </w:rPr>
        <w:t>adalah hasil pemeriksaan insulin subjek yang</w:t>
      </w:r>
      <w:r w:rsidR="009434AB" w:rsidRPr="0035519F">
        <w:rPr>
          <w:rFonts w:ascii="Arial" w:hAnsi="Arial" w:cs="Arial"/>
          <w:sz w:val="24"/>
          <w:szCs w:val="24"/>
        </w:rPr>
        <w:t xml:space="preserve"> diukur dengan prinsip </w:t>
      </w:r>
      <w:r w:rsidR="009434AB" w:rsidRPr="0035519F">
        <w:rPr>
          <w:rFonts w:ascii="Arial" w:hAnsi="Arial" w:cs="Arial"/>
          <w:i/>
          <w:sz w:val="24"/>
          <w:szCs w:val="24"/>
        </w:rPr>
        <w:t>sandwich immunoassay</w:t>
      </w:r>
      <w:r w:rsidR="009434AB" w:rsidRPr="0035519F">
        <w:rPr>
          <w:rFonts w:ascii="Arial" w:hAnsi="Arial" w:cs="Arial"/>
          <w:sz w:val="24"/>
          <w:szCs w:val="24"/>
        </w:rPr>
        <w:t xml:space="preserve"> dan metode </w:t>
      </w:r>
      <w:r w:rsidR="00835265" w:rsidRPr="0035519F">
        <w:rPr>
          <w:rFonts w:ascii="Arial" w:hAnsi="Arial" w:cs="Arial"/>
          <w:i/>
          <w:sz w:val="24"/>
          <w:szCs w:val="24"/>
        </w:rPr>
        <w:t>ECLIA</w:t>
      </w:r>
      <w:r w:rsidR="009434AB" w:rsidRPr="0035519F">
        <w:rPr>
          <w:rFonts w:ascii="Arial" w:hAnsi="Arial" w:cs="Arial"/>
          <w:sz w:val="24"/>
          <w:szCs w:val="24"/>
        </w:rPr>
        <w:t xml:space="preserve"> menggu</w:t>
      </w:r>
      <w:r w:rsidR="00835265" w:rsidRPr="0035519F">
        <w:rPr>
          <w:rFonts w:ascii="Arial" w:hAnsi="Arial" w:cs="Arial"/>
          <w:sz w:val="24"/>
          <w:szCs w:val="24"/>
        </w:rPr>
        <w:t>nakan alat cobas® e411 (roche, J</w:t>
      </w:r>
      <w:r w:rsidR="009434AB" w:rsidRPr="0035519F">
        <w:rPr>
          <w:rFonts w:ascii="Arial" w:hAnsi="Arial" w:cs="Arial"/>
          <w:sz w:val="24"/>
          <w:szCs w:val="24"/>
        </w:rPr>
        <w:t>erman) ya</w:t>
      </w:r>
      <w:r w:rsidRPr="0035519F">
        <w:rPr>
          <w:rFonts w:ascii="Arial" w:hAnsi="Arial" w:cs="Arial"/>
          <w:sz w:val="24"/>
          <w:szCs w:val="24"/>
        </w:rPr>
        <w:t>ng dinyatakan dalam satuan μu/mL</w:t>
      </w:r>
      <w:r w:rsidR="009434AB" w:rsidRPr="0035519F">
        <w:rPr>
          <w:rFonts w:ascii="Arial" w:hAnsi="Arial" w:cs="Arial"/>
          <w:sz w:val="24"/>
          <w:szCs w:val="24"/>
        </w:rPr>
        <w:t xml:space="preserve">. </w:t>
      </w:r>
    </w:p>
    <w:p w14:paraId="5393A451" w14:textId="71F7A254" w:rsidR="007757AB" w:rsidRPr="0035519F" w:rsidRDefault="00CC4A39" w:rsidP="00B124CB">
      <w:pPr>
        <w:pStyle w:val="ListParagraph"/>
        <w:numPr>
          <w:ilvl w:val="0"/>
          <w:numId w:val="22"/>
        </w:numPr>
        <w:spacing w:before="240" w:line="480" w:lineRule="auto"/>
        <w:ind w:left="360"/>
        <w:jc w:val="both"/>
        <w:rPr>
          <w:rFonts w:ascii="Arial" w:hAnsi="Arial" w:cs="Arial"/>
          <w:b/>
          <w:sz w:val="24"/>
          <w:szCs w:val="24"/>
        </w:rPr>
      </w:pPr>
      <w:r w:rsidRPr="0035519F">
        <w:rPr>
          <w:rFonts w:ascii="Arial" w:hAnsi="Arial" w:cs="Arial"/>
          <w:i/>
          <w:sz w:val="24"/>
          <w:szCs w:val="24"/>
        </w:rPr>
        <w:t>Insulin-like Growth Factor-1</w:t>
      </w:r>
      <w:r w:rsidRPr="0035519F">
        <w:rPr>
          <w:rFonts w:ascii="Arial" w:hAnsi="Arial" w:cs="Arial"/>
          <w:sz w:val="24"/>
          <w:szCs w:val="24"/>
        </w:rPr>
        <w:t xml:space="preserve"> (</w:t>
      </w:r>
      <w:r w:rsidR="00C53DE0" w:rsidRPr="0035519F">
        <w:rPr>
          <w:rFonts w:ascii="Arial" w:hAnsi="Arial" w:cs="Arial"/>
          <w:sz w:val="24"/>
          <w:szCs w:val="24"/>
        </w:rPr>
        <w:t>IGF-1</w:t>
      </w:r>
      <w:r w:rsidRPr="0035519F">
        <w:rPr>
          <w:rFonts w:ascii="Arial" w:hAnsi="Arial" w:cs="Arial"/>
          <w:sz w:val="24"/>
          <w:szCs w:val="24"/>
        </w:rPr>
        <w:t>)</w:t>
      </w:r>
      <w:r w:rsidR="007757AB" w:rsidRPr="0035519F">
        <w:rPr>
          <w:rFonts w:ascii="Arial" w:hAnsi="Arial" w:cs="Arial"/>
          <w:sz w:val="24"/>
          <w:szCs w:val="24"/>
        </w:rPr>
        <w:t xml:space="preserve"> </w:t>
      </w:r>
      <w:r w:rsidRPr="0035519F">
        <w:rPr>
          <w:rFonts w:ascii="Arial" w:hAnsi="Arial" w:cs="Arial"/>
          <w:sz w:val="24"/>
          <w:szCs w:val="24"/>
        </w:rPr>
        <w:t xml:space="preserve">adalah hasil pemeriksaan </w:t>
      </w:r>
      <w:r w:rsidR="00862C4F" w:rsidRPr="0035519F">
        <w:rPr>
          <w:rFonts w:ascii="Arial" w:hAnsi="Arial" w:cs="Arial"/>
          <w:sz w:val="24"/>
          <w:szCs w:val="24"/>
        </w:rPr>
        <w:t>hormon</w:t>
      </w:r>
      <w:r w:rsidR="00C53DE0" w:rsidRPr="0035519F">
        <w:rPr>
          <w:rFonts w:ascii="Arial" w:hAnsi="Arial" w:cs="Arial"/>
          <w:sz w:val="24"/>
          <w:szCs w:val="24"/>
        </w:rPr>
        <w:t xml:space="preserve"> </w:t>
      </w:r>
      <w:r w:rsidR="001F56E6" w:rsidRPr="0035519F">
        <w:rPr>
          <w:rFonts w:ascii="Arial" w:hAnsi="Arial" w:cs="Arial"/>
          <w:sz w:val="24"/>
        </w:rPr>
        <w:t>IGF-1</w:t>
      </w:r>
      <w:r w:rsidR="007757AB" w:rsidRPr="0035519F">
        <w:rPr>
          <w:rFonts w:ascii="Arial" w:hAnsi="Arial" w:cs="Arial"/>
          <w:sz w:val="24"/>
        </w:rPr>
        <w:t xml:space="preserve"> diukur </w:t>
      </w:r>
      <w:r w:rsidRPr="0035519F">
        <w:rPr>
          <w:rFonts w:ascii="Arial" w:hAnsi="Arial" w:cs="Arial"/>
          <w:sz w:val="24"/>
        </w:rPr>
        <w:t xml:space="preserve">dengan </w:t>
      </w:r>
      <w:r w:rsidR="007757AB" w:rsidRPr="0035519F">
        <w:rPr>
          <w:rFonts w:ascii="Arial" w:hAnsi="Arial" w:cs="Arial"/>
          <w:sz w:val="24"/>
        </w:rPr>
        <w:t>menggunakan metode ELISA</w:t>
      </w:r>
      <w:r w:rsidR="00AF2A37" w:rsidRPr="0035519F">
        <w:rPr>
          <w:rFonts w:ascii="Arial" w:hAnsi="Arial" w:cs="Arial"/>
          <w:sz w:val="24"/>
        </w:rPr>
        <w:t xml:space="preserve"> (</w:t>
      </w:r>
      <w:r w:rsidR="006F12FF" w:rsidRPr="0035519F">
        <w:rPr>
          <w:rFonts w:ascii="Arial" w:hAnsi="Arial" w:cs="Arial"/>
          <w:i/>
          <w:sz w:val="24"/>
        </w:rPr>
        <w:t>D</w:t>
      </w:r>
      <w:r w:rsidR="00AF2A37" w:rsidRPr="0035519F">
        <w:rPr>
          <w:rFonts w:ascii="Arial" w:hAnsi="Arial" w:cs="Arial"/>
          <w:i/>
          <w:sz w:val="24"/>
        </w:rPr>
        <w:t>emeditec</w:t>
      </w:r>
      <w:r w:rsidR="006F12FF" w:rsidRPr="0035519F">
        <w:rPr>
          <w:rFonts w:ascii="Arial" w:hAnsi="Arial" w:cs="Arial"/>
          <w:i/>
          <w:sz w:val="24"/>
        </w:rPr>
        <w:t xml:space="preserve"> Diagnostic GmbH, </w:t>
      </w:r>
      <w:r w:rsidR="006F12FF" w:rsidRPr="0035519F">
        <w:rPr>
          <w:rFonts w:ascii="Arial" w:hAnsi="Arial" w:cs="Arial"/>
          <w:sz w:val="24"/>
        </w:rPr>
        <w:t>Jerman)</w:t>
      </w:r>
      <w:r w:rsidR="007757AB" w:rsidRPr="0035519F">
        <w:rPr>
          <w:rFonts w:ascii="Arial" w:hAnsi="Arial" w:cs="Arial"/>
          <w:sz w:val="24"/>
        </w:rPr>
        <w:t xml:space="preserve"> dan dinyatakan dalam satuan </w:t>
      </w:r>
      <w:r w:rsidR="000A18E1" w:rsidRPr="0035519F">
        <w:rPr>
          <w:rFonts w:ascii="Arial" w:hAnsi="Arial" w:cs="Arial"/>
          <w:sz w:val="24"/>
        </w:rPr>
        <w:t>ng/mL</w:t>
      </w:r>
      <w:r w:rsidR="007757AB" w:rsidRPr="0035519F">
        <w:rPr>
          <w:rFonts w:ascii="Arial" w:hAnsi="Arial" w:cs="Arial"/>
          <w:sz w:val="24"/>
        </w:rPr>
        <w:t>.</w:t>
      </w:r>
    </w:p>
    <w:p w14:paraId="6213886C" w14:textId="77777777" w:rsidR="00F7649C" w:rsidRPr="0035519F" w:rsidRDefault="00F7649C" w:rsidP="00F7649C">
      <w:pPr>
        <w:pStyle w:val="ListParagraph"/>
        <w:spacing w:before="240" w:line="480" w:lineRule="auto"/>
        <w:ind w:left="360"/>
        <w:jc w:val="both"/>
        <w:rPr>
          <w:rFonts w:ascii="Arial" w:hAnsi="Arial" w:cs="Arial"/>
          <w:b/>
          <w:sz w:val="24"/>
          <w:szCs w:val="24"/>
        </w:rPr>
      </w:pPr>
    </w:p>
    <w:p w14:paraId="22657EA3" w14:textId="77777777" w:rsidR="007757AB" w:rsidRPr="0035519F" w:rsidRDefault="007757AB" w:rsidP="007757AB">
      <w:pPr>
        <w:pStyle w:val="ListParagraph"/>
        <w:numPr>
          <w:ilvl w:val="2"/>
          <w:numId w:val="1"/>
        </w:numPr>
        <w:tabs>
          <w:tab w:val="left" w:pos="426"/>
        </w:tabs>
        <w:spacing w:after="0" w:line="480" w:lineRule="auto"/>
        <w:ind w:left="426" w:hanging="426"/>
        <w:jc w:val="center"/>
        <w:outlineLvl w:val="1"/>
        <w:rPr>
          <w:rFonts w:ascii="Arial" w:hAnsi="Arial" w:cs="Arial"/>
          <w:b/>
          <w:sz w:val="24"/>
          <w:szCs w:val="24"/>
        </w:rPr>
      </w:pPr>
      <w:bookmarkStart w:id="71" w:name="_Toc111022785"/>
      <w:r w:rsidRPr="0035519F">
        <w:rPr>
          <w:rFonts w:ascii="Arial" w:hAnsi="Arial" w:cs="Arial"/>
          <w:b/>
          <w:sz w:val="24"/>
          <w:szCs w:val="24"/>
        </w:rPr>
        <w:t>Metode Analisis</w:t>
      </w:r>
      <w:bookmarkEnd w:id="71"/>
    </w:p>
    <w:p w14:paraId="7D0FC3DE" w14:textId="4E767A04" w:rsidR="006F12FF" w:rsidRPr="0035519F" w:rsidRDefault="006F12FF" w:rsidP="006F12FF">
      <w:pPr>
        <w:pStyle w:val="BodyText"/>
        <w:spacing w:line="480" w:lineRule="auto"/>
        <w:ind w:right="21" w:firstLine="708"/>
        <w:jc w:val="both"/>
      </w:pPr>
      <w:r w:rsidRPr="0035519F">
        <w:t>Analisis data dilakukan dengan menggunakan SPSS Versi 26. Seluruh data yang diperoleh dikelompokkan sesuai tujuan dan jenis data, kemudian dipilih metode statistik yang sesuai, yaitu:</w:t>
      </w:r>
    </w:p>
    <w:p w14:paraId="60DA10D6" w14:textId="77777777" w:rsidR="006F12FF" w:rsidRPr="0035519F" w:rsidRDefault="006F12FF" w:rsidP="002C5221">
      <w:pPr>
        <w:pStyle w:val="ListParagraph"/>
        <w:widowControl w:val="0"/>
        <w:numPr>
          <w:ilvl w:val="0"/>
          <w:numId w:val="46"/>
        </w:numPr>
        <w:tabs>
          <w:tab w:val="left" w:pos="1513"/>
        </w:tabs>
        <w:autoSpaceDE w:val="0"/>
        <w:autoSpaceDN w:val="0"/>
        <w:spacing w:before="1" w:after="0" w:line="240" w:lineRule="auto"/>
        <w:ind w:left="270" w:right="21"/>
        <w:contextualSpacing w:val="0"/>
        <w:jc w:val="both"/>
        <w:rPr>
          <w:rFonts w:ascii="Arial" w:hAnsi="Arial" w:cs="Arial"/>
          <w:sz w:val="24"/>
        </w:rPr>
      </w:pPr>
      <w:r w:rsidRPr="0035519F">
        <w:rPr>
          <w:rFonts w:ascii="Arial" w:hAnsi="Arial" w:cs="Arial"/>
          <w:sz w:val="24"/>
        </w:rPr>
        <w:t>Perhitungan statistik diskriptif untuk variabel data</w:t>
      </w:r>
      <w:r w:rsidRPr="0035519F">
        <w:rPr>
          <w:rFonts w:ascii="Arial" w:hAnsi="Arial" w:cs="Arial"/>
          <w:spacing w:val="-5"/>
          <w:sz w:val="24"/>
        </w:rPr>
        <w:t xml:space="preserve"> </w:t>
      </w:r>
      <w:r w:rsidRPr="0035519F">
        <w:rPr>
          <w:rFonts w:ascii="Arial" w:hAnsi="Arial" w:cs="Arial"/>
          <w:sz w:val="24"/>
        </w:rPr>
        <w:t>numerik</w:t>
      </w:r>
    </w:p>
    <w:p w14:paraId="28C4BEE1" w14:textId="77777777" w:rsidR="006F12FF" w:rsidRPr="0035519F" w:rsidRDefault="006F12FF" w:rsidP="006F12FF">
      <w:pPr>
        <w:pStyle w:val="BodyText"/>
        <w:ind w:left="270" w:right="21"/>
      </w:pPr>
    </w:p>
    <w:p w14:paraId="1EDB8F1D" w14:textId="77777777" w:rsidR="006F12FF" w:rsidRPr="0035519F" w:rsidRDefault="006F12FF" w:rsidP="002C5221">
      <w:pPr>
        <w:pStyle w:val="ListParagraph"/>
        <w:widowControl w:val="0"/>
        <w:numPr>
          <w:ilvl w:val="0"/>
          <w:numId w:val="46"/>
        </w:numPr>
        <w:tabs>
          <w:tab w:val="left" w:pos="1513"/>
        </w:tabs>
        <w:autoSpaceDE w:val="0"/>
        <w:autoSpaceDN w:val="0"/>
        <w:spacing w:after="0" w:line="240" w:lineRule="auto"/>
        <w:ind w:left="270" w:right="21"/>
        <w:contextualSpacing w:val="0"/>
        <w:jc w:val="both"/>
        <w:rPr>
          <w:rFonts w:ascii="Arial" w:hAnsi="Arial" w:cs="Arial"/>
          <w:sz w:val="24"/>
        </w:rPr>
      </w:pPr>
      <w:r w:rsidRPr="0035519F">
        <w:rPr>
          <w:rFonts w:ascii="Arial" w:hAnsi="Arial" w:cs="Arial"/>
          <w:sz w:val="24"/>
        </w:rPr>
        <w:t>Perhitungan sebaran frekuensi untuk variabel data</w:t>
      </w:r>
      <w:r w:rsidRPr="0035519F">
        <w:rPr>
          <w:rFonts w:ascii="Arial" w:hAnsi="Arial" w:cs="Arial"/>
          <w:spacing w:val="-8"/>
          <w:sz w:val="24"/>
        </w:rPr>
        <w:t xml:space="preserve"> </w:t>
      </w:r>
      <w:r w:rsidRPr="0035519F">
        <w:rPr>
          <w:rFonts w:ascii="Arial" w:hAnsi="Arial" w:cs="Arial"/>
          <w:sz w:val="24"/>
        </w:rPr>
        <w:t>kategorik</w:t>
      </w:r>
    </w:p>
    <w:p w14:paraId="680E090D" w14:textId="77777777" w:rsidR="006F12FF" w:rsidRPr="0035519F" w:rsidRDefault="006F12FF" w:rsidP="006F12FF">
      <w:pPr>
        <w:pStyle w:val="BodyText"/>
        <w:ind w:left="270" w:right="21"/>
      </w:pPr>
    </w:p>
    <w:p w14:paraId="7D7E166E" w14:textId="6DB994F9" w:rsidR="006F12FF" w:rsidRPr="0035519F" w:rsidRDefault="006F12FF" w:rsidP="002C5221">
      <w:pPr>
        <w:pStyle w:val="ListParagraph"/>
        <w:widowControl w:val="0"/>
        <w:numPr>
          <w:ilvl w:val="0"/>
          <w:numId w:val="46"/>
        </w:numPr>
        <w:tabs>
          <w:tab w:val="left" w:pos="1513"/>
        </w:tabs>
        <w:autoSpaceDE w:val="0"/>
        <w:autoSpaceDN w:val="0"/>
        <w:spacing w:after="0" w:line="240" w:lineRule="auto"/>
        <w:ind w:left="270" w:right="21"/>
        <w:contextualSpacing w:val="0"/>
        <w:jc w:val="both"/>
        <w:rPr>
          <w:rFonts w:ascii="Arial" w:hAnsi="Arial" w:cs="Arial"/>
          <w:sz w:val="24"/>
        </w:rPr>
      </w:pPr>
      <w:r w:rsidRPr="0035519F">
        <w:rPr>
          <w:rFonts w:ascii="Arial" w:hAnsi="Arial" w:cs="Arial"/>
          <w:sz w:val="24"/>
        </w:rPr>
        <w:t>Uji statistik yang digunakan yaitu:</w:t>
      </w:r>
    </w:p>
    <w:p w14:paraId="692F6A93" w14:textId="77777777" w:rsidR="006F12FF" w:rsidRPr="0035519F" w:rsidRDefault="006F12FF" w:rsidP="006F12FF">
      <w:pPr>
        <w:pStyle w:val="BodyText"/>
        <w:ind w:left="270" w:right="21"/>
      </w:pPr>
    </w:p>
    <w:p w14:paraId="5B1889E7" w14:textId="77777777" w:rsidR="006F12FF" w:rsidRPr="0035519F" w:rsidRDefault="006F12FF" w:rsidP="002C5221">
      <w:pPr>
        <w:pStyle w:val="ListParagraph"/>
        <w:widowControl w:val="0"/>
        <w:numPr>
          <w:ilvl w:val="1"/>
          <w:numId w:val="46"/>
        </w:numPr>
        <w:tabs>
          <w:tab w:val="left" w:pos="1797"/>
        </w:tabs>
        <w:autoSpaceDE w:val="0"/>
        <w:autoSpaceDN w:val="0"/>
        <w:spacing w:before="1" w:after="0" w:line="480" w:lineRule="auto"/>
        <w:ind w:left="630" w:right="21"/>
        <w:contextualSpacing w:val="0"/>
        <w:jc w:val="both"/>
        <w:rPr>
          <w:rFonts w:ascii="Arial" w:hAnsi="Arial" w:cs="Arial"/>
          <w:sz w:val="24"/>
        </w:rPr>
      </w:pPr>
      <w:r w:rsidRPr="0035519F">
        <w:rPr>
          <w:rFonts w:ascii="Arial" w:hAnsi="Arial" w:cs="Arial"/>
          <w:sz w:val="24"/>
        </w:rPr>
        <w:t>Uji normalitas data menggunakan Kolmogorov-Smirnov dengan nilai kemaknaan p &gt;</w:t>
      </w:r>
      <w:r w:rsidRPr="0035519F">
        <w:rPr>
          <w:rFonts w:ascii="Arial" w:hAnsi="Arial" w:cs="Arial"/>
          <w:spacing w:val="-2"/>
          <w:sz w:val="24"/>
        </w:rPr>
        <w:t xml:space="preserve"> </w:t>
      </w:r>
      <w:r w:rsidRPr="0035519F">
        <w:rPr>
          <w:rFonts w:ascii="Arial" w:hAnsi="Arial" w:cs="Arial"/>
          <w:sz w:val="24"/>
        </w:rPr>
        <w:t>0.05.</w:t>
      </w:r>
    </w:p>
    <w:p w14:paraId="576F5076" w14:textId="78D4FF4D" w:rsidR="006F12FF" w:rsidRPr="0035519F" w:rsidRDefault="006F12FF" w:rsidP="002C5221">
      <w:pPr>
        <w:pStyle w:val="ListParagraph"/>
        <w:widowControl w:val="0"/>
        <w:numPr>
          <w:ilvl w:val="1"/>
          <w:numId w:val="46"/>
        </w:numPr>
        <w:tabs>
          <w:tab w:val="left" w:pos="1797"/>
        </w:tabs>
        <w:autoSpaceDE w:val="0"/>
        <w:autoSpaceDN w:val="0"/>
        <w:spacing w:after="0" w:line="480" w:lineRule="auto"/>
        <w:ind w:left="630" w:right="21"/>
        <w:contextualSpacing w:val="0"/>
        <w:jc w:val="both"/>
        <w:rPr>
          <w:rFonts w:ascii="Arial" w:hAnsi="Arial" w:cs="Arial"/>
          <w:sz w:val="24"/>
        </w:rPr>
      </w:pPr>
      <w:r w:rsidRPr="0035519F">
        <w:rPr>
          <w:rFonts w:ascii="Arial" w:hAnsi="Arial" w:cs="Arial"/>
          <w:sz w:val="24"/>
        </w:rPr>
        <w:t xml:space="preserve">Uji statistik </w:t>
      </w:r>
      <w:r w:rsidRPr="0035519F">
        <w:rPr>
          <w:rFonts w:ascii="Arial" w:hAnsi="Arial" w:cs="Arial"/>
          <w:i/>
          <w:sz w:val="24"/>
        </w:rPr>
        <w:t xml:space="preserve">Mann Whitney </w:t>
      </w:r>
      <w:r w:rsidRPr="0035519F">
        <w:rPr>
          <w:rFonts w:ascii="Arial" w:hAnsi="Arial" w:cs="Arial"/>
          <w:sz w:val="24"/>
        </w:rPr>
        <w:t xml:space="preserve">digunakan untuk membandingkan kadar </w:t>
      </w:r>
      <w:r w:rsidRPr="0035519F">
        <w:rPr>
          <w:rFonts w:ascii="Arial" w:hAnsi="Arial" w:cs="Arial"/>
          <w:sz w:val="24"/>
        </w:rPr>
        <w:lastRenderedPageBreak/>
        <w:t>IGF-1</w:t>
      </w:r>
      <w:r w:rsidRPr="0035519F">
        <w:rPr>
          <w:rFonts w:ascii="Arial" w:hAnsi="Arial" w:cs="Arial"/>
          <w:i/>
          <w:sz w:val="24"/>
        </w:rPr>
        <w:t xml:space="preserve"> </w:t>
      </w:r>
      <w:r w:rsidRPr="0035519F">
        <w:rPr>
          <w:rFonts w:ascii="Arial" w:hAnsi="Arial" w:cs="Arial"/>
          <w:sz w:val="24"/>
        </w:rPr>
        <w:t>antara kelompok obesitas tipe sentral dan tanpa obesitas tipe sentral; dan nilai HOMA-IR antara kelompok obesitas tipe sentral dan tanpa obesitas tipe</w:t>
      </w:r>
      <w:r w:rsidRPr="0035519F">
        <w:rPr>
          <w:rFonts w:ascii="Arial" w:hAnsi="Arial" w:cs="Arial"/>
          <w:spacing w:val="-2"/>
          <w:sz w:val="24"/>
        </w:rPr>
        <w:t xml:space="preserve"> </w:t>
      </w:r>
      <w:r w:rsidRPr="0035519F">
        <w:rPr>
          <w:rFonts w:ascii="Arial" w:hAnsi="Arial" w:cs="Arial"/>
          <w:sz w:val="24"/>
        </w:rPr>
        <w:t>sentral.</w:t>
      </w:r>
    </w:p>
    <w:p w14:paraId="1E531833" w14:textId="71449A73" w:rsidR="00FD4364" w:rsidRPr="0035519F" w:rsidRDefault="00FD4364" w:rsidP="002C5221">
      <w:pPr>
        <w:pStyle w:val="ListParagraph"/>
        <w:widowControl w:val="0"/>
        <w:numPr>
          <w:ilvl w:val="1"/>
          <w:numId w:val="46"/>
        </w:numPr>
        <w:tabs>
          <w:tab w:val="left" w:pos="1797"/>
        </w:tabs>
        <w:autoSpaceDE w:val="0"/>
        <w:autoSpaceDN w:val="0"/>
        <w:spacing w:after="0" w:line="480" w:lineRule="auto"/>
        <w:ind w:left="630" w:right="21"/>
        <w:contextualSpacing w:val="0"/>
        <w:jc w:val="both"/>
        <w:rPr>
          <w:rFonts w:ascii="Arial" w:hAnsi="Arial" w:cs="Arial"/>
          <w:sz w:val="24"/>
        </w:rPr>
      </w:pPr>
      <w:r w:rsidRPr="0035519F">
        <w:rPr>
          <w:rFonts w:ascii="Arial" w:hAnsi="Arial" w:cs="Arial"/>
          <w:sz w:val="24"/>
        </w:rPr>
        <w:t xml:space="preserve">Uji statistik </w:t>
      </w:r>
      <w:r w:rsidR="00AB4536" w:rsidRPr="0035519F">
        <w:rPr>
          <w:rFonts w:ascii="Arial" w:hAnsi="Arial" w:cs="Arial"/>
          <w:i/>
          <w:sz w:val="24"/>
        </w:rPr>
        <w:t>S</w:t>
      </w:r>
      <w:r w:rsidRPr="0035519F">
        <w:rPr>
          <w:rFonts w:ascii="Arial" w:hAnsi="Arial" w:cs="Arial"/>
          <w:i/>
          <w:sz w:val="24"/>
        </w:rPr>
        <w:t>pearman</w:t>
      </w:r>
      <w:r w:rsidR="00AB4536" w:rsidRPr="0035519F">
        <w:rPr>
          <w:rFonts w:ascii="Arial" w:hAnsi="Arial" w:cs="Arial"/>
          <w:i/>
          <w:sz w:val="24"/>
        </w:rPr>
        <w:t xml:space="preserve"> correlations test</w:t>
      </w:r>
      <w:r w:rsidRPr="0035519F">
        <w:rPr>
          <w:rFonts w:ascii="Arial" w:hAnsi="Arial" w:cs="Arial"/>
          <w:sz w:val="24"/>
        </w:rPr>
        <w:t xml:space="preserve"> digunakan untuk melihat korelasi HOMA-IR dan IGF-1 pada dewasa Non DM dengan tanpa obesitas sentral</w:t>
      </w:r>
    </w:p>
    <w:p w14:paraId="2AB8002B" w14:textId="0466CFDD" w:rsidR="007757AB" w:rsidRPr="0035519F" w:rsidRDefault="007757AB" w:rsidP="007757AB">
      <w:pPr>
        <w:spacing w:after="0" w:line="480" w:lineRule="auto"/>
        <w:ind w:firstLine="567"/>
        <w:jc w:val="both"/>
        <w:rPr>
          <w:rFonts w:ascii="Arial" w:eastAsia="Times New Roman" w:hAnsi="Arial" w:cs="Arial"/>
          <w:sz w:val="24"/>
          <w:szCs w:val="24"/>
        </w:rPr>
      </w:pPr>
      <w:r w:rsidRPr="0035519F">
        <w:rPr>
          <w:rFonts w:ascii="Arial" w:eastAsia="Times New Roman" w:hAnsi="Arial" w:cs="Arial"/>
          <w:sz w:val="24"/>
          <w:szCs w:val="24"/>
        </w:rPr>
        <w:t xml:space="preserve"> </w:t>
      </w:r>
    </w:p>
    <w:p w14:paraId="6FEB3A00" w14:textId="77777777" w:rsidR="007757AB" w:rsidRPr="0035519F" w:rsidRDefault="007757AB" w:rsidP="007757AB">
      <w:pPr>
        <w:spacing w:after="0" w:line="480" w:lineRule="auto"/>
        <w:ind w:firstLine="567"/>
        <w:jc w:val="both"/>
        <w:rPr>
          <w:rFonts w:ascii="Arial" w:eastAsia="Times New Roman" w:hAnsi="Arial" w:cs="Arial"/>
          <w:sz w:val="24"/>
          <w:szCs w:val="24"/>
        </w:rPr>
      </w:pPr>
    </w:p>
    <w:p w14:paraId="2E1CFDAC" w14:textId="77777777" w:rsidR="007757AB" w:rsidRPr="0035519F" w:rsidRDefault="007757AB" w:rsidP="007757AB">
      <w:pPr>
        <w:spacing w:after="0" w:line="480" w:lineRule="auto"/>
        <w:ind w:firstLine="567"/>
        <w:jc w:val="both"/>
        <w:rPr>
          <w:rFonts w:ascii="Arial" w:hAnsi="Arial" w:cs="Arial"/>
          <w:sz w:val="24"/>
        </w:rPr>
      </w:pPr>
      <w:r w:rsidRPr="0035519F">
        <w:rPr>
          <w:rFonts w:ascii="Arial" w:hAnsi="Arial" w:cs="Arial"/>
          <w:sz w:val="24"/>
        </w:rPr>
        <w:br w:type="page"/>
      </w:r>
    </w:p>
    <w:p w14:paraId="293C8A13" w14:textId="77777777" w:rsidR="007757AB" w:rsidRPr="0035519F" w:rsidRDefault="007757AB" w:rsidP="008F67DD">
      <w:pPr>
        <w:pStyle w:val="ListParagraph"/>
        <w:numPr>
          <w:ilvl w:val="2"/>
          <w:numId w:val="1"/>
        </w:numPr>
        <w:spacing w:line="480" w:lineRule="auto"/>
        <w:ind w:left="426" w:hanging="426"/>
        <w:jc w:val="center"/>
        <w:outlineLvl w:val="1"/>
        <w:rPr>
          <w:rFonts w:ascii="Arial" w:hAnsi="Arial" w:cs="Arial"/>
          <w:b/>
          <w:sz w:val="24"/>
          <w:szCs w:val="24"/>
        </w:rPr>
      </w:pPr>
      <w:bookmarkStart w:id="72" w:name="_Toc111022786"/>
      <w:r w:rsidRPr="0035519F">
        <w:rPr>
          <w:rFonts w:ascii="Arial" w:hAnsi="Arial" w:cs="Arial"/>
          <w:b/>
          <w:sz w:val="24"/>
          <w:szCs w:val="24"/>
          <w:lang w:val="id-ID"/>
        </w:rPr>
        <w:lastRenderedPageBreak/>
        <w:t>Skema Alur Penelitian</w:t>
      </w:r>
      <w:bookmarkEnd w:id="72"/>
    </w:p>
    <w:p w14:paraId="1289C589" w14:textId="77777777" w:rsidR="007757AB" w:rsidRPr="0035519F" w:rsidRDefault="007757AB" w:rsidP="007757AB">
      <w:pPr>
        <w:pStyle w:val="ListParagraph"/>
        <w:spacing w:line="480" w:lineRule="auto"/>
        <w:ind w:left="426"/>
        <w:rPr>
          <w:rFonts w:ascii="Arial" w:hAnsi="Arial" w:cs="Arial"/>
          <w:b/>
          <w:sz w:val="24"/>
          <w:szCs w:val="24"/>
        </w:rPr>
      </w:pPr>
      <w:r w:rsidRPr="0035519F">
        <w:rPr>
          <w:rFonts w:ascii="Arial" w:hAnsi="Arial" w:cs="Arial"/>
          <w:b/>
          <w:noProof/>
          <w:sz w:val="24"/>
          <w:szCs w:val="24"/>
        </w:rPr>
        <mc:AlternateContent>
          <mc:Choice Requires="wpg">
            <w:drawing>
              <wp:anchor distT="0" distB="0" distL="114300" distR="114300" simplePos="0" relativeHeight="251706368" behindDoc="0" locked="0" layoutInCell="1" allowOverlap="1" wp14:anchorId="03038358" wp14:editId="38D27640">
                <wp:simplePos x="0" y="0"/>
                <wp:positionH relativeFrom="column">
                  <wp:posOffset>0</wp:posOffset>
                </wp:positionH>
                <wp:positionV relativeFrom="paragraph">
                  <wp:posOffset>-635</wp:posOffset>
                </wp:positionV>
                <wp:extent cx="5182160" cy="6491242"/>
                <wp:effectExtent l="0" t="0" r="19050" b="24130"/>
                <wp:wrapNone/>
                <wp:docPr id="5" name="Group 5"/>
                <wp:cNvGraphicFramePr/>
                <a:graphic xmlns:a="http://schemas.openxmlformats.org/drawingml/2006/main">
                  <a:graphicData uri="http://schemas.microsoft.com/office/word/2010/wordprocessingGroup">
                    <wpg:wgp>
                      <wpg:cNvGrpSpPr/>
                      <wpg:grpSpPr>
                        <a:xfrm>
                          <a:off x="0" y="0"/>
                          <a:ext cx="5182160" cy="6491242"/>
                          <a:chOff x="0" y="0"/>
                          <a:chExt cx="5182160" cy="6491242"/>
                        </a:xfrm>
                      </wpg:grpSpPr>
                      <wps:wsp>
                        <wps:cNvPr id="17" name="Straight Connector 17"/>
                        <wps:cNvCnPr/>
                        <wps:spPr>
                          <a:xfrm>
                            <a:off x="4066390" y="3550024"/>
                            <a:ext cx="0" cy="250304"/>
                          </a:xfrm>
                          <a:prstGeom prst="line">
                            <a:avLst/>
                          </a:prstGeom>
                          <a:noFill/>
                          <a:ln w="6350" cap="flat" cmpd="sng" algn="ctr">
                            <a:solidFill>
                              <a:schemeClr val="tx1"/>
                            </a:solidFill>
                            <a:prstDash val="solid"/>
                            <a:miter lim="800000"/>
                          </a:ln>
                          <a:effectLst/>
                        </wps:spPr>
                        <wps:bodyPr/>
                      </wps:wsp>
                      <wps:wsp>
                        <wps:cNvPr id="19" name="Rectangle 19"/>
                        <wps:cNvSpPr/>
                        <wps:spPr>
                          <a:xfrm>
                            <a:off x="1495312" y="0"/>
                            <a:ext cx="2143125" cy="337367"/>
                          </a:xfrm>
                          <a:prstGeom prst="rect">
                            <a:avLst/>
                          </a:prstGeom>
                          <a:solidFill>
                            <a:sysClr val="window" lastClr="FFFFFF"/>
                          </a:solidFill>
                          <a:ln w="12700" cap="flat" cmpd="sng" algn="ctr">
                            <a:solidFill>
                              <a:schemeClr val="tx1"/>
                            </a:solidFill>
                            <a:prstDash val="solid"/>
                            <a:miter lim="800000"/>
                          </a:ln>
                          <a:effectLst/>
                        </wps:spPr>
                        <wps:txbx>
                          <w:txbxContent>
                            <w:p w14:paraId="6670B6D0" w14:textId="77777777" w:rsidR="00CE38BD" w:rsidRPr="00A77FCB" w:rsidRDefault="00CE38BD" w:rsidP="007757AB">
                              <w:pPr>
                                <w:jc w:val="center"/>
                                <w:rPr>
                                  <w:rFonts w:ascii="Arial" w:hAnsi="Arial" w:cs="Arial"/>
                                </w:rPr>
                              </w:pPr>
                              <w:r w:rsidRPr="00A77FCB">
                                <w:rPr>
                                  <w:rFonts w:ascii="Arial" w:hAnsi="Arial" w:cs="Arial"/>
                                </w:rPr>
                                <w:t>Populasi Penelitian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0" y="419548"/>
                            <a:ext cx="1294257" cy="272070"/>
                          </a:xfrm>
                          <a:prstGeom prst="rect">
                            <a:avLst/>
                          </a:prstGeom>
                          <a:noFill/>
                          <a:ln w="12700" cap="flat" cmpd="sng" algn="ctr">
                            <a:solidFill>
                              <a:schemeClr val="tx1"/>
                            </a:solidFill>
                            <a:prstDash val="solid"/>
                            <a:miter lim="800000"/>
                          </a:ln>
                          <a:effectLst/>
                        </wps:spPr>
                        <wps:txbx>
                          <w:txbxContent>
                            <w:p w14:paraId="75BCE9A9" w14:textId="77777777" w:rsidR="00CE38BD" w:rsidRPr="00A77FCB" w:rsidRDefault="00CE38BD" w:rsidP="007757AB">
                              <w:pPr>
                                <w:jc w:val="center"/>
                                <w:rPr>
                                  <w:rFonts w:ascii="Arial" w:hAnsi="Arial" w:cs="Arial"/>
                                </w:rPr>
                              </w:pPr>
                              <w:r w:rsidRPr="00A77FCB">
                                <w:rPr>
                                  <w:rFonts w:ascii="Arial" w:hAnsi="Arial" w:cs="Arial"/>
                                </w:rPr>
                                <w:t>Kriteria Inklusi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3861995" y="1108038"/>
                            <a:ext cx="1320165" cy="258184"/>
                          </a:xfrm>
                          <a:prstGeom prst="rect">
                            <a:avLst/>
                          </a:prstGeom>
                          <a:noFill/>
                          <a:ln w="12700" cap="flat" cmpd="sng" algn="ctr">
                            <a:solidFill>
                              <a:schemeClr val="tx1"/>
                            </a:solidFill>
                            <a:prstDash val="solid"/>
                            <a:miter lim="800000"/>
                          </a:ln>
                          <a:effectLst/>
                        </wps:spPr>
                        <wps:txbx>
                          <w:txbxContent>
                            <w:p w14:paraId="6569DD67" w14:textId="77777777" w:rsidR="00CE38BD" w:rsidRPr="00A77FCB" w:rsidRDefault="00CE38BD" w:rsidP="007757AB">
                              <w:pPr>
                                <w:jc w:val="center"/>
                                <w:rPr>
                                  <w:rFonts w:ascii="Arial" w:hAnsi="Arial" w:cs="Arial"/>
                                </w:rPr>
                              </w:pPr>
                              <w:r w:rsidRPr="00A77FCB">
                                <w:rPr>
                                  <w:rFonts w:ascii="Arial" w:hAnsi="Arial" w:cs="Arial"/>
                                </w:rPr>
                                <w:t>Kriteria Eksklusi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1516828" y="1409252"/>
                            <a:ext cx="2143125" cy="441063"/>
                          </a:xfrm>
                          <a:prstGeom prst="rect">
                            <a:avLst/>
                          </a:prstGeom>
                          <a:solidFill>
                            <a:sysClr val="window" lastClr="FFFFFF"/>
                          </a:solidFill>
                          <a:ln w="12700" cap="flat" cmpd="sng" algn="ctr">
                            <a:solidFill>
                              <a:schemeClr val="tx1"/>
                            </a:solidFill>
                            <a:prstDash val="solid"/>
                            <a:miter lim="800000"/>
                          </a:ln>
                          <a:effectLst/>
                        </wps:spPr>
                        <wps:txbx>
                          <w:txbxContent>
                            <w:p w14:paraId="566312A4" w14:textId="77777777" w:rsidR="00CE38BD" w:rsidRPr="00A77FCB" w:rsidRDefault="00CE38BD" w:rsidP="007757AB">
                              <w:pPr>
                                <w:jc w:val="center"/>
                                <w:rPr>
                                  <w:rFonts w:ascii="Arial" w:hAnsi="Arial" w:cs="Arial"/>
                                </w:rPr>
                              </w:pPr>
                              <w:r w:rsidRPr="00A77FCB">
                                <w:rPr>
                                  <w:rFonts w:ascii="Arial" w:hAnsi="Arial" w:cs="Arial"/>
                                </w:rPr>
                                <w:t xml:space="preserve">Pencatatan data subyek penelitian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527585" y="2151530"/>
                            <a:ext cx="2143125" cy="355002"/>
                          </a:xfrm>
                          <a:prstGeom prst="rect">
                            <a:avLst/>
                          </a:prstGeom>
                          <a:solidFill>
                            <a:sysClr val="window" lastClr="FFFFFF"/>
                          </a:solidFill>
                          <a:ln w="12700" cap="flat" cmpd="sng" algn="ctr">
                            <a:solidFill>
                              <a:schemeClr val="tx1"/>
                            </a:solidFill>
                            <a:prstDash val="solid"/>
                            <a:miter lim="800000"/>
                          </a:ln>
                          <a:effectLst/>
                        </wps:spPr>
                        <wps:txbx>
                          <w:txbxContent>
                            <w:p w14:paraId="6F71AD73" w14:textId="77777777" w:rsidR="00CE38BD" w:rsidRPr="00A77FCB" w:rsidRDefault="00CE38BD" w:rsidP="007757AB">
                              <w:pPr>
                                <w:spacing w:after="0" w:line="240" w:lineRule="auto"/>
                                <w:jc w:val="center"/>
                                <w:rPr>
                                  <w:rFonts w:ascii="Arial" w:hAnsi="Arial" w:cs="Arial"/>
                                </w:rPr>
                              </w:pPr>
                              <w:r w:rsidRPr="00A77FCB">
                                <w:rPr>
                                  <w:rFonts w:ascii="Arial" w:hAnsi="Arial" w:cs="Arial"/>
                                </w:rPr>
                                <w:t>Pengukuran data antropometri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a:off x="1151068" y="2807746"/>
                            <a:ext cx="2886075" cy="0"/>
                          </a:xfrm>
                          <a:prstGeom prst="line">
                            <a:avLst/>
                          </a:prstGeom>
                          <a:noFill/>
                          <a:ln w="6350" cap="flat" cmpd="sng" algn="ctr">
                            <a:solidFill>
                              <a:schemeClr val="tx1"/>
                            </a:solidFill>
                            <a:prstDash val="solid"/>
                            <a:miter lim="800000"/>
                          </a:ln>
                          <a:effectLst/>
                        </wps:spPr>
                        <wps:bodyPr/>
                      </wps:wsp>
                      <wps:wsp>
                        <wps:cNvPr id="26" name="Straight Arrow Connector 26"/>
                        <wps:cNvCnPr/>
                        <wps:spPr>
                          <a:xfrm>
                            <a:off x="1151068" y="2807746"/>
                            <a:ext cx="0" cy="457077"/>
                          </a:xfrm>
                          <a:prstGeom prst="straightConnector1">
                            <a:avLst/>
                          </a:prstGeom>
                          <a:noFill/>
                          <a:ln w="6350" cap="flat" cmpd="sng" algn="ctr">
                            <a:solidFill>
                              <a:schemeClr val="tx1"/>
                            </a:solidFill>
                            <a:prstDash val="solid"/>
                            <a:miter lim="800000"/>
                            <a:tailEnd type="triangle"/>
                          </a:ln>
                          <a:effectLst/>
                        </wps:spPr>
                        <wps:bodyPr/>
                      </wps:wsp>
                      <wps:wsp>
                        <wps:cNvPr id="27" name="Straight Arrow Connector 27"/>
                        <wps:cNvCnPr/>
                        <wps:spPr>
                          <a:xfrm>
                            <a:off x="4034117" y="2818504"/>
                            <a:ext cx="0" cy="435312"/>
                          </a:xfrm>
                          <a:prstGeom prst="straightConnector1">
                            <a:avLst/>
                          </a:prstGeom>
                          <a:noFill/>
                          <a:ln w="6350" cap="flat" cmpd="sng" algn="ctr">
                            <a:solidFill>
                              <a:schemeClr val="tx1"/>
                            </a:solidFill>
                            <a:prstDash val="solid"/>
                            <a:miter lim="800000"/>
                            <a:tailEnd type="triangle"/>
                          </a:ln>
                          <a:effectLst/>
                        </wps:spPr>
                        <wps:bodyPr/>
                      </wps:wsp>
                      <wps:wsp>
                        <wps:cNvPr id="28" name="Rectangle 28"/>
                        <wps:cNvSpPr/>
                        <wps:spPr>
                          <a:xfrm>
                            <a:off x="451821" y="3248810"/>
                            <a:ext cx="1384902" cy="268351"/>
                          </a:xfrm>
                          <a:prstGeom prst="rect">
                            <a:avLst/>
                          </a:prstGeom>
                          <a:noFill/>
                          <a:ln w="12700" cap="flat" cmpd="sng" algn="ctr">
                            <a:solidFill>
                              <a:schemeClr val="tx1"/>
                            </a:solidFill>
                            <a:prstDash val="solid"/>
                            <a:miter lim="800000"/>
                          </a:ln>
                          <a:effectLst/>
                        </wps:spPr>
                        <wps:txbx>
                          <w:txbxContent>
                            <w:p w14:paraId="701DC79F" w14:textId="77777777" w:rsidR="00CE38BD" w:rsidRPr="00A77FCB" w:rsidRDefault="00CE38BD" w:rsidP="007757AB">
                              <w:pPr>
                                <w:jc w:val="center"/>
                                <w:rPr>
                                  <w:rFonts w:ascii="Arial" w:hAnsi="Arial" w:cs="Arial"/>
                                </w:rPr>
                              </w:pPr>
                              <w:r w:rsidRPr="00A77FCB">
                                <w:rPr>
                                  <w:rFonts w:ascii="Arial" w:hAnsi="Arial" w:cs="Arial"/>
                                </w:rPr>
                                <w:t>Obesitas Sentral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3313355" y="3259567"/>
                            <a:ext cx="1532543" cy="306363"/>
                          </a:xfrm>
                          <a:prstGeom prst="rect">
                            <a:avLst/>
                          </a:prstGeom>
                          <a:noFill/>
                          <a:ln w="12700" cap="flat" cmpd="sng" algn="ctr">
                            <a:solidFill>
                              <a:schemeClr val="tx1"/>
                            </a:solidFill>
                            <a:prstDash val="solid"/>
                            <a:miter lim="800000"/>
                          </a:ln>
                          <a:effectLst/>
                        </wps:spPr>
                        <wps:txbx>
                          <w:txbxContent>
                            <w:p w14:paraId="6781E5E5" w14:textId="77777777" w:rsidR="00CE38BD" w:rsidRPr="00A77FCB" w:rsidRDefault="00CE38BD" w:rsidP="007757AB">
                              <w:pPr>
                                <w:jc w:val="center"/>
                                <w:rPr>
                                  <w:rFonts w:ascii="Arial" w:hAnsi="Arial" w:cs="Arial"/>
                                </w:rPr>
                              </w:pPr>
                              <w:r w:rsidRPr="00A77FCB">
                                <w:rPr>
                                  <w:rFonts w:ascii="Arial" w:hAnsi="Arial" w:cs="Arial"/>
                                  <w:i/>
                                </w:rPr>
                                <w:t>Non</w:t>
                              </w:r>
                              <w:r w:rsidRPr="00A77FCB">
                                <w:rPr>
                                  <w:rFonts w:ascii="Arial" w:hAnsi="Arial" w:cs="Arial"/>
                                </w:rPr>
                                <w:t xml:space="preserve"> Obesitas Sentral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Straight Connector 30"/>
                        <wps:cNvCnPr/>
                        <wps:spPr>
                          <a:xfrm>
                            <a:off x="1151068" y="3539266"/>
                            <a:ext cx="0" cy="250304"/>
                          </a:xfrm>
                          <a:prstGeom prst="line">
                            <a:avLst/>
                          </a:prstGeom>
                          <a:noFill/>
                          <a:ln w="6350" cap="flat" cmpd="sng" algn="ctr">
                            <a:solidFill>
                              <a:schemeClr val="tx1"/>
                            </a:solidFill>
                            <a:prstDash val="solid"/>
                            <a:miter lim="800000"/>
                          </a:ln>
                          <a:effectLst/>
                        </wps:spPr>
                        <wps:bodyPr/>
                      </wps:wsp>
                      <wps:wsp>
                        <wps:cNvPr id="31" name="Straight Connector 31"/>
                        <wps:cNvCnPr/>
                        <wps:spPr>
                          <a:xfrm>
                            <a:off x="1151068" y="3797450"/>
                            <a:ext cx="2924175" cy="0"/>
                          </a:xfrm>
                          <a:prstGeom prst="line">
                            <a:avLst/>
                          </a:prstGeom>
                          <a:noFill/>
                          <a:ln w="6350" cap="flat" cmpd="sng" algn="ctr">
                            <a:solidFill>
                              <a:schemeClr val="tx1"/>
                            </a:solidFill>
                            <a:prstDash val="solid"/>
                            <a:miter lim="800000"/>
                          </a:ln>
                          <a:effectLst/>
                        </wps:spPr>
                        <wps:bodyPr/>
                      </wps:wsp>
                      <wps:wsp>
                        <wps:cNvPr id="32" name="Straight Connector 32"/>
                        <wps:cNvCnPr/>
                        <wps:spPr>
                          <a:xfrm>
                            <a:off x="2614108" y="3808207"/>
                            <a:ext cx="0" cy="217656"/>
                          </a:xfrm>
                          <a:prstGeom prst="line">
                            <a:avLst/>
                          </a:prstGeom>
                          <a:noFill/>
                          <a:ln w="6350" cap="flat" cmpd="sng" algn="ctr">
                            <a:solidFill>
                              <a:schemeClr val="tx1"/>
                            </a:solidFill>
                            <a:prstDash val="solid"/>
                            <a:miter lim="800000"/>
                          </a:ln>
                          <a:effectLst/>
                        </wps:spPr>
                        <wps:bodyPr/>
                      </wps:wsp>
                      <wps:wsp>
                        <wps:cNvPr id="33" name="Straight Connector 33"/>
                        <wps:cNvCnPr/>
                        <wps:spPr>
                          <a:xfrm>
                            <a:off x="1161825" y="4012603"/>
                            <a:ext cx="2924175" cy="0"/>
                          </a:xfrm>
                          <a:prstGeom prst="line">
                            <a:avLst/>
                          </a:prstGeom>
                          <a:noFill/>
                          <a:ln w="6350" cap="flat" cmpd="sng" algn="ctr">
                            <a:solidFill>
                              <a:schemeClr val="tx1"/>
                            </a:solidFill>
                            <a:prstDash val="solid"/>
                            <a:miter lim="800000"/>
                          </a:ln>
                          <a:effectLst/>
                        </wps:spPr>
                        <wps:bodyPr/>
                      </wps:wsp>
                      <wps:wsp>
                        <wps:cNvPr id="34" name="Straight Arrow Connector 34"/>
                        <wps:cNvCnPr/>
                        <wps:spPr>
                          <a:xfrm>
                            <a:off x="1172583" y="4012603"/>
                            <a:ext cx="0" cy="370015"/>
                          </a:xfrm>
                          <a:prstGeom prst="straightConnector1">
                            <a:avLst/>
                          </a:prstGeom>
                          <a:noFill/>
                          <a:ln w="6350" cap="flat" cmpd="sng" algn="ctr">
                            <a:solidFill>
                              <a:schemeClr val="tx1"/>
                            </a:solidFill>
                            <a:prstDash val="solid"/>
                            <a:miter lim="800000"/>
                            <a:tailEnd type="triangle"/>
                          </a:ln>
                          <a:effectLst/>
                        </wps:spPr>
                        <wps:bodyPr/>
                      </wps:wsp>
                      <wps:wsp>
                        <wps:cNvPr id="35" name="Straight Arrow Connector 35"/>
                        <wps:cNvCnPr/>
                        <wps:spPr>
                          <a:xfrm>
                            <a:off x="4077148" y="4012603"/>
                            <a:ext cx="0" cy="402663"/>
                          </a:xfrm>
                          <a:prstGeom prst="straightConnector1">
                            <a:avLst/>
                          </a:prstGeom>
                          <a:noFill/>
                          <a:ln w="6350" cap="flat" cmpd="sng" algn="ctr">
                            <a:solidFill>
                              <a:schemeClr val="tx1"/>
                            </a:solidFill>
                            <a:prstDash val="solid"/>
                            <a:miter lim="800000"/>
                            <a:tailEnd type="triangle"/>
                          </a:ln>
                          <a:effectLst/>
                        </wps:spPr>
                        <wps:bodyPr/>
                      </wps:wsp>
                      <wps:wsp>
                        <wps:cNvPr id="36" name="Rectangle 36"/>
                        <wps:cNvSpPr/>
                        <wps:spPr>
                          <a:xfrm>
                            <a:off x="537882" y="4378363"/>
                            <a:ext cx="1304925" cy="304718"/>
                          </a:xfrm>
                          <a:prstGeom prst="rect">
                            <a:avLst/>
                          </a:prstGeom>
                          <a:noFill/>
                          <a:ln w="12700" cap="flat" cmpd="sng" algn="ctr">
                            <a:solidFill>
                              <a:schemeClr val="tx1"/>
                            </a:solidFill>
                            <a:prstDash val="solid"/>
                            <a:miter lim="800000"/>
                          </a:ln>
                          <a:effectLst/>
                        </wps:spPr>
                        <wps:txbx>
                          <w:txbxContent>
                            <w:p w14:paraId="03F375D0" w14:textId="77777777" w:rsidR="00CE38BD" w:rsidRPr="00A77FCB" w:rsidRDefault="00CE38BD" w:rsidP="007757AB">
                              <w:pPr>
                                <w:jc w:val="center"/>
                                <w:rPr>
                                  <w:rFonts w:ascii="Arial" w:hAnsi="Arial" w:cs="Arial"/>
                                </w:rPr>
                              </w:pPr>
                              <w:r w:rsidRPr="00A77FCB">
                                <w:rPr>
                                  <w:rFonts w:ascii="Arial" w:hAnsi="Arial" w:cs="Arial"/>
                                </w:rPr>
                                <w:t xml:space="preserve">HOMA-IR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3420931" y="4389120"/>
                            <a:ext cx="1304925" cy="293835"/>
                          </a:xfrm>
                          <a:prstGeom prst="rect">
                            <a:avLst/>
                          </a:prstGeom>
                          <a:noFill/>
                          <a:ln w="12700" cap="flat" cmpd="sng" algn="ctr">
                            <a:solidFill>
                              <a:schemeClr val="tx1"/>
                            </a:solidFill>
                            <a:prstDash val="solid"/>
                            <a:miter lim="800000"/>
                          </a:ln>
                          <a:effectLst/>
                        </wps:spPr>
                        <wps:txbx>
                          <w:txbxContent>
                            <w:p w14:paraId="1E36019A" w14:textId="77777777" w:rsidR="00CE38BD" w:rsidRPr="00A77FCB" w:rsidRDefault="00CE38BD" w:rsidP="007757AB">
                              <w:pPr>
                                <w:jc w:val="center"/>
                                <w:rPr>
                                  <w:rFonts w:ascii="Arial" w:hAnsi="Arial" w:cs="Arial"/>
                                </w:rPr>
                              </w:pPr>
                              <w:r w:rsidRPr="00A77FCB">
                                <w:rPr>
                                  <w:rFonts w:ascii="Arial" w:hAnsi="Arial" w:cs="Arial"/>
                                </w:rPr>
                                <w:t xml:space="preserve">IGF-1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8" name="Straight Connector 38"/>
                        <wps:cNvCnPr/>
                        <wps:spPr>
                          <a:xfrm>
                            <a:off x="1161825" y="4679577"/>
                            <a:ext cx="0" cy="272070"/>
                          </a:xfrm>
                          <a:prstGeom prst="line">
                            <a:avLst/>
                          </a:prstGeom>
                          <a:noFill/>
                          <a:ln w="6350" cap="flat" cmpd="sng" algn="ctr">
                            <a:solidFill>
                              <a:schemeClr val="tx1"/>
                            </a:solidFill>
                            <a:prstDash val="solid"/>
                            <a:miter lim="800000"/>
                          </a:ln>
                          <a:effectLst/>
                        </wps:spPr>
                        <wps:bodyPr/>
                      </wps:wsp>
                      <wps:wsp>
                        <wps:cNvPr id="40" name="Straight Connector 40"/>
                        <wps:cNvCnPr/>
                        <wps:spPr>
                          <a:xfrm>
                            <a:off x="4087905" y="4690334"/>
                            <a:ext cx="0" cy="261187"/>
                          </a:xfrm>
                          <a:prstGeom prst="line">
                            <a:avLst/>
                          </a:prstGeom>
                          <a:noFill/>
                          <a:ln w="6350" cap="flat" cmpd="sng" algn="ctr">
                            <a:solidFill>
                              <a:schemeClr val="tx1"/>
                            </a:solidFill>
                            <a:prstDash val="solid"/>
                            <a:miter lim="800000"/>
                          </a:ln>
                          <a:effectLst/>
                        </wps:spPr>
                        <wps:bodyPr/>
                      </wps:wsp>
                      <wps:wsp>
                        <wps:cNvPr id="41" name="Straight Connector 41"/>
                        <wps:cNvCnPr/>
                        <wps:spPr>
                          <a:xfrm>
                            <a:off x="1161825" y="4948518"/>
                            <a:ext cx="2952750" cy="10883"/>
                          </a:xfrm>
                          <a:prstGeom prst="line">
                            <a:avLst/>
                          </a:prstGeom>
                          <a:noFill/>
                          <a:ln w="6350" cap="flat" cmpd="sng" algn="ctr">
                            <a:solidFill>
                              <a:schemeClr val="tx1"/>
                            </a:solidFill>
                            <a:prstDash val="solid"/>
                            <a:miter lim="800000"/>
                          </a:ln>
                          <a:effectLst/>
                        </wps:spPr>
                        <wps:bodyPr/>
                      </wps:wsp>
                      <wps:wsp>
                        <wps:cNvPr id="42" name="Straight Connector 42"/>
                        <wps:cNvCnPr/>
                        <wps:spPr>
                          <a:xfrm>
                            <a:off x="2614108" y="4959275"/>
                            <a:ext cx="0" cy="337367"/>
                          </a:xfrm>
                          <a:prstGeom prst="line">
                            <a:avLst/>
                          </a:prstGeom>
                          <a:noFill/>
                          <a:ln w="6350" cap="flat" cmpd="sng" algn="ctr">
                            <a:solidFill>
                              <a:schemeClr val="tx1"/>
                            </a:solidFill>
                            <a:prstDash val="solid"/>
                            <a:miter lim="800000"/>
                          </a:ln>
                          <a:effectLst/>
                        </wps:spPr>
                        <wps:bodyPr/>
                      </wps:wsp>
                      <wps:wsp>
                        <wps:cNvPr id="43" name="Rectangle 43"/>
                        <wps:cNvSpPr/>
                        <wps:spPr>
                          <a:xfrm>
                            <a:off x="2065468" y="5292763"/>
                            <a:ext cx="1085850" cy="380898"/>
                          </a:xfrm>
                          <a:prstGeom prst="rect">
                            <a:avLst/>
                          </a:prstGeom>
                          <a:noFill/>
                          <a:ln w="12700" cap="flat" cmpd="sng" algn="ctr">
                            <a:solidFill>
                              <a:schemeClr val="tx1"/>
                            </a:solidFill>
                            <a:prstDash val="solid"/>
                            <a:miter lim="800000"/>
                          </a:ln>
                          <a:effectLst/>
                        </wps:spPr>
                        <wps:txbx>
                          <w:txbxContent>
                            <w:p w14:paraId="1FCC7240" w14:textId="77777777" w:rsidR="00CE38BD" w:rsidRPr="00A77FCB" w:rsidRDefault="00CE38BD" w:rsidP="007757AB">
                              <w:pPr>
                                <w:jc w:val="center"/>
                                <w:rPr>
                                  <w:rFonts w:ascii="Arial" w:hAnsi="Arial" w:cs="Arial"/>
                                </w:rPr>
                              </w:pPr>
                              <w:r w:rsidRPr="00A77FCB">
                                <w:rPr>
                                  <w:rFonts w:ascii="Arial" w:hAnsi="Arial" w:cs="Arial"/>
                                </w:rPr>
                                <w:t xml:space="preserve">Hasil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516828" y="720763"/>
                            <a:ext cx="2143125" cy="326390"/>
                          </a:xfrm>
                          <a:prstGeom prst="rect">
                            <a:avLst/>
                          </a:prstGeom>
                          <a:solidFill>
                            <a:sysClr val="window" lastClr="FFFFFF"/>
                          </a:solidFill>
                          <a:ln w="12700" cap="flat" cmpd="sng" algn="ctr">
                            <a:solidFill>
                              <a:schemeClr val="tx1"/>
                            </a:solidFill>
                            <a:prstDash val="solid"/>
                            <a:miter lim="800000"/>
                          </a:ln>
                          <a:effectLst/>
                        </wps:spPr>
                        <wps:txbx>
                          <w:txbxContent>
                            <w:p w14:paraId="3812480D" w14:textId="77777777" w:rsidR="00CE38BD" w:rsidRPr="00A77FCB" w:rsidRDefault="00CE38BD" w:rsidP="007757AB">
                              <w:pPr>
                                <w:jc w:val="center"/>
                                <w:rPr>
                                  <w:rFonts w:ascii="Arial" w:hAnsi="Arial" w:cs="Arial"/>
                                </w:rPr>
                              </w:pPr>
                              <w:r w:rsidRPr="00A77FCB">
                                <w:rPr>
                                  <w:rFonts w:ascii="Arial" w:hAnsi="Arial" w:cs="Arial"/>
                                </w:rPr>
                                <w:t>Sampel Penelitian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5" name="Straight Arrow Connector 45"/>
                        <wps:cNvCnPr/>
                        <wps:spPr>
                          <a:xfrm>
                            <a:off x="1290917" y="527125"/>
                            <a:ext cx="1249045" cy="0"/>
                          </a:xfrm>
                          <a:prstGeom prst="straightConnector1">
                            <a:avLst/>
                          </a:prstGeom>
                          <a:noFill/>
                          <a:ln w="6350" cap="flat" cmpd="sng" algn="ctr">
                            <a:solidFill>
                              <a:schemeClr val="tx1"/>
                            </a:solidFill>
                            <a:prstDash val="solid"/>
                            <a:miter lim="800000"/>
                            <a:tailEnd type="triangle"/>
                          </a:ln>
                          <a:effectLst/>
                        </wps:spPr>
                        <wps:bodyPr/>
                      </wps:wsp>
                      <wps:wsp>
                        <wps:cNvPr id="46" name="Straight Arrow Connector 46"/>
                        <wps:cNvCnPr/>
                        <wps:spPr>
                          <a:xfrm>
                            <a:off x="2549562" y="1247887"/>
                            <a:ext cx="1314450" cy="0"/>
                          </a:xfrm>
                          <a:prstGeom prst="straightConnector1">
                            <a:avLst/>
                          </a:prstGeom>
                          <a:noFill/>
                          <a:ln w="6350" cap="flat" cmpd="sng" algn="ctr">
                            <a:solidFill>
                              <a:schemeClr val="tx1"/>
                            </a:solidFill>
                            <a:prstDash val="solid"/>
                            <a:miter lim="800000"/>
                            <a:tailEnd type="triangle"/>
                          </a:ln>
                          <a:effectLst/>
                        </wps:spPr>
                        <wps:bodyPr/>
                      </wps:wsp>
                      <wps:wsp>
                        <wps:cNvPr id="47" name="Straight Arrow Connector 47"/>
                        <wps:cNvCnPr/>
                        <wps:spPr>
                          <a:xfrm>
                            <a:off x="2603350" y="5669280"/>
                            <a:ext cx="0" cy="446194"/>
                          </a:xfrm>
                          <a:prstGeom prst="straightConnector1">
                            <a:avLst/>
                          </a:prstGeom>
                          <a:noFill/>
                          <a:ln w="6350" cap="flat" cmpd="sng" algn="ctr">
                            <a:solidFill>
                              <a:schemeClr val="tx1"/>
                            </a:solidFill>
                            <a:prstDash val="solid"/>
                            <a:miter lim="800000"/>
                            <a:tailEnd type="triangle"/>
                          </a:ln>
                          <a:effectLst/>
                        </wps:spPr>
                        <wps:bodyPr/>
                      </wps:wsp>
                      <wps:wsp>
                        <wps:cNvPr id="48" name="Rectangle 48"/>
                        <wps:cNvSpPr/>
                        <wps:spPr>
                          <a:xfrm>
                            <a:off x="2076225" y="6110344"/>
                            <a:ext cx="1085850" cy="380898"/>
                          </a:xfrm>
                          <a:prstGeom prst="rect">
                            <a:avLst/>
                          </a:prstGeom>
                          <a:noFill/>
                          <a:ln w="12700" cap="flat" cmpd="sng" algn="ctr">
                            <a:solidFill>
                              <a:schemeClr val="tx1"/>
                            </a:solidFill>
                            <a:prstDash val="solid"/>
                            <a:miter lim="800000"/>
                          </a:ln>
                          <a:effectLst/>
                        </wps:spPr>
                        <wps:txbx>
                          <w:txbxContent>
                            <w:p w14:paraId="5F7B1361" w14:textId="77777777" w:rsidR="00CE38BD" w:rsidRPr="00A77FCB" w:rsidRDefault="00CE38BD" w:rsidP="007757AB">
                              <w:pPr>
                                <w:jc w:val="center"/>
                                <w:rPr>
                                  <w:rFonts w:ascii="Arial" w:hAnsi="Arial" w:cs="Arial"/>
                                </w:rPr>
                              </w:pPr>
                              <w:r w:rsidRPr="00A77FCB">
                                <w:rPr>
                                  <w:rFonts w:ascii="Arial" w:hAnsi="Arial" w:cs="Arial"/>
                                </w:rPr>
                                <w:t xml:space="preserve">Analisis Data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Straight Connector 49"/>
                        <wps:cNvCnPr/>
                        <wps:spPr>
                          <a:xfrm>
                            <a:off x="2528047" y="333487"/>
                            <a:ext cx="0" cy="383578"/>
                          </a:xfrm>
                          <a:prstGeom prst="line">
                            <a:avLst/>
                          </a:prstGeom>
                          <a:noFill/>
                          <a:ln w="6350" cap="flat" cmpd="sng" algn="ctr">
                            <a:solidFill>
                              <a:schemeClr val="tx1"/>
                            </a:solidFill>
                            <a:prstDash val="solid"/>
                            <a:miter lim="800000"/>
                          </a:ln>
                          <a:effectLst/>
                        </wps:spPr>
                        <wps:bodyPr/>
                      </wps:wsp>
                      <wps:wsp>
                        <wps:cNvPr id="50" name="Straight Connector 50"/>
                        <wps:cNvCnPr/>
                        <wps:spPr>
                          <a:xfrm>
                            <a:off x="2538804" y="1043492"/>
                            <a:ext cx="0" cy="362099"/>
                          </a:xfrm>
                          <a:prstGeom prst="line">
                            <a:avLst/>
                          </a:prstGeom>
                          <a:noFill/>
                          <a:ln w="6350" cap="flat" cmpd="sng" algn="ctr">
                            <a:solidFill>
                              <a:schemeClr val="tx1"/>
                            </a:solidFill>
                            <a:prstDash val="solid"/>
                            <a:miter lim="800000"/>
                          </a:ln>
                          <a:effectLst/>
                        </wps:spPr>
                        <wps:bodyPr/>
                      </wps:wsp>
                      <wps:wsp>
                        <wps:cNvPr id="342" name="Straight Connector 342"/>
                        <wps:cNvCnPr/>
                        <wps:spPr>
                          <a:xfrm>
                            <a:off x="2549562" y="1850315"/>
                            <a:ext cx="0" cy="301588"/>
                          </a:xfrm>
                          <a:prstGeom prst="line">
                            <a:avLst/>
                          </a:prstGeom>
                          <a:noFill/>
                          <a:ln w="6350" cap="flat" cmpd="sng" algn="ctr">
                            <a:solidFill>
                              <a:schemeClr val="tx1"/>
                            </a:solidFill>
                            <a:prstDash val="solid"/>
                            <a:miter lim="800000"/>
                          </a:ln>
                          <a:effectLst/>
                        </wps:spPr>
                        <wps:bodyPr/>
                      </wps:wsp>
                      <wps:wsp>
                        <wps:cNvPr id="343" name="Straight Connector 343"/>
                        <wps:cNvCnPr/>
                        <wps:spPr>
                          <a:xfrm>
                            <a:off x="2560320" y="2506532"/>
                            <a:ext cx="0" cy="301251"/>
                          </a:xfrm>
                          <a:prstGeom prst="line">
                            <a:avLst/>
                          </a:prstGeom>
                          <a:noFill/>
                          <a:ln w="6350" cap="flat" cmpd="sng" algn="ctr">
                            <a:solidFill>
                              <a:schemeClr val="tx1"/>
                            </a:solidFill>
                            <a:prstDash val="solid"/>
                            <a:miter lim="800000"/>
                          </a:ln>
                          <a:effectLst/>
                        </wps:spPr>
                        <wps:bodyPr/>
                      </wps:wsp>
                    </wpg:wgp>
                  </a:graphicData>
                </a:graphic>
              </wp:anchor>
            </w:drawing>
          </mc:Choice>
          <mc:Fallback>
            <w:pict>
              <v:group w14:anchorId="03038358" id="Group 5" o:spid="_x0000_s1060" style="position:absolute;left:0;text-align:left;margin-left:0;margin-top:-.05pt;width:408.05pt;height:511.1pt;z-index:251706368" coordsize="51821,6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">
                <v:line id="Straight Connector 17" o:spid="_x0000_s1061" style="position:absolute;visibility:visible;mso-wrap-style:square" from="40663,35500" to="40663,38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" strokecolor="black [3213]" strokeweight=".5pt">
                  <v:stroke joinstyle="miter"/>
                </v:line>
                <v:rect id="Rectangle 19" o:spid="_x0000_s1062" style="position:absolute;left:14953;width:21431;height:33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" fillcolor="window" strokecolor="black [3213]" strokeweight="1pt">
                  <v:textbox>
                    <w:txbxContent>
                      <w:p w14:paraId="6670B6D0" w14:textId="77777777" w:rsidR="00CE38BD" w:rsidRPr="00A77FCB" w:rsidRDefault="00CE38BD" w:rsidP="007757AB">
                        <w:pPr>
                          <w:jc w:val="center"/>
                          <w:rPr>
                            <w:rFonts w:ascii="Arial" w:hAnsi="Arial" w:cs="Arial"/>
                          </w:rPr>
                        </w:pPr>
                        <w:r w:rsidRPr="00A77FCB">
                          <w:rPr>
                            <w:rFonts w:ascii="Arial" w:hAnsi="Arial" w:cs="Arial"/>
                          </w:rPr>
                          <w:t>Populasi Penelitian</w:t>
                        </w:r>
                      </w:p>
                    </w:txbxContent>
                  </v:textbox>
                </v:rect>
                <v:rect id="Rectangle 20" o:spid="_x0000_s1063" style="position:absolute;top:4195;width:12942;height:2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" filled="f" strokecolor="black [3213]" strokeweight="1pt">
                  <v:textbox>
                    <w:txbxContent>
                      <w:p w14:paraId="75BCE9A9" w14:textId="77777777" w:rsidR="00CE38BD" w:rsidRPr="00A77FCB" w:rsidRDefault="00CE38BD" w:rsidP="007757AB">
                        <w:pPr>
                          <w:jc w:val="center"/>
                          <w:rPr>
                            <w:rFonts w:ascii="Arial" w:hAnsi="Arial" w:cs="Arial"/>
                          </w:rPr>
                        </w:pPr>
                        <w:r w:rsidRPr="00A77FCB">
                          <w:rPr>
                            <w:rFonts w:ascii="Arial" w:hAnsi="Arial" w:cs="Arial"/>
                          </w:rPr>
                          <w:t>Kriteria Inklusi</w:t>
                        </w:r>
                      </w:p>
                    </w:txbxContent>
                  </v:textbox>
                </v:rect>
                <v:rect id="Rectangle 22" o:spid="_x0000_s1064" style="position:absolute;left:38619;top:11080;width:13202;height:2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" filled="f" strokecolor="black [3213]" strokeweight="1pt">
                  <v:textbox>
                    <w:txbxContent>
                      <w:p w14:paraId="6569DD67" w14:textId="77777777" w:rsidR="00CE38BD" w:rsidRPr="00A77FCB" w:rsidRDefault="00CE38BD" w:rsidP="007757AB">
                        <w:pPr>
                          <w:jc w:val="center"/>
                          <w:rPr>
                            <w:rFonts w:ascii="Arial" w:hAnsi="Arial" w:cs="Arial"/>
                          </w:rPr>
                        </w:pPr>
                        <w:r w:rsidRPr="00A77FCB">
                          <w:rPr>
                            <w:rFonts w:ascii="Arial" w:hAnsi="Arial" w:cs="Arial"/>
                          </w:rPr>
                          <w:t>Kriteria Eksklusi</w:t>
                        </w:r>
                      </w:p>
                    </w:txbxContent>
                  </v:textbox>
                </v:rect>
                <v:rect id="Rectangle 23" o:spid="_x0000_s1065" style="position:absolute;left:15168;top:14092;width:21431;height:4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" fillcolor="window" strokecolor="black [3213]" strokeweight="1pt">
                  <v:textbox>
                    <w:txbxContent>
                      <w:p w14:paraId="566312A4" w14:textId="77777777" w:rsidR="00CE38BD" w:rsidRPr="00A77FCB" w:rsidRDefault="00CE38BD" w:rsidP="007757AB">
                        <w:pPr>
                          <w:jc w:val="center"/>
                          <w:rPr>
                            <w:rFonts w:ascii="Arial" w:hAnsi="Arial" w:cs="Arial"/>
                          </w:rPr>
                        </w:pPr>
                        <w:r w:rsidRPr="00A77FCB">
                          <w:rPr>
                            <w:rFonts w:ascii="Arial" w:hAnsi="Arial" w:cs="Arial"/>
                          </w:rPr>
                          <w:t xml:space="preserve">Pencatatan data subyek penelitian </w:t>
                        </w:r>
                      </w:p>
                    </w:txbxContent>
                  </v:textbox>
                </v:rect>
                <v:rect id="Rectangle 24" o:spid="_x0000_s1066" style="position:absolute;left:15275;top:21515;width:21432;height:3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" fillcolor="window" strokecolor="black [3213]" strokeweight="1pt">
                  <v:textbox>
                    <w:txbxContent>
                      <w:p w14:paraId="6F71AD73" w14:textId="77777777" w:rsidR="00CE38BD" w:rsidRPr="00A77FCB" w:rsidRDefault="00CE38BD" w:rsidP="007757AB">
                        <w:pPr>
                          <w:spacing w:after="0" w:line="240" w:lineRule="auto"/>
                          <w:jc w:val="center"/>
                          <w:rPr>
                            <w:rFonts w:ascii="Arial" w:hAnsi="Arial" w:cs="Arial"/>
                          </w:rPr>
                        </w:pPr>
                        <w:r w:rsidRPr="00A77FCB">
                          <w:rPr>
                            <w:rFonts w:ascii="Arial" w:hAnsi="Arial" w:cs="Arial"/>
                          </w:rPr>
                          <w:t>Pengukuran data antropometri</w:t>
                        </w:r>
                      </w:p>
                    </w:txbxContent>
                  </v:textbox>
                </v:rect>
                <v:line id="Straight Connector 25" o:spid="_x0000_s1067" style="position:absolute;visibility:visible;mso-wrap-style:square" from="11510,28077" to="40371,28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" strokecolor="black [3213]" strokeweight=".5pt">
                  <v:stroke joinstyle="miter"/>
                </v:line>
                <v:shapetype id="_x0000_t32" coordsize="21600,21600" o:spt="32" o:oned="t" path="m,l21600,21600e" filled="f">
                  <v:path arrowok="t" fillok="f" o:connecttype="none"/>
                  <o:lock v:ext="edit" shapetype="t"/>
                </v:shapetype>
                <v:shape id="Straight Arrow Connector 26" o:spid="_x0000_s1068" type="#_x0000_t32" style="position:absolute;left:11510;top:28077;width:0;height:4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" strokecolor="black [3213]" strokeweight=".5pt">
                  <v:stroke endarrow="block" joinstyle="miter"/>
                </v:shape>
                <v:shape id="Straight Arrow Connector 27" o:spid="_x0000_s1069" type="#_x0000_t32" style="position:absolute;left:40341;top:28185;width:0;height:43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" strokecolor="black [3213]" strokeweight=".5pt">
                  <v:stroke endarrow="block" joinstyle="miter"/>
                </v:shape>
                <v:rect id="Rectangle 28" o:spid="_x0000_s1070" style="position:absolute;left:4518;top:32488;width:13849;height:2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textbox>
                    <w:txbxContent>
                      <w:p w14:paraId="701DC79F" w14:textId="77777777" w:rsidR="00CE38BD" w:rsidRPr="00A77FCB" w:rsidRDefault="00CE38BD" w:rsidP="007757AB">
                        <w:pPr>
                          <w:jc w:val="center"/>
                          <w:rPr>
                            <w:rFonts w:ascii="Arial" w:hAnsi="Arial" w:cs="Arial"/>
                          </w:rPr>
                        </w:pPr>
                        <w:r w:rsidRPr="00A77FCB">
                          <w:rPr>
                            <w:rFonts w:ascii="Arial" w:hAnsi="Arial" w:cs="Arial"/>
                          </w:rPr>
                          <w:t>Obesitas Sentral</w:t>
                        </w:r>
                      </w:p>
                    </w:txbxContent>
                  </v:textbox>
                </v:rect>
                <v:rect id="Rectangle 29" o:spid="_x0000_s1071" style="position:absolute;left:33133;top:32595;width:15325;height:3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" filled="f" strokecolor="black [3213]" strokeweight="1pt">
                  <v:textbox>
                    <w:txbxContent>
                      <w:p w14:paraId="6781E5E5" w14:textId="77777777" w:rsidR="00CE38BD" w:rsidRPr="00A77FCB" w:rsidRDefault="00CE38BD" w:rsidP="007757AB">
                        <w:pPr>
                          <w:jc w:val="center"/>
                          <w:rPr>
                            <w:rFonts w:ascii="Arial" w:hAnsi="Arial" w:cs="Arial"/>
                          </w:rPr>
                        </w:pPr>
                        <w:r w:rsidRPr="00A77FCB">
                          <w:rPr>
                            <w:rFonts w:ascii="Arial" w:hAnsi="Arial" w:cs="Arial"/>
                            <w:i/>
                          </w:rPr>
                          <w:t>Non</w:t>
                        </w:r>
                        <w:r w:rsidRPr="00A77FCB">
                          <w:rPr>
                            <w:rFonts w:ascii="Arial" w:hAnsi="Arial" w:cs="Arial"/>
                          </w:rPr>
                          <w:t xml:space="preserve"> Obesitas Sentral</w:t>
                        </w:r>
                      </w:p>
                    </w:txbxContent>
                  </v:textbox>
                </v:rect>
                <v:line id="Straight Connector 30" o:spid="_x0000_s1072" style="position:absolute;visibility:visible;mso-wrap-style:square" from="11510,35392" to="11510,3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" strokecolor="black [3213]" strokeweight=".5pt">
                  <v:stroke joinstyle="miter"/>
                </v:line>
                <v:line id="Straight Connector 31" o:spid="_x0000_s1073" style="position:absolute;visibility:visible;mso-wrap-style:square" from="11510,37974" to="40752,37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" strokecolor="black [3213]" strokeweight=".5pt">
                  <v:stroke joinstyle="miter"/>
                </v:line>
                <v:line id="Straight Connector 32" o:spid="_x0000_s1074" style="position:absolute;visibility:visible;mso-wrap-style:square" from="26141,38082" to="26141,40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" strokecolor="black [3213]" strokeweight=".5pt">
                  <v:stroke joinstyle="miter"/>
                </v:line>
                <v:line id="Straight Connector 33" o:spid="_x0000_s1075" style="position:absolute;visibility:visible;mso-wrap-style:square" from="11618,40126" to="40860,40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" strokecolor="black [3213]" strokeweight=".5pt">
                  <v:stroke joinstyle="miter"/>
                </v:line>
                <v:shape id="Straight Arrow Connector 34" o:spid="_x0000_s1076" type="#_x0000_t32" style="position:absolute;left:11725;top:40126;width:0;height:3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" strokecolor="black [3213]" strokeweight=".5pt">
                  <v:stroke endarrow="block" joinstyle="miter"/>
                </v:shape>
                <v:shape id="Straight Arrow Connector 35" o:spid="_x0000_s1077" type="#_x0000_t32" style="position:absolute;left:40771;top:40126;width:0;height:40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" strokecolor="black [3213]" strokeweight=".5pt">
                  <v:stroke endarrow="block" joinstyle="miter"/>
                </v:shape>
                <v:rect id="Rectangle 36" o:spid="_x0000_s1078" style="position:absolute;left:5378;top:43783;width:13050;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textbox>
                    <w:txbxContent>
                      <w:p w14:paraId="03F375D0" w14:textId="77777777" w:rsidR="00CE38BD" w:rsidRPr="00A77FCB" w:rsidRDefault="00CE38BD" w:rsidP="007757AB">
                        <w:pPr>
                          <w:jc w:val="center"/>
                          <w:rPr>
                            <w:rFonts w:ascii="Arial" w:hAnsi="Arial" w:cs="Arial"/>
                          </w:rPr>
                        </w:pPr>
                        <w:r w:rsidRPr="00A77FCB">
                          <w:rPr>
                            <w:rFonts w:ascii="Arial" w:hAnsi="Arial" w:cs="Arial"/>
                          </w:rPr>
                          <w:t xml:space="preserve">HOMA-IR </w:t>
                        </w:r>
                      </w:p>
                    </w:txbxContent>
                  </v:textbox>
                </v:rect>
                <v:rect id="Rectangle 37" o:spid="_x0000_s1079" style="position:absolute;left:34209;top:43891;width:13049;height:2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" filled="f" strokecolor="black [3213]" strokeweight="1pt">
                  <v:textbox>
                    <w:txbxContent>
                      <w:p w14:paraId="1E36019A" w14:textId="77777777" w:rsidR="00CE38BD" w:rsidRPr="00A77FCB" w:rsidRDefault="00CE38BD" w:rsidP="007757AB">
                        <w:pPr>
                          <w:jc w:val="center"/>
                          <w:rPr>
                            <w:rFonts w:ascii="Arial" w:hAnsi="Arial" w:cs="Arial"/>
                          </w:rPr>
                        </w:pPr>
                        <w:r w:rsidRPr="00A77FCB">
                          <w:rPr>
                            <w:rFonts w:ascii="Arial" w:hAnsi="Arial" w:cs="Arial"/>
                          </w:rPr>
                          <w:t xml:space="preserve">IGF-1 </w:t>
                        </w:r>
                      </w:p>
                    </w:txbxContent>
                  </v:textbox>
                </v:rect>
                <v:line id="Straight Connector 38" o:spid="_x0000_s1080" style="position:absolute;visibility:visible;mso-wrap-style:square" from="11618,46795" to="11618,49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" strokecolor="black [3213]" strokeweight=".5pt">
                  <v:stroke joinstyle="miter"/>
                </v:line>
                <v:line id="Straight Connector 40" o:spid="_x0000_s1081" style="position:absolute;visibility:visible;mso-wrap-style:square" from="40879,46903" to="40879,49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" strokecolor="black [3213]" strokeweight=".5pt">
                  <v:stroke joinstyle="miter"/>
                </v:line>
                <v:line id="Straight Connector 41" o:spid="_x0000_s1082" style="position:absolute;visibility:visible;mso-wrap-style:square" from="11618,49485" to="41145,49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" strokecolor="black [3213]" strokeweight=".5pt">
                  <v:stroke joinstyle="miter"/>
                </v:line>
                <v:line id="Straight Connector 42" o:spid="_x0000_s1083" style="position:absolute;visibility:visible;mso-wrap-style:square" from="26141,49592" to="26141,5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" strokecolor="black [3213]" strokeweight=".5pt">
                  <v:stroke joinstyle="miter"/>
                </v:line>
                <v:rect id="Rectangle 43" o:spid="_x0000_s1084" style="position:absolute;left:20654;top:52927;width:10859;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" filled="f" strokecolor="black [3213]" strokeweight="1pt">
                  <v:textbox>
                    <w:txbxContent>
                      <w:p w14:paraId="1FCC7240" w14:textId="77777777" w:rsidR="00CE38BD" w:rsidRPr="00A77FCB" w:rsidRDefault="00CE38BD" w:rsidP="007757AB">
                        <w:pPr>
                          <w:jc w:val="center"/>
                          <w:rPr>
                            <w:rFonts w:ascii="Arial" w:hAnsi="Arial" w:cs="Arial"/>
                          </w:rPr>
                        </w:pPr>
                        <w:r w:rsidRPr="00A77FCB">
                          <w:rPr>
                            <w:rFonts w:ascii="Arial" w:hAnsi="Arial" w:cs="Arial"/>
                          </w:rPr>
                          <w:t xml:space="preserve">Hasil </w:t>
                        </w:r>
                      </w:p>
                    </w:txbxContent>
                  </v:textbox>
                </v:rect>
                <v:rect id="Rectangle 44" o:spid="_x0000_s1085" style="position:absolute;left:15168;top:7207;width:21431;height:3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" fillcolor="window" strokecolor="black [3213]" strokeweight="1pt">
                  <v:textbox>
                    <w:txbxContent>
                      <w:p w14:paraId="3812480D" w14:textId="77777777" w:rsidR="00CE38BD" w:rsidRPr="00A77FCB" w:rsidRDefault="00CE38BD" w:rsidP="007757AB">
                        <w:pPr>
                          <w:jc w:val="center"/>
                          <w:rPr>
                            <w:rFonts w:ascii="Arial" w:hAnsi="Arial" w:cs="Arial"/>
                          </w:rPr>
                        </w:pPr>
                        <w:r w:rsidRPr="00A77FCB">
                          <w:rPr>
                            <w:rFonts w:ascii="Arial" w:hAnsi="Arial" w:cs="Arial"/>
                          </w:rPr>
                          <w:t>Sampel Penelitian</w:t>
                        </w:r>
                      </w:p>
                    </w:txbxContent>
                  </v:textbox>
                </v:rect>
                <v:shape id="Straight Arrow Connector 45" o:spid="_x0000_s1086" type="#_x0000_t32" style="position:absolute;left:12909;top:5271;width:124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" strokecolor="black [3213]" strokeweight=".5pt">
                  <v:stroke endarrow="block" joinstyle="miter"/>
                </v:shape>
                <v:shape id="Straight Arrow Connector 46" o:spid="_x0000_s1087" type="#_x0000_t32" style="position:absolute;left:25495;top:12478;width:1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" strokecolor="black [3213]" strokeweight=".5pt">
                  <v:stroke endarrow="block" joinstyle="miter"/>
                </v:shape>
                <v:shape id="Straight Arrow Connector 47" o:spid="_x0000_s1088" type="#_x0000_t32" style="position:absolute;left:26033;top:56692;width:0;height:4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" strokecolor="black [3213]" strokeweight=".5pt">
                  <v:stroke endarrow="block" joinstyle="miter"/>
                </v:shape>
                <v:rect id="Rectangle 48" o:spid="_x0000_s1089" style="position:absolute;left:20762;top:61103;width:10858;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jWOwgAAANsAAAAPAAAAZHJzL2Rvd25yZXYueG1sRE9Na8JA&#10;EL0L/odlhF6kbiwi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BpijWOwgAAANsAAAAPAAAA&#10;AAAAAAAAAAAAAAcCAABkcnMvZG93bnJldi54bWxQSwUGAAAAAAMAAwC3AAAA9gIAAAAA&#10;" filled="f" strokecolor="black [3213]" strokeweight="1pt">
                  <v:textbox>
                    <w:txbxContent>
                      <w:p w14:paraId="5F7B1361" w14:textId="77777777" w:rsidR="00CE38BD" w:rsidRPr="00A77FCB" w:rsidRDefault="00CE38BD" w:rsidP="007757AB">
                        <w:pPr>
                          <w:jc w:val="center"/>
                          <w:rPr>
                            <w:rFonts w:ascii="Arial" w:hAnsi="Arial" w:cs="Arial"/>
                          </w:rPr>
                        </w:pPr>
                        <w:r w:rsidRPr="00A77FCB">
                          <w:rPr>
                            <w:rFonts w:ascii="Arial" w:hAnsi="Arial" w:cs="Arial"/>
                          </w:rPr>
                          <w:t xml:space="preserve">Analisis Data </w:t>
                        </w:r>
                      </w:p>
                    </w:txbxContent>
                  </v:textbox>
                </v:rect>
                <v:line id="Straight Connector 49" o:spid="_x0000_s1090" style="position:absolute;visibility:visible;mso-wrap-style:square" from="25280,3334" to="25280,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" strokecolor="black [3213]" strokeweight=".5pt">
                  <v:stroke joinstyle="miter"/>
                </v:line>
                <v:line id="Straight Connector 50" o:spid="_x0000_s1091" style="position:absolute;visibility:visible;mso-wrap-style:square" from="25388,10434" to="25388,14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" strokecolor="black [3213]" strokeweight=".5pt">
                  <v:stroke joinstyle="miter"/>
                </v:line>
                <v:line id="Straight Connector 342" o:spid="_x0000_s1092" style="position:absolute;visibility:visible;mso-wrap-style:square" from="25495,18503" to="25495,21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" strokecolor="black [3213]" strokeweight=".5pt">
                  <v:stroke joinstyle="miter"/>
                </v:line>
                <v:line id="Straight Connector 343" o:spid="_x0000_s1093" style="position:absolute;visibility:visible;mso-wrap-style:square" from="25603,25065" to="25603,28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" strokecolor="black [3213]" strokeweight=".5pt">
                  <v:stroke joinstyle="miter"/>
                </v:line>
              </v:group>
            </w:pict>
          </mc:Fallback>
        </mc:AlternateContent>
      </w:r>
    </w:p>
    <w:p w14:paraId="4A6BC8F3" w14:textId="77777777" w:rsidR="00FD1C9C" w:rsidRPr="0035519F" w:rsidRDefault="007757AB" w:rsidP="003A0096">
      <w:pPr>
        <w:pStyle w:val="ListParagraph"/>
        <w:spacing w:line="360" w:lineRule="auto"/>
        <w:ind w:left="426" w:right="18"/>
        <w:jc w:val="center"/>
        <w:outlineLvl w:val="1"/>
      </w:pPr>
      <w:r w:rsidRPr="0035519F">
        <w:br w:type="page"/>
      </w:r>
    </w:p>
    <w:p w14:paraId="2408E440" w14:textId="77777777" w:rsidR="00FD1C9C" w:rsidRPr="0035519F" w:rsidRDefault="00FD1C9C" w:rsidP="00891FA6">
      <w:pPr>
        <w:pStyle w:val="ListParagraph"/>
        <w:spacing w:after="0" w:line="360" w:lineRule="auto"/>
        <w:ind w:left="0" w:right="14"/>
        <w:jc w:val="center"/>
        <w:outlineLvl w:val="0"/>
        <w:rPr>
          <w:rFonts w:ascii="Arial" w:hAnsi="Arial" w:cs="Arial"/>
          <w:b/>
          <w:sz w:val="28"/>
          <w:szCs w:val="28"/>
        </w:rPr>
      </w:pPr>
      <w:bookmarkStart w:id="73" w:name="_Toc111022787"/>
      <w:r w:rsidRPr="0035519F">
        <w:rPr>
          <w:rFonts w:ascii="Arial" w:hAnsi="Arial" w:cs="Arial"/>
          <w:b/>
          <w:sz w:val="28"/>
          <w:szCs w:val="28"/>
        </w:rPr>
        <w:lastRenderedPageBreak/>
        <w:t>BAB V</w:t>
      </w:r>
      <w:bookmarkEnd w:id="73"/>
    </w:p>
    <w:p w14:paraId="04293A27" w14:textId="77777777" w:rsidR="00FD1C9C" w:rsidRPr="0035519F" w:rsidRDefault="00FD1C9C" w:rsidP="00891FA6">
      <w:pPr>
        <w:pStyle w:val="ListParagraph"/>
        <w:spacing w:after="0" w:line="360" w:lineRule="auto"/>
        <w:ind w:left="0" w:right="14"/>
        <w:jc w:val="center"/>
        <w:outlineLvl w:val="0"/>
        <w:rPr>
          <w:rFonts w:ascii="Arial" w:hAnsi="Arial" w:cs="Arial"/>
          <w:b/>
          <w:sz w:val="28"/>
          <w:szCs w:val="28"/>
        </w:rPr>
      </w:pPr>
      <w:bookmarkStart w:id="74" w:name="_Toc111022788"/>
      <w:r w:rsidRPr="0035519F">
        <w:rPr>
          <w:rFonts w:ascii="Arial" w:hAnsi="Arial" w:cs="Arial"/>
          <w:b/>
          <w:sz w:val="28"/>
          <w:szCs w:val="28"/>
        </w:rPr>
        <w:t>HASIL DAN PEMBAHASAN</w:t>
      </w:r>
      <w:bookmarkEnd w:id="74"/>
    </w:p>
    <w:p w14:paraId="3CA8A7E9" w14:textId="77777777" w:rsidR="00FD1C9C" w:rsidRPr="0035519F" w:rsidRDefault="00FD1C9C" w:rsidP="00075F6C">
      <w:pPr>
        <w:pStyle w:val="ListParagraph"/>
        <w:spacing w:after="0" w:line="360" w:lineRule="auto"/>
        <w:ind w:left="0" w:right="14"/>
        <w:jc w:val="center"/>
        <w:outlineLvl w:val="1"/>
        <w:rPr>
          <w:rFonts w:ascii="Arial" w:hAnsi="Arial" w:cs="Arial"/>
          <w:b/>
          <w:sz w:val="24"/>
          <w:szCs w:val="24"/>
        </w:rPr>
      </w:pPr>
    </w:p>
    <w:p w14:paraId="2D3E62E6" w14:textId="77777777" w:rsidR="00FD1C9C" w:rsidRPr="0035519F" w:rsidRDefault="00FD1C9C" w:rsidP="00891FA6">
      <w:pPr>
        <w:pStyle w:val="ListParagraph"/>
        <w:spacing w:after="0" w:line="360" w:lineRule="auto"/>
        <w:ind w:left="0" w:right="14"/>
        <w:jc w:val="center"/>
        <w:outlineLvl w:val="1"/>
        <w:rPr>
          <w:rFonts w:ascii="Arial" w:hAnsi="Arial" w:cs="Arial"/>
          <w:b/>
          <w:sz w:val="24"/>
          <w:szCs w:val="24"/>
        </w:rPr>
      </w:pPr>
      <w:bookmarkStart w:id="75" w:name="_Toc111022789"/>
      <w:r w:rsidRPr="0035519F">
        <w:rPr>
          <w:rFonts w:ascii="Arial" w:hAnsi="Arial" w:cs="Arial"/>
          <w:b/>
          <w:sz w:val="24"/>
          <w:szCs w:val="24"/>
        </w:rPr>
        <w:t>A.</w:t>
      </w:r>
      <w:r w:rsidRPr="0035519F">
        <w:rPr>
          <w:rFonts w:ascii="Arial" w:hAnsi="Arial" w:cs="Arial"/>
          <w:b/>
          <w:sz w:val="24"/>
          <w:szCs w:val="24"/>
        </w:rPr>
        <w:tab/>
        <w:t>Hasil Penelitian</w:t>
      </w:r>
      <w:bookmarkEnd w:id="75"/>
    </w:p>
    <w:p w14:paraId="4D64CF72" w14:textId="77777777" w:rsidR="00857808" w:rsidRPr="0035519F" w:rsidRDefault="00857808" w:rsidP="00891FA6">
      <w:pPr>
        <w:pStyle w:val="ListParagraph"/>
        <w:spacing w:after="0" w:line="360" w:lineRule="auto"/>
        <w:ind w:left="0" w:right="14"/>
        <w:jc w:val="center"/>
        <w:rPr>
          <w:rFonts w:ascii="Arial" w:hAnsi="Arial" w:cs="Arial"/>
          <w:b/>
          <w:sz w:val="24"/>
          <w:szCs w:val="24"/>
        </w:rPr>
      </w:pPr>
    </w:p>
    <w:p w14:paraId="2F77239A" w14:textId="77777777" w:rsidR="00FD1C9C" w:rsidRPr="0035519F" w:rsidRDefault="00FD1C9C" w:rsidP="002C5221">
      <w:pPr>
        <w:pStyle w:val="ListParagraph"/>
        <w:numPr>
          <w:ilvl w:val="0"/>
          <w:numId w:val="37"/>
        </w:numPr>
        <w:spacing w:after="0" w:line="480" w:lineRule="auto"/>
        <w:ind w:left="0" w:right="14"/>
        <w:jc w:val="both"/>
        <w:rPr>
          <w:rFonts w:ascii="Arial" w:hAnsi="Arial" w:cs="Arial"/>
          <w:b/>
          <w:sz w:val="24"/>
          <w:szCs w:val="24"/>
        </w:rPr>
      </w:pPr>
      <w:r w:rsidRPr="0035519F">
        <w:rPr>
          <w:rFonts w:ascii="Arial" w:hAnsi="Arial" w:cs="Arial"/>
          <w:b/>
          <w:sz w:val="24"/>
          <w:szCs w:val="24"/>
        </w:rPr>
        <w:t>Karakteristik Subjek Penelitian</w:t>
      </w:r>
    </w:p>
    <w:p w14:paraId="089DA6F6" w14:textId="77777777" w:rsidR="00FD1C9C" w:rsidRPr="0035519F" w:rsidRDefault="00FD1C9C" w:rsidP="00891FA6">
      <w:pPr>
        <w:pStyle w:val="ListParagraph"/>
        <w:spacing w:line="480" w:lineRule="auto"/>
        <w:ind w:left="0" w:right="18" w:firstLine="630"/>
        <w:jc w:val="both"/>
        <w:rPr>
          <w:rFonts w:ascii="Arial" w:hAnsi="Arial" w:cs="Arial"/>
          <w:sz w:val="24"/>
          <w:szCs w:val="24"/>
        </w:rPr>
      </w:pPr>
      <w:r w:rsidRPr="0035519F">
        <w:rPr>
          <w:rFonts w:ascii="Arial" w:hAnsi="Arial" w:cs="Arial"/>
          <w:sz w:val="24"/>
          <w:szCs w:val="24"/>
        </w:rPr>
        <w:t xml:space="preserve">Subjek penelitian adalah laki-laki dan perempuan berusia 22-49 tahun dengan dan tanpa obesitas </w:t>
      </w:r>
      <w:r w:rsidR="0005295A" w:rsidRPr="0035519F">
        <w:rPr>
          <w:rFonts w:ascii="Arial" w:hAnsi="Arial" w:cs="Arial"/>
          <w:sz w:val="24"/>
          <w:szCs w:val="24"/>
        </w:rPr>
        <w:t>sentral</w:t>
      </w:r>
      <w:r w:rsidRPr="0035519F">
        <w:rPr>
          <w:rFonts w:ascii="Arial" w:hAnsi="Arial" w:cs="Arial"/>
          <w:sz w:val="24"/>
          <w:szCs w:val="24"/>
        </w:rPr>
        <w:t xml:space="preserve">. Total subjek penelitian dalam penelitian ini yang telah memenuhi kriteria </w:t>
      </w:r>
      <w:r w:rsidR="006B3DBF" w:rsidRPr="0035519F">
        <w:rPr>
          <w:rFonts w:ascii="Arial" w:hAnsi="Arial" w:cs="Arial"/>
          <w:sz w:val="24"/>
          <w:szCs w:val="24"/>
        </w:rPr>
        <w:t>inklusi adalah 88 orang (Tabel 5</w:t>
      </w:r>
      <w:r w:rsidRPr="0035519F">
        <w:rPr>
          <w:rFonts w:ascii="Arial" w:hAnsi="Arial" w:cs="Arial"/>
          <w:sz w:val="24"/>
          <w:szCs w:val="24"/>
        </w:rPr>
        <w:t>).</w:t>
      </w:r>
    </w:p>
    <w:p w14:paraId="231AE0F1" w14:textId="6FE125F5" w:rsidR="00FD1C9C" w:rsidRPr="0035519F" w:rsidRDefault="00611B87" w:rsidP="00611B87">
      <w:pPr>
        <w:pStyle w:val="Caption"/>
        <w:rPr>
          <w:rFonts w:ascii="Arial" w:eastAsia="MS Mincho" w:hAnsi="Arial" w:cs="Arial"/>
          <w:i w:val="0"/>
          <w:iCs w:val="0"/>
          <w:color w:val="auto"/>
          <w:sz w:val="24"/>
          <w:szCs w:val="24"/>
        </w:rPr>
      </w:pPr>
      <w:bookmarkStart w:id="76" w:name="_Toc111873677"/>
      <w:r w:rsidRPr="0035519F">
        <w:rPr>
          <w:rFonts w:ascii="Arial" w:eastAsia="MS Mincho" w:hAnsi="Arial" w:cs="Arial"/>
          <w:i w:val="0"/>
          <w:iCs w:val="0"/>
          <w:color w:val="auto"/>
          <w:sz w:val="24"/>
          <w:szCs w:val="24"/>
        </w:rPr>
        <w:t xml:space="preserve">Tabel </w:t>
      </w:r>
      <w:r w:rsidRPr="0035519F">
        <w:rPr>
          <w:rFonts w:ascii="Arial" w:eastAsia="MS Mincho" w:hAnsi="Arial" w:cs="Arial"/>
          <w:i w:val="0"/>
          <w:iCs w:val="0"/>
          <w:color w:val="auto"/>
          <w:sz w:val="24"/>
          <w:szCs w:val="24"/>
        </w:rPr>
        <w:fldChar w:fldCharType="begin"/>
      </w:r>
      <w:r w:rsidRPr="0035519F">
        <w:rPr>
          <w:rFonts w:ascii="Arial" w:eastAsia="MS Mincho" w:hAnsi="Arial" w:cs="Arial"/>
          <w:i w:val="0"/>
          <w:iCs w:val="0"/>
          <w:color w:val="auto"/>
          <w:sz w:val="24"/>
          <w:szCs w:val="24"/>
        </w:rPr>
        <w:instrText xml:space="preserve"> SEQ Tabel \* ARABIC </w:instrText>
      </w:r>
      <w:r w:rsidRPr="0035519F">
        <w:rPr>
          <w:rFonts w:ascii="Arial" w:eastAsia="MS Mincho" w:hAnsi="Arial" w:cs="Arial"/>
          <w:i w:val="0"/>
          <w:iCs w:val="0"/>
          <w:color w:val="auto"/>
          <w:sz w:val="24"/>
          <w:szCs w:val="24"/>
        </w:rPr>
        <w:fldChar w:fldCharType="separate"/>
      </w:r>
      <w:r w:rsidR="005B4074">
        <w:rPr>
          <w:rFonts w:ascii="Arial" w:eastAsia="MS Mincho" w:hAnsi="Arial" w:cs="Arial"/>
          <w:i w:val="0"/>
          <w:iCs w:val="0"/>
          <w:noProof/>
          <w:color w:val="auto"/>
          <w:sz w:val="24"/>
          <w:szCs w:val="24"/>
        </w:rPr>
        <w:t>5</w:t>
      </w:r>
      <w:r w:rsidRPr="0035519F">
        <w:rPr>
          <w:rFonts w:ascii="Arial" w:eastAsia="MS Mincho" w:hAnsi="Arial" w:cs="Arial"/>
          <w:i w:val="0"/>
          <w:iCs w:val="0"/>
          <w:color w:val="auto"/>
          <w:sz w:val="24"/>
          <w:szCs w:val="24"/>
        </w:rPr>
        <w:fldChar w:fldCharType="end"/>
      </w:r>
      <w:r w:rsidR="00FD1C9C" w:rsidRPr="0035519F">
        <w:rPr>
          <w:rFonts w:ascii="Arial" w:eastAsia="MS Mincho" w:hAnsi="Arial" w:cs="Arial"/>
          <w:i w:val="0"/>
          <w:iCs w:val="0"/>
          <w:color w:val="auto"/>
          <w:sz w:val="24"/>
          <w:szCs w:val="24"/>
        </w:rPr>
        <w:t>. Karakteristik subjek penelitian (n=88)</w:t>
      </w:r>
      <w:bookmarkEnd w:id="76"/>
    </w:p>
    <w:tbl>
      <w:tblPr>
        <w:tblW w:w="8015" w:type="dxa"/>
        <w:tblInd w:w="85" w:type="dxa"/>
        <w:tblLayout w:type="fixed"/>
        <w:tblCellMar>
          <w:left w:w="0" w:type="dxa"/>
          <w:right w:w="0" w:type="dxa"/>
        </w:tblCellMar>
        <w:tblLook w:val="01E0" w:firstRow="1" w:lastRow="1" w:firstColumn="1" w:lastColumn="1" w:noHBand="0" w:noVBand="0"/>
      </w:tblPr>
      <w:tblGrid>
        <w:gridCol w:w="2255"/>
        <w:gridCol w:w="984"/>
        <w:gridCol w:w="1081"/>
        <w:gridCol w:w="1080"/>
        <w:gridCol w:w="900"/>
        <w:gridCol w:w="905"/>
        <w:gridCol w:w="810"/>
      </w:tblGrid>
      <w:tr w:rsidR="00117F69" w:rsidRPr="0035519F" w14:paraId="3FA006F9" w14:textId="77777777" w:rsidTr="00451DB9">
        <w:trPr>
          <w:trHeight w:val="370"/>
        </w:trPr>
        <w:tc>
          <w:tcPr>
            <w:tcW w:w="2255" w:type="dxa"/>
            <w:tcBorders>
              <w:top w:val="single" w:sz="4" w:space="0" w:color="auto"/>
              <w:bottom w:val="single" w:sz="4" w:space="0" w:color="auto"/>
            </w:tcBorders>
            <w:vAlign w:val="center"/>
          </w:tcPr>
          <w:p w14:paraId="59345285" w14:textId="77777777" w:rsidR="005C5978" w:rsidRPr="0035519F" w:rsidRDefault="005C5978" w:rsidP="00891FA6">
            <w:pPr>
              <w:pStyle w:val="TableParagraph"/>
              <w:jc w:val="center"/>
              <w:rPr>
                <w:rFonts w:cs="Arial"/>
              </w:rPr>
            </w:pPr>
            <w:r w:rsidRPr="0035519F">
              <w:rPr>
                <w:rFonts w:cs="Arial"/>
              </w:rPr>
              <w:t>Variabel</w:t>
            </w:r>
          </w:p>
        </w:tc>
        <w:tc>
          <w:tcPr>
            <w:tcW w:w="984" w:type="dxa"/>
            <w:tcBorders>
              <w:top w:val="single" w:sz="4" w:space="0" w:color="auto"/>
              <w:bottom w:val="single" w:sz="4" w:space="0" w:color="auto"/>
            </w:tcBorders>
            <w:vAlign w:val="center"/>
          </w:tcPr>
          <w:p w14:paraId="474E9168" w14:textId="77777777" w:rsidR="005C5978" w:rsidRPr="0035519F" w:rsidRDefault="005C5978" w:rsidP="00891FA6">
            <w:pPr>
              <w:pStyle w:val="TableParagraph"/>
              <w:jc w:val="center"/>
              <w:rPr>
                <w:rFonts w:cs="Arial"/>
              </w:rPr>
            </w:pPr>
            <w:r w:rsidRPr="0035519F">
              <w:rPr>
                <w:rFonts w:cs="Arial"/>
              </w:rPr>
              <w:t>n (%)</w:t>
            </w:r>
          </w:p>
        </w:tc>
        <w:tc>
          <w:tcPr>
            <w:tcW w:w="1081" w:type="dxa"/>
            <w:tcBorders>
              <w:top w:val="single" w:sz="4" w:space="0" w:color="auto"/>
              <w:bottom w:val="single" w:sz="4" w:space="0" w:color="auto"/>
            </w:tcBorders>
            <w:vAlign w:val="center"/>
          </w:tcPr>
          <w:p w14:paraId="2C2D1B7F" w14:textId="77777777" w:rsidR="005C5978" w:rsidRPr="0035519F" w:rsidRDefault="005C5978" w:rsidP="00891FA6">
            <w:pPr>
              <w:pStyle w:val="TableParagraph"/>
              <w:ind w:right="78"/>
              <w:jc w:val="center"/>
              <w:rPr>
                <w:rFonts w:cs="Arial"/>
              </w:rPr>
            </w:pPr>
            <w:r w:rsidRPr="0035519F">
              <w:rPr>
                <w:rFonts w:cs="Arial"/>
              </w:rPr>
              <w:t>Minimum</w:t>
            </w:r>
          </w:p>
        </w:tc>
        <w:tc>
          <w:tcPr>
            <w:tcW w:w="1080" w:type="dxa"/>
            <w:tcBorders>
              <w:top w:val="single" w:sz="4" w:space="0" w:color="auto"/>
              <w:bottom w:val="single" w:sz="4" w:space="0" w:color="auto"/>
            </w:tcBorders>
            <w:vAlign w:val="center"/>
          </w:tcPr>
          <w:p w14:paraId="5984B35F" w14:textId="77777777" w:rsidR="005C5978" w:rsidRPr="0035519F" w:rsidRDefault="005C5978" w:rsidP="00891FA6">
            <w:pPr>
              <w:pStyle w:val="TableParagraph"/>
              <w:ind w:right="101"/>
              <w:jc w:val="center"/>
              <w:rPr>
                <w:rFonts w:cs="Arial"/>
              </w:rPr>
            </w:pPr>
            <w:r w:rsidRPr="0035519F">
              <w:rPr>
                <w:rFonts w:cs="Arial"/>
              </w:rPr>
              <w:t>Maximum</w:t>
            </w:r>
          </w:p>
        </w:tc>
        <w:tc>
          <w:tcPr>
            <w:tcW w:w="900" w:type="dxa"/>
            <w:tcBorders>
              <w:top w:val="single" w:sz="4" w:space="0" w:color="auto"/>
              <w:bottom w:val="single" w:sz="4" w:space="0" w:color="auto"/>
            </w:tcBorders>
            <w:vAlign w:val="center"/>
          </w:tcPr>
          <w:p w14:paraId="52E2345A" w14:textId="77777777" w:rsidR="005C5978" w:rsidRPr="0035519F" w:rsidRDefault="005C5978" w:rsidP="00891FA6">
            <w:pPr>
              <w:pStyle w:val="TableParagraph"/>
              <w:ind w:right="139"/>
              <w:jc w:val="center"/>
              <w:rPr>
                <w:rFonts w:cs="Arial"/>
              </w:rPr>
            </w:pPr>
            <w:r w:rsidRPr="0035519F">
              <w:rPr>
                <w:rFonts w:cs="Arial"/>
              </w:rPr>
              <w:t>Mean</w:t>
            </w:r>
          </w:p>
        </w:tc>
        <w:tc>
          <w:tcPr>
            <w:tcW w:w="905" w:type="dxa"/>
            <w:tcBorders>
              <w:top w:val="single" w:sz="4" w:space="0" w:color="auto"/>
              <w:bottom w:val="single" w:sz="4" w:space="0" w:color="auto"/>
            </w:tcBorders>
            <w:vAlign w:val="center"/>
          </w:tcPr>
          <w:p w14:paraId="3E304090" w14:textId="3BD1B966" w:rsidR="005C5978" w:rsidRPr="0035519F" w:rsidRDefault="005C5978" w:rsidP="005C5978">
            <w:pPr>
              <w:pStyle w:val="TableParagraph"/>
              <w:jc w:val="center"/>
              <w:rPr>
                <w:rFonts w:cs="Arial"/>
              </w:rPr>
            </w:pPr>
            <w:r w:rsidRPr="0035519F">
              <w:rPr>
                <w:rFonts w:cs="Arial"/>
              </w:rPr>
              <w:t>Median</w:t>
            </w:r>
          </w:p>
        </w:tc>
        <w:tc>
          <w:tcPr>
            <w:tcW w:w="810" w:type="dxa"/>
            <w:tcBorders>
              <w:top w:val="single" w:sz="4" w:space="0" w:color="auto"/>
              <w:bottom w:val="single" w:sz="4" w:space="0" w:color="auto"/>
            </w:tcBorders>
            <w:vAlign w:val="center"/>
          </w:tcPr>
          <w:p w14:paraId="4AFF4FAA" w14:textId="3A4D2FD1" w:rsidR="005C5978" w:rsidRPr="0035519F" w:rsidRDefault="005C5978" w:rsidP="00891FA6">
            <w:pPr>
              <w:pStyle w:val="TableParagraph"/>
              <w:jc w:val="center"/>
              <w:rPr>
                <w:rFonts w:cs="Arial"/>
              </w:rPr>
            </w:pPr>
            <w:r w:rsidRPr="0035519F">
              <w:rPr>
                <w:rFonts w:cs="Arial"/>
              </w:rPr>
              <w:t>SD</w:t>
            </w:r>
          </w:p>
        </w:tc>
      </w:tr>
      <w:tr w:rsidR="00117F69" w:rsidRPr="0035519F" w14:paraId="23907722" w14:textId="77777777" w:rsidTr="00451DB9">
        <w:trPr>
          <w:trHeight w:val="828"/>
        </w:trPr>
        <w:tc>
          <w:tcPr>
            <w:tcW w:w="2255" w:type="dxa"/>
            <w:tcBorders>
              <w:top w:val="single" w:sz="4" w:space="0" w:color="auto"/>
              <w:bottom w:val="single" w:sz="4" w:space="0" w:color="auto"/>
            </w:tcBorders>
          </w:tcPr>
          <w:p w14:paraId="79384C9B" w14:textId="77777777" w:rsidR="005C5978" w:rsidRPr="0035519F" w:rsidRDefault="005C5978" w:rsidP="00891FA6">
            <w:pPr>
              <w:pStyle w:val="TableParagraph"/>
              <w:rPr>
                <w:rFonts w:cs="Arial"/>
              </w:rPr>
            </w:pPr>
            <w:r w:rsidRPr="0035519F">
              <w:rPr>
                <w:rFonts w:cs="Arial"/>
              </w:rPr>
              <w:t>Jenis Kelamin</w:t>
            </w:r>
          </w:p>
          <w:p w14:paraId="7FDFC174" w14:textId="77777777" w:rsidR="005C5978" w:rsidRPr="0035519F" w:rsidRDefault="005C5978" w:rsidP="005C5978">
            <w:pPr>
              <w:pStyle w:val="TableParagraph"/>
              <w:ind w:left="184"/>
              <w:rPr>
                <w:rFonts w:cs="Arial"/>
              </w:rPr>
            </w:pPr>
            <w:r w:rsidRPr="0035519F">
              <w:rPr>
                <w:rFonts w:cs="Arial"/>
              </w:rPr>
              <w:t xml:space="preserve">Laki-laki </w:t>
            </w:r>
          </w:p>
          <w:p w14:paraId="0D6B3546" w14:textId="77777777" w:rsidR="005C5978" w:rsidRPr="0035519F" w:rsidRDefault="005C5978" w:rsidP="005C5978">
            <w:pPr>
              <w:pStyle w:val="TableParagraph"/>
              <w:ind w:left="184"/>
              <w:rPr>
                <w:rFonts w:cs="Arial"/>
              </w:rPr>
            </w:pPr>
            <w:r w:rsidRPr="0035519F">
              <w:rPr>
                <w:rFonts w:cs="Arial"/>
              </w:rPr>
              <w:t>Perempuan</w:t>
            </w:r>
          </w:p>
        </w:tc>
        <w:tc>
          <w:tcPr>
            <w:tcW w:w="984" w:type="dxa"/>
            <w:tcBorders>
              <w:top w:val="single" w:sz="4" w:space="0" w:color="auto"/>
              <w:bottom w:val="single" w:sz="4" w:space="0" w:color="auto"/>
            </w:tcBorders>
          </w:tcPr>
          <w:p w14:paraId="64E76ED5" w14:textId="77777777" w:rsidR="005C5978" w:rsidRPr="0035519F" w:rsidRDefault="005C5978" w:rsidP="005C5978">
            <w:pPr>
              <w:pStyle w:val="TableParagraph"/>
              <w:ind w:right="-15"/>
              <w:jc w:val="center"/>
              <w:rPr>
                <w:rFonts w:cs="Arial"/>
              </w:rPr>
            </w:pPr>
          </w:p>
          <w:p w14:paraId="1D93C842" w14:textId="48A8E215" w:rsidR="005C5978" w:rsidRPr="0035519F" w:rsidRDefault="005C5978" w:rsidP="005C5978">
            <w:pPr>
              <w:pStyle w:val="TableParagraph"/>
              <w:jc w:val="center"/>
              <w:rPr>
                <w:rFonts w:cs="Arial"/>
              </w:rPr>
            </w:pPr>
            <w:r w:rsidRPr="0035519F">
              <w:rPr>
                <w:rFonts w:cs="Arial"/>
              </w:rPr>
              <w:t>41</w:t>
            </w:r>
            <w:r w:rsidRPr="0035519F">
              <w:rPr>
                <w:rFonts w:cs="Arial"/>
                <w:spacing w:val="-9"/>
              </w:rPr>
              <w:t xml:space="preserve"> </w:t>
            </w:r>
            <w:r w:rsidRPr="0035519F">
              <w:rPr>
                <w:rFonts w:cs="Arial"/>
              </w:rPr>
              <w:t>(46,6)</w:t>
            </w:r>
          </w:p>
          <w:p w14:paraId="49764E83" w14:textId="533A60E6" w:rsidR="005C5978" w:rsidRPr="0035519F" w:rsidRDefault="005C5978" w:rsidP="005C5978">
            <w:pPr>
              <w:pStyle w:val="TableParagraph"/>
              <w:jc w:val="center"/>
              <w:rPr>
                <w:rFonts w:cs="Arial"/>
              </w:rPr>
            </w:pPr>
            <w:r w:rsidRPr="0035519F">
              <w:rPr>
                <w:rFonts w:cs="Arial"/>
              </w:rPr>
              <w:t>47</w:t>
            </w:r>
            <w:r w:rsidRPr="0035519F">
              <w:rPr>
                <w:rFonts w:cs="Arial"/>
                <w:spacing w:val="-10"/>
              </w:rPr>
              <w:t xml:space="preserve"> </w:t>
            </w:r>
            <w:r w:rsidRPr="0035519F">
              <w:rPr>
                <w:rFonts w:cs="Arial"/>
              </w:rPr>
              <w:t>(53,4)</w:t>
            </w:r>
          </w:p>
        </w:tc>
        <w:tc>
          <w:tcPr>
            <w:tcW w:w="1081" w:type="dxa"/>
            <w:tcBorders>
              <w:top w:val="single" w:sz="4" w:space="0" w:color="auto"/>
              <w:bottom w:val="single" w:sz="4" w:space="0" w:color="auto"/>
            </w:tcBorders>
          </w:tcPr>
          <w:p w14:paraId="5AAEDCD1" w14:textId="77777777" w:rsidR="005C5978" w:rsidRPr="0035519F" w:rsidRDefault="005C5978" w:rsidP="00891FA6">
            <w:pPr>
              <w:pStyle w:val="TableParagraph"/>
              <w:rPr>
                <w:rFonts w:cs="Arial"/>
              </w:rPr>
            </w:pPr>
          </w:p>
        </w:tc>
        <w:tc>
          <w:tcPr>
            <w:tcW w:w="1080" w:type="dxa"/>
            <w:tcBorders>
              <w:top w:val="single" w:sz="4" w:space="0" w:color="auto"/>
              <w:bottom w:val="single" w:sz="4" w:space="0" w:color="auto"/>
            </w:tcBorders>
          </w:tcPr>
          <w:p w14:paraId="015A26FB" w14:textId="77777777" w:rsidR="005C5978" w:rsidRPr="0035519F" w:rsidRDefault="005C5978" w:rsidP="00891FA6">
            <w:pPr>
              <w:pStyle w:val="TableParagraph"/>
              <w:rPr>
                <w:rFonts w:cs="Arial"/>
              </w:rPr>
            </w:pPr>
          </w:p>
        </w:tc>
        <w:tc>
          <w:tcPr>
            <w:tcW w:w="900" w:type="dxa"/>
            <w:tcBorders>
              <w:top w:val="single" w:sz="4" w:space="0" w:color="auto"/>
              <w:bottom w:val="single" w:sz="4" w:space="0" w:color="auto"/>
            </w:tcBorders>
          </w:tcPr>
          <w:p w14:paraId="7A96119E" w14:textId="77777777" w:rsidR="005C5978" w:rsidRPr="0035519F" w:rsidRDefault="005C5978" w:rsidP="00891FA6">
            <w:pPr>
              <w:pStyle w:val="TableParagraph"/>
              <w:rPr>
                <w:rFonts w:cs="Arial"/>
              </w:rPr>
            </w:pPr>
          </w:p>
        </w:tc>
        <w:tc>
          <w:tcPr>
            <w:tcW w:w="905" w:type="dxa"/>
            <w:tcBorders>
              <w:top w:val="single" w:sz="4" w:space="0" w:color="auto"/>
              <w:bottom w:val="single" w:sz="4" w:space="0" w:color="auto"/>
            </w:tcBorders>
          </w:tcPr>
          <w:p w14:paraId="46E27624" w14:textId="77777777" w:rsidR="005C5978" w:rsidRPr="0035519F" w:rsidRDefault="005C5978" w:rsidP="00891FA6">
            <w:pPr>
              <w:pStyle w:val="TableParagraph"/>
              <w:rPr>
                <w:rFonts w:cs="Arial"/>
              </w:rPr>
            </w:pPr>
          </w:p>
        </w:tc>
        <w:tc>
          <w:tcPr>
            <w:tcW w:w="810" w:type="dxa"/>
            <w:tcBorders>
              <w:top w:val="single" w:sz="4" w:space="0" w:color="auto"/>
              <w:bottom w:val="single" w:sz="4" w:space="0" w:color="auto"/>
            </w:tcBorders>
          </w:tcPr>
          <w:p w14:paraId="6A2EE191" w14:textId="5C29B3C5" w:rsidR="005C5978" w:rsidRPr="0035519F" w:rsidRDefault="005C5978" w:rsidP="00891FA6">
            <w:pPr>
              <w:pStyle w:val="TableParagraph"/>
              <w:rPr>
                <w:rFonts w:cs="Arial"/>
              </w:rPr>
            </w:pPr>
          </w:p>
        </w:tc>
      </w:tr>
      <w:tr w:rsidR="00117F69" w:rsidRPr="0035519F" w14:paraId="78BB3499" w14:textId="77777777" w:rsidTr="00451DB9">
        <w:trPr>
          <w:trHeight w:val="1102"/>
        </w:trPr>
        <w:tc>
          <w:tcPr>
            <w:tcW w:w="2255" w:type="dxa"/>
            <w:tcBorders>
              <w:top w:val="single" w:sz="4" w:space="0" w:color="auto"/>
              <w:bottom w:val="single" w:sz="4" w:space="0" w:color="auto"/>
            </w:tcBorders>
          </w:tcPr>
          <w:p w14:paraId="783705B3" w14:textId="77777777" w:rsidR="005C5978" w:rsidRPr="0035519F" w:rsidRDefault="005C5978" w:rsidP="00891FA6">
            <w:pPr>
              <w:pStyle w:val="TableParagraph"/>
              <w:rPr>
                <w:rFonts w:cs="Arial"/>
              </w:rPr>
            </w:pPr>
            <w:r w:rsidRPr="0035519F">
              <w:rPr>
                <w:rFonts w:cs="Arial"/>
              </w:rPr>
              <w:t>Status</w:t>
            </w:r>
          </w:p>
          <w:p w14:paraId="71E2A6A0" w14:textId="77777777" w:rsidR="005C5978" w:rsidRPr="0035519F" w:rsidRDefault="005C5978" w:rsidP="005C5978">
            <w:pPr>
              <w:pStyle w:val="TableParagraph"/>
              <w:ind w:left="184"/>
              <w:rPr>
                <w:rFonts w:cs="Arial"/>
              </w:rPr>
            </w:pPr>
            <w:r w:rsidRPr="0035519F">
              <w:rPr>
                <w:rFonts w:cs="Arial"/>
              </w:rPr>
              <w:t>Obesitas sentral</w:t>
            </w:r>
          </w:p>
          <w:p w14:paraId="1F1F390B" w14:textId="77777777" w:rsidR="005C5978" w:rsidRPr="0035519F" w:rsidRDefault="005C5978" w:rsidP="005C5978">
            <w:pPr>
              <w:pStyle w:val="TableParagraph"/>
              <w:ind w:left="184"/>
              <w:rPr>
                <w:rFonts w:cs="Arial"/>
              </w:rPr>
            </w:pPr>
            <w:r w:rsidRPr="0035519F">
              <w:rPr>
                <w:rFonts w:cs="Arial"/>
              </w:rPr>
              <w:t>Tanpa Obesitas sentral</w:t>
            </w:r>
          </w:p>
        </w:tc>
        <w:tc>
          <w:tcPr>
            <w:tcW w:w="984" w:type="dxa"/>
            <w:tcBorders>
              <w:top w:val="single" w:sz="4" w:space="0" w:color="auto"/>
              <w:bottom w:val="single" w:sz="4" w:space="0" w:color="auto"/>
            </w:tcBorders>
          </w:tcPr>
          <w:p w14:paraId="0BDC2AA6" w14:textId="77777777" w:rsidR="005C5978" w:rsidRPr="0035519F" w:rsidRDefault="005C5978" w:rsidP="005C5978">
            <w:pPr>
              <w:pStyle w:val="TableParagraph"/>
              <w:jc w:val="center"/>
              <w:rPr>
                <w:rFonts w:cs="Arial"/>
              </w:rPr>
            </w:pPr>
          </w:p>
          <w:p w14:paraId="185CD901" w14:textId="77777777" w:rsidR="005C5978" w:rsidRPr="0035519F" w:rsidRDefault="005C5978" w:rsidP="005C5978">
            <w:pPr>
              <w:pStyle w:val="TableParagraph"/>
              <w:jc w:val="center"/>
              <w:rPr>
                <w:rFonts w:cs="Arial"/>
              </w:rPr>
            </w:pPr>
            <w:r w:rsidRPr="0035519F">
              <w:rPr>
                <w:rFonts w:cs="Arial"/>
              </w:rPr>
              <w:t>44</w:t>
            </w:r>
            <w:r w:rsidRPr="0035519F">
              <w:rPr>
                <w:rFonts w:cs="Arial"/>
                <w:spacing w:val="-7"/>
              </w:rPr>
              <w:t xml:space="preserve"> </w:t>
            </w:r>
            <w:r w:rsidRPr="0035519F">
              <w:rPr>
                <w:rFonts w:cs="Arial"/>
              </w:rPr>
              <w:t>(50)</w:t>
            </w:r>
          </w:p>
          <w:p w14:paraId="3CFDC5C5" w14:textId="77777777" w:rsidR="005C5978" w:rsidRPr="0035519F" w:rsidRDefault="005C5978" w:rsidP="005C5978">
            <w:pPr>
              <w:pStyle w:val="TableParagraph"/>
              <w:spacing w:before="11"/>
              <w:jc w:val="center"/>
              <w:rPr>
                <w:rFonts w:cs="Arial"/>
              </w:rPr>
            </w:pPr>
            <w:r w:rsidRPr="0035519F">
              <w:rPr>
                <w:rFonts w:cs="Arial"/>
              </w:rPr>
              <w:t>44</w:t>
            </w:r>
            <w:r w:rsidRPr="0035519F">
              <w:rPr>
                <w:rFonts w:cs="Arial"/>
                <w:spacing w:val="-7"/>
              </w:rPr>
              <w:t xml:space="preserve"> </w:t>
            </w:r>
            <w:r w:rsidRPr="0035519F">
              <w:rPr>
                <w:rFonts w:cs="Arial"/>
              </w:rPr>
              <w:t>(50)</w:t>
            </w:r>
          </w:p>
          <w:p w14:paraId="6E98D833" w14:textId="77777777" w:rsidR="005C5978" w:rsidRPr="0035519F" w:rsidRDefault="005C5978" w:rsidP="005C5978">
            <w:pPr>
              <w:pStyle w:val="TableParagraph"/>
              <w:jc w:val="center"/>
              <w:rPr>
                <w:rFonts w:cs="Arial"/>
              </w:rPr>
            </w:pPr>
          </w:p>
        </w:tc>
        <w:tc>
          <w:tcPr>
            <w:tcW w:w="1081" w:type="dxa"/>
            <w:tcBorders>
              <w:top w:val="single" w:sz="4" w:space="0" w:color="auto"/>
              <w:bottom w:val="single" w:sz="4" w:space="0" w:color="auto"/>
            </w:tcBorders>
          </w:tcPr>
          <w:p w14:paraId="78AB2139" w14:textId="77777777" w:rsidR="005C5978" w:rsidRPr="0035519F" w:rsidRDefault="005C5978" w:rsidP="00891FA6">
            <w:pPr>
              <w:pStyle w:val="TableParagraph"/>
              <w:rPr>
                <w:rFonts w:cs="Arial"/>
              </w:rPr>
            </w:pPr>
          </w:p>
        </w:tc>
        <w:tc>
          <w:tcPr>
            <w:tcW w:w="1080" w:type="dxa"/>
            <w:tcBorders>
              <w:top w:val="single" w:sz="4" w:space="0" w:color="auto"/>
              <w:bottom w:val="single" w:sz="4" w:space="0" w:color="auto"/>
            </w:tcBorders>
          </w:tcPr>
          <w:p w14:paraId="58267BEB" w14:textId="77777777" w:rsidR="005C5978" w:rsidRPr="0035519F" w:rsidRDefault="005C5978" w:rsidP="00891FA6">
            <w:pPr>
              <w:pStyle w:val="TableParagraph"/>
              <w:rPr>
                <w:rFonts w:cs="Arial"/>
              </w:rPr>
            </w:pPr>
          </w:p>
        </w:tc>
        <w:tc>
          <w:tcPr>
            <w:tcW w:w="900" w:type="dxa"/>
            <w:tcBorders>
              <w:top w:val="single" w:sz="4" w:space="0" w:color="auto"/>
              <w:bottom w:val="single" w:sz="4" w:space="0" w:color="auto"/>
            </w:tcBorders>
          </w:tcPr>
          <w:p w14:paraId="576CDC15" w14:textId="77777777" w:rsidR="005C5978" w:rsidRPr="0035519F" w:rsidRDefault="005C5978" w:rsidP="00891FA6">
            <w:pPr>
              <w:pStyle w:val="TableParagraph"/>
              <w:rPr>
                <w:rFonts w:cs="Arial"/>
              </w:rPr>
            </w:pPr>
          </w:p>
        </w:tc>
        <w:tc>
          <w:tcPr>
            <w:tcW w:w="905" w:type="dxa"/>
            <w:tcBorders>
              <w:top w:val="single" w:sz="4" w:space="0" w:color="auto"/>
              <w:bottom w:val="single" w:sz="4" w:space="0" w:color="auto"/>
            </w:tcBorders>
          </w:tcPr>
          <w:p w14:paraId="088C9993" w14:textId="77777777" w:rsidR="005C5978" w:rsidRPr="0035519F" w:rsidRDefault="005C5978" w:rsidP="00891FA6">
            <w:pPr>
              <w:pStyle w:val="TableParagraph"/>
              <w:rPr>
                <w:rFonts w:cs="Arial"/>
              </w:rPr>
            </w:pPr>
          </w:p>
        </w:tc>
        <w:tc>
          <w:tcPr>
            <w:tcW w:w="810" w:type="dxa"/>
            <w:tcBorders>
              <w:top w:val="single" w:sz="4" w:space="0" w:color="auto"/>
              <w:bottom w:val="single" w:sz="4" w:space="0" w:color="auto"/>
            </w:tcBorders>
          </w:tcPr>
          <w:p w14:paraId="0643F92F" w14:textId="78DB1A4B" w:rsidR="005C5978" w:rsidRPr="0035519F" w:rsidRDefault="005C5978" w:rsidP="00891FA6">
            <w:pPr>
              <w:pStyle w:val="TableParagraph"/>
              <w:rPr>
                <w:rFonts w:cs="Arial"/>
              </w:rPr>
            </w:pPr>
          </w:p>
        </w:tc>
      </w:tr>
      <w:tr w:rsidR="00117F69" w:rsidRPr="0035519F" w14:paraId="7C8F5FE4" w14:textId="77777777" w:rsidTr="00451DB9">
        <w:trPr>
          <w:trHeight w:val="275"/>
        </w:trPr>
        <w:tc>
          <w:tcPr>
            <w:tcW w:w="2255" w:type="dxa"/>
            <w:tcBorders>
              <w:top w:val="single" w:sz="4" w:space="0" w:color="auto"/>
            </w:tcBorders>
          </w:tcPr>
          <w:p w14:paraId="40DDB816" w14:textId="77777777" w:rsidR="005C5978" w:rsidRPr="0035519F" w:rsidRDefault="005C5978" w:rsidP="00891FA6">
            <w:pPr>
              <w:pStyle w:val="TableParagraph"/>
              <w:rPr>
                <w:rFonts w:cs="Arial"/>
              </w:rPr>
            </w:pPr>
            <w:r w:rsidRPr="0035519F">
              <w:rPr>
                <w:rFonts w:cs="Arial"/>
              </w:rPr>
              <w:t>Umur (tahun)</w:t>
            </w:r>
          </w:p>
        </w:tc>
        <w:tc>
          <w:tcPr>
            <w:tcW w:w="984" w:type="dxa"/>
            <w:tcBorders>
              <w:top w:val="single" w:sz="4" w:space="0" w:color="auto"/>
            </w:tcBorders>
          </w:tcPr>
          <w:p w14:paraId="14EBEA0E" w14:textId="77777777" w:rsidR="005C5978" w:rsidRPr="0035519F" w:rsidRDefault="005C5978" w:rsidP="00891FA6">
            <w:pPr>
              <w:pStyle w:val="TableParagraph"/>
              <w:rPr>
                <w:rFonts w:cs="Arial"/>
              </w:rPr>
            </w:pPr>
          </w:p>
        </w:tc>
        <w:tc>
          <w:tcPr>
            <w:tcW w:w="1081" w:type="dxa"/>
            <w:tcBorders>
              <w:top w:val="single" w:sz="4" w:space="0" w:color="auto"/>
            </w:tcBorders>
          </w:tcPr>
          <w:p w14:paraId="397EC832"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22</w:t>
            </w:r>
          </w:p>
        </w:tc>
        <w:tc>
          <w:tcPr>
            <w:tcW w:w="1080" w:type="dxa"/>
            <w:tcBorders>
              <w:top w:val="single" w:sz="4" w:space="0" w:color="auto"/>
            </w:tcBorders>
          </w:tcPr>
          <w:p w14:paraId="4FD2E6FA"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49</w:t>
            </w:r>
          </w:p>
        </w:tc>
        <w:tc>
          <w:tcPr>
            <w:tcW w:w="900" w:type="dxa"/>
            <w:tcBorders>
              <w:top w:val="single" w:sz="4" w:space="0" w:color="auto"/>
            </w:tcBorders>
          </w:tcPr>
          <w:p w14:paraId="68F3E33A"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31,39</w:t>
            </w:r>
          </w:p>
        </w:tc>
        <w:tc>
          <w:tcPr>
            <w:tcW w:w="905" w:type="dxa"/>
            <w:tcBorders>
              <w:top w:val="single" w:sz="4" w:space="0" w:color="auto"/>
            </w:tcBorders>
          </w:tcPr>
          <w:p w14:paraId="47514CF7" w14:textId="02E1CD85" w:rsidR="005C5978" w:rsidRPr="0035519F" w:rsidRDefault="005C5978" w:rsidP="00891FA6">
            <w:pPr>
              <w:spacing w:after="0" w:line="240" w:lineRule="auto"/>
              <w:ind w:right="60"/>
              <w:jc w:val="center"/>
              <w:rPr>
                <w:rFonts w:ascii="Arial" w:hAnsi="Arial" w:cs="Arial"/>
              </w:rPr>
            </w:pPr>
            <w:r w:rsidRPr="0035519F">
              <w:rPr>
                <w:rFonts w:ascii="Arial" w:hAnsi="Arial" w:cs="Arial"/>
              </w:rPr>
              <w:t>30</w:t>
            </w:r>
          </w:p>
        </w:tc>
        <w:tc>
          <w:tcPr>
            <w:tcW w:w="810" w:type="dxa"/>
            <w:tcBorders>
              <w:top w:val="single" w:sz="4" w:space="0" w:color="auto"/>
            </w:tcBorders>
          </w:tcPr>
          <w:p w14:paraId="6F61232D" w14:textId="14EC464A" w:rsidR="005C5978" w:rsidRPr="0035519F" w:rsidRDefault="005C5978" w:rsidP="00891FA6">
            <w:pPr>
              <w:spacing w:after="0" w:line="240" w:lineRule="auto"/>
              <w:ind w:right="60"/>
              <w:jc w:val="center"/>
              <w:rPr>
                <w:rFonts w:ascii="Arial" w:hAnsi="Arial" w:cs="Arial"/>
              </w:rPr>
            </w:pPr>
            <w:r w:rsidRPr="0035519F">
              <w:rPr>
                <w:rFonts w:ascii="Arial" w:hAnsi="Arial" w:cs="Arial"/>
              </w:rPr>
              <w:t>4,65</w:t>
            </w:r>
          </w:p>
        </w:tc>
      </w:tr>
      <w:tr w:rsidR="00117F69" w:rsidRPr="0035519F" w14:paraId="229F4B4E" w14:textId="77777777" w:rsidTr="00451DB9">
        <w:trPr>
          <w:trHeight w:val="276"/>
        </w:trPr>
        <w:tc>
          <w:tcPr>
            <w:tcW w:w="2255" w:type="dxa"/>
          </w:tcPr>
          <w:p w14:paraId="235EB96C" w14:textId="77777777" w:rsidR="005C5978" w:rsidRPr="0035519F" w:rsidRDefault="005C5978" w:rsidP="00891FA6">
            <w:pPr>
              <w:pStyle w:val="TableParagraph"/>
              <w:rPr>
                <w:rFonts w:cs="Arial"/>
              </w:rPr>
            </w:pPr>
            <w:r w:rsidRPr="0035519F">
              <w:rPr>
                <w:rFonts w:cs="Arial"/>
              </w:rPr>
              <w:t>Lingkar Pinggang (cm)</w:t>
            </w:r>
          </w:p>
        </w:tc>
        <w:tc>
          <w:tcPr>
            <w:tcW w:w="984" w:type="dxa"/>
          </w:tcPr>
          <w:p w14:paraId="03FC2700" w14:textId="77777777" w:rsidR="005C5978" w:rsidRPr="0035519F" w:rsidRDefault="005C5978" w:rsidP="00891FA6">
            <w:pPr>
              <w:pStyle w:val="TableParagraph"/>
              <w:rPr>
                <w:rFonts w:cs="Arial"/>
              </w:rPr>
            </w:pPr>
          </w:p>
        </w:tc>
        <w:tc>
          <w:tcPr>
            <w:tcW w:w="1081" w:type="dxa"/>
          </w:tcPr>
          <w:p w14:paraId="7B70D867"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55,7</w:t>
            </w:r>
          </w:p>
        </w:tc>
        <w:tc>
          <w:tcPr>
            <w:tcW w:w="1080" w:type="dxa"/>
          </w:tcPr>
          <w:p w14:paraId="332AEA78"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123,0</w:t>
            </w:r>
          </w:p>
        </w:tc>
        <w:tc>
          <w:tcPr>
            <w:tcW w:w="900" w:type="dxa"/>
          </w:tcPr>
          <w:p w14:paraId="1071CB99" w14:textId="7FAF2E3F" w:rsidR="005C5978" w:rsidRPr="0035519F" w:rsidRDefault="005C5978" w:rsidP="00891FA6">
            <w:pPr>
              <w:spacing w:after="0" w:line="240" w:lineRule="auto"/>
              <w:ind w:right="60"/>
              <w:jc w:val="center"/>
              <w:rPr>
                <w:rFonts w:ascii="Arial" w:hAnsi="Arial" w:cs="Arial"/>
              </w:rPr>
            </w:pPr>
            <w:r w:rsidRPr="0035519F">
              <w:rPr>
                <w:rFonts w:ascii="Arial" w:hAnsi="Arial" w:cs="Arial"/>
              </w:rPr>
              <w:t>84,73</w:t>
            </w:r>
          </w:p>
        </w:tc>
        <w:tc>
          <w:tcPr>
            <w:tcW w:w="905" w:type="dxa"/>
          </w:tcPr>
          <w:p w14:paraId="197D790B" w14:textId="2608A8D5" w:rsidR="005C5978" w:rsidRPr="0035519F" w:rsidRDefault="00446CBD" w:rsidP="00891FA6">
            <w:pPr>
              <w:spacing w:after="0" w:line="240" w:lineRule="auto"/>
              <w:ind w:right="60"/>
              <w:jc w:val="center"/>
              <w:rPr>
                <w:rFonts w:ascii="Arial" w:hAnsi="Arial" w:cs="Arial"/>
              </w:rPr>
            </w:pPr>
            <w:r w:rsidRPr="0035519F">
              <w:rPr>
                <w:rFonts w:ascii="Arial" w:hAnsi="Arial" w:cs="Arial"/>
              </w:rPr>
              <w:t>85</w:t>
            </w:r>
          </w:p>
        </w:tc>
        <w:tc>
          <w:tcPr>
            <w:tcW w:w="810" w:type="dxa"/>
          </w:tcPr>
          <w:p w14:paraId="789C636D" w14:textId="15026F88" w:rsidR="005C5978" w:rsidRPr="0035519F" w:rsidRDefault="005C5978" w:rsidP="00891FA6">
            <w:pPr>
              <w:spacing w:after="0" w:line="240" w:lineRule="auto"/>
              <w:ind w:right="60"/>
              <w:jc w:val="center"/>
              <w:rPr>
                <w:rFonts w:ascii="Arial" w:hAnsi="Arial" w:cs="Arial"/>
              </w:rPr>
            </w:pPr>
            <w:r w:rsidRPr="0035519F">
              <w:rPr>
                <w:rFonts w:ascii="Arial" w:hAnsi="Arial" w:cs="Arial"/>
              </w:rPr>
              <w:t>11,94</w:t>
            </w:r>
          </w:p>
        </w:tc>
      </w:tr>
      <w:tr w:rsidR="00117F69" w:rsidRPr="0035519F" w14:paraId="330FFAEA" w14:textId="77777777" w:rsidTr="00451DB9">
        <w:trPr>
          <w:trHeight w:val="275"/>
        </w:trPr>
        <w:tc>
          <w:tcPr>
            <w:tcW w:w="2255" w:type="dxa"/>
          </w:tcPr>
          <w:p w14:paraId="5418A8CE" w14:textId="1B4D3EB4" w:rsidR="005C5978" w:rsidRPr="0035519F" w:rsidRDefault="005C5978" w:rsidP="00451DB9">
            <w:pPr>
              <w:spacing w:after="0" w:line="240" w:lineRule="auto"/>
              <w:ind w:right="60"/>
              <w:rPr>
                <w:rFonts w:ascii="Arial" w:hAnsi="Arial" w:cs="Arial"/>
              </w:rPr>
            </w:pPr>
            <w:r w:rsidRPr="0035519F">
              <w:rPr>
                <w:rFonts w:ascii="Arial" w:hAnsi="Arial" w:cs="Arial"/>
              </w:rPr>
              <w:t>GDP</w:t>
            </w:r>
            <w:r w:rsidR="00451DB9" w:rsidRPr="0035519F">
              <w:rPr>
                <w:rFonts w:ascii="Arial" w:hAnsi="Arial" w:cs="Arial"/>
              </w:rPr>
              <w:t xml:space="preserve"> (mg/dL)</w:t>
            </w:r>
          </w:p>
        </w:tc>
        <w:tc>
          <w:tcPr>
            <w:tcW w:w="984" w:type="dxa"/>
          </w:tcPr>
          <w:p w14:paraId="5110CCE3" w14:textId="77777777" w:rsidR="005C5978" w:rsidRPr="0035519F" w:rsidRDefault="005C5978" w:rsidP="00891FA6">
            <w:pPr>
              <w:spacing w:after="0" w:line="240" w:lineRule="auto"/>
              <w:ind w:right="60"/>
              <w:jc w:val="right"/>
              <w:rPr>
                <w:rFonts w:ascii="Arial" w:hAnsi="Arial" w:cs="Arial"/>
              </w:rPr>
            </w:pPr>
          </w:p>
        </w:tc>
        <w:tc>
          <w:tcPr>
            <w:tcW w:w="1081" w:type="dxa"/>
          </w:tcPr>
          <w:p w14:paraId="0C910971"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28,10</w:t>
            </w:r>
          </w:p>
        </w:tc>
        <w:tc>
          <w:tcPr>
            <w:tcW w:w="1080" w:type="dxa"/>
          </w:tcPr>
          <w:p w14:paraId="3323F9E3"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106,80</w:t>
            </w:r>
          </w:p>
        </w:tc>
        <w:tc>
          <w:tcPr>
            <w:tcW w:w="900" w:type="dxa"/>
          </w:tcPr>
          <w:p w14:paraId="06363809" w14:textId="1DF85575" w:rsidR="005C5978" w:rsidRPr="0035519F" w:rsidRDefault="005C5978" w:rsidP="00891FA6">
            <w:pPr>
              <w:spacing w:after="0" w:line="240" w:lineRule="auto"/>
              <w:ind w:right="60"/>
              <w:jc w:val="center"/>
              <w:rPr>
                <w:rFonts w:ascii="Arial" w:hAnsi="Arial" w:cs="Arial"/>
              </w:rPr>
            </w:pPr>
            <w:r w:rsidRPr="0035519F">
              <w:rPr>
                <w:rFonts w:ascii="Arial" w:hAnsi="Arial" w:cs="Arial"/>
              </w:rPr>
              <w:t>66,04</w:t>
            </w:r>
          </w:p>
        </w:tc>
        <w:tc>
          <w:tcPr>
            <w:tcW w:w="905" w:type="dxa"/>
          </w:tcPr>
          <w:p w14:paraId="7F97B047" w14:textId="6C799994" w:rsidR="005C5978" w:rsidRPr="0035519F" w:rsidRDefault="00446CBD" w:rsidP="00310B3A">
            <w:pPr>
              <w:spacing w:after="0" w:line="240" w:lineRule="auto"/>
              <w:ind w:right="60"/>
              <w:jc w:val="center"/>
              <w:rPr>
                <w:rFonts w:ascii="Arial" w:hAnsi="Arial" w:cs="Arial"/>
              </w:rPr>
            </w:pPr>
            <w:r w:rsidRPr="0035519F">
              <w:rPr>
                <w:rFonts w:ascii="Arial" w:hAnsi="Arial" w:cs="Arial"/>
              </w:rPr>
              <w:t>64,25</w:t>
            </w:r>
          </w:p>
        </w:tc>
        <w:tc>
          <w:tcPr>
            <w:tcW w:w="810" w:type="dxa"/>
          </w:tcPr>
          <w:p w14:paraId="69105815" w14:textId="7D995D28" w:rsidR="005C5978" w:rsidRPr="0035519F" w:rsidRDefault="005C5978" w:rsidP="00310B3A">
            <w:pPr>
              <w:spacing w:after="0" w:line="240" w:lineRule="auto"/>
              <w:ind w:right="60"/>
              <w:jc w:val="center"/>
              <w:rPr>
                <w:rFonts w:ascii="Arial" w:hAnsi="Arial" w:cs="Arial"/>
              </w:rPr>
            </w:pPr>
            <w:r w:rsidRPr="0035519F">
              <w:rPr>
                <w:rFonts w:ascii="Arial" w:hAnsi="Arial" w:cs="Arial"/>
              </w:rPr>
              <w:t>15,54</w:t>
            </w:r>
          </w:p>
        </w:tc>
      </w:tr>
      <w:tr w:rsidR="00117F69" w:rsidRPr="0035519F" w14:paraId="26DF9126" w14:textId="77777777" w:rsidTr="00451DB9">
        <w:trPr>
          <w:trHeight w:val="275"/>
        </w:trPr>
        <w:tc>
          <w:tcPr>
            <w:tcW w:w="2255" w:type="dxa"/>
          </w:tcPr>
          <w:p w14:paraId="0719C252" w14:textId="5A9D294F" w:rsidR="005C5978" w:rsidRPr="0035519F" w:rsidRDefault="005C5978" w:rsidP="00891FA6">
            <w:pPr>
              <w:spacing w:after="0" w:line="240" w:lineRule="auto"/>
              <w:ind w:right="60"/>
              <w:rPr>
                <w:rFonts w:ascii="Arial" w:hAnsi="Arial" w:cs="Arial"/>
              </w:rPr>
            </w:pPr>
            <w:r w:rsidRPr="0035519F">
              <w:rPr>
                <w:rFonts w:ascii="Arial" w:hAnsi="Arial" w:cs="Arial"/>
              </w:rPr>
              <w:t>Insulin Puasa</w:t>
            </w:r>
            <w:r w:rsidR="00451DB9" w:rsidRPr="0035519F">
              <w:rPr>
                <w:rFonts w:ascii="Arial" w:hAnsi="Arial" w:cs="Arial"/>
              </w:rPr>
              <w:t xml:space="preserve"> (µU/mL)</w:t>
            </w:r>
          </w:p>
        </w:tc>
        <w:tc>
          <w:tcPr>
            <w:tcW w:w="984" w:type="dxa"/>
          </w:tcPr>
          <w:p w14:paraId="02407911" w14:textId="77777777" w:rsidR="005C5978" w:rsidRPr="0035519F" w:rsidRDefault="005C5978" w:rsidP="00891FA6">
            <w:pPr>
              <w:spacing w:after="0" w:line="240" w:lineRule="auto"/>
              <w:ind w:right="60"/>
              <w:jc w:val="right"/>
              <w:rPr>
                <w:rFonts w:ascii="Arial" w:hAnsi="Arial" w:cs="Arial"/>
              </w:rPr>
            </w:pPr>
          </w:p>
        </w:tc>
        <w:tc>
          <w:tcPr>
            <w:tcW w:w="1081" w:type="dxa"/>
          </w:tcPr>
          <w:p w14:paraId="7E713A45"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2,60</w:t>
            </w:r>
          </w:p>
        </w:tc>
        <w:tc>
          <w:tcPr>
            <w:tcW w:w="1080" w:type="dxa"/>
          </w:tcPr>
          <w:p w14:paraId="58D552A4"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128,20</w:t>
            </w:r>
          </w:p>
        </w:tc>
        <w:tc>
          <w:tcPr>
            <w:tcW w:w="900" w:type="dxa"/>
          </w:tcPr>
          <w:p w14:paraId="0AD04BCD" w14:textId="78F860EF" w:rsidR="005C5978" w:rsidRPr="0035519F" w:rsidRDefault="005C5978" w:rsidP="00891FA6">
            <w:pPr>
              <w:spacing w:after="0" w:line="240" w:lineRule="auto"/>
              <w:ind w:right="60"/>
              <w:jc w:val="center"/>
              <w:rPr>
                <w:rFonts w:ascii="Arial" w:hAnsi="Arial" w:cs="Arial"/>
              </w:rPr>
            </w:pPr>
            <w:r w:rsidRPr="0035519F">
              <w:rPr>
                <w:rFonts w:ascii="Arial" w:hAnsi="Arial" w:cs="Arial"/>
              </w:rPr>
              <w:t>13,90</w:t>
            </w:r>
          </w:p>
        </w:tc>
        <w:tc>
          <w:tcPr>
            <w:tcW w:w="905" w:type="dxa"/>
          </w:tcPr>
          <w:p w14:paraId="6FA87385" w14:textId="15E98191" w:rsidR="005C5978" w:rsidRPr="0035519F" w:rsidRDefault="00446CBD" w:rsidP="00891FA6">
            <w:pPr>
              <w:spacing w:after="0" w:line="240" w:lineRule="auto"/>
              <w:ind w:right="60"/>
              <w:jc w:val="center"/>
              <w:rPr>
                <w:rFonts w:ascii="Arial" w:hAnsi="Arial" w:cs="Arial"/>
              </w:rPr>
            </w:pPr>
            <w:r w:rsidRPr="0035519F">
              <w:rPr>
                <w:rFonts w:ascii="Arial" w:hAnsi="Arial" w:cs="Arial"/>
              </w:rPr>
              <w:t>10,21</w:t>
            </w:r>
          </w:p>
        </w:tc>
        <w:tc>
          <w:tcPr>
            <w:tcW w:w="810" w:type="dxa"/>
          </w:tcPr>
          <w:p w14:paraId="73F8B25D" w14:textId="79529198" w:rsidR="005C5978" w:rsidRPr="0035519F" w:rsidRDefault="005C5978" w:rsidP="00891FA6">
            <w:pPr>
              <w:spacing w:after="0" w:line="240" w:lineRule="auto"/>
              <w:ind w:right="60"/>
              <w:jc w:val="center"/>
              <w:rPr>
                <w:rFonts w:ascii="Arial" w:hAnsi="Arial" w:cs="Arial"/>
              </w:rPr>
            </w:pPr>
            <w:r w:rsidRPr="0035519F">
              <w:rPr>
                <w:rFonts w:ascii="Arial" w:hAnsi="Arial" w:cs="Arial"/>
              </w:rPr>
              <w:t>15,24</w:t>
            </w:r>
          </w:p>
        </w:tc>
      </w:tr>
      <w:tr w:rsidR="00117F69" w:rsidRPr="0035519F" w14:paraId="61BAA77B" w14:textId="77777777" w:rsidTr="00451DB9">
        <w:trPr>
          <w:trHeight w:val="276"/>
        </w:trPr>
        <w:tc>
          <w:tcPr>
            <w:tcW w:w="2255" w:type="dxa"/>
          </w:tcPr>
          <w:p w14:paraId="69D01FEA" w14:textId="77777777" w:rsidR="005C5978" w:rsidRPr="0035519F" w:rsidRDefault="005C5978" w:rsidP="00891FA6">
            <w:pPr>
              <w:spacing w:after="0" w:line="240" w:lineRule="auto"/>
              <w:ind w:right="60"/>
              <w:rPr>
                <w:rFonts w:ascii="Arial" w:hAnsi="Arial" w:cs="Arial"/>
              </w:rPr>
            </w:pPr>
            <w:r w:rsidRPr="0035519F">
              <w:rPr>
                <w:rFonts w:ascii="Arial" w:hAnsi="Arial" w:cs="Arial"/>
              </w:rPr>
              <w:t>Homa-IR</w:t>
            </w:r>
          </w:p>
        </w:tc>
        <w:tc>
          <w:tcPr>
            <w:tcW w:w="984" w:type="dxa"/>
          </w:tcPr>
          <w:p w14:paraId="70654E4A" w14:textId="77777777" w:rsidR="005C5978" w:rsidRPr="0035519F" w:rsidRDefault="005C5978" w:rsidP="00891FA6">
            <w:pPr>
              <w:spacing w:after="0" w:line="240" w:lineRule="auto"/>
              <w:ind w:right="60"/>
              <w:jc w:val="right"/>
              <w:rPr>
                <w:rFonts w:ascii="Arial" w:hAnsi="Arial" w:cs="Arial"/>
              </w:rPr>
            </w:pPr>
          </w:p>
        </w:tc>
        <w:tc>
          <w:tcPr>
            <w:tcW w:w="1081" w:type="dxa"/>
          </w:tcPr>
          <w:p w14:paraId="79795781"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0,34</w:t>
            </w:r>
          </w:p>
        </w:tc>
        <w:tc>
          <w:tcPr>
            <w:tcW w:w="1080" w:type="dxa"/>
          </w:tcPr>
          <w:p w14:paraId="3F1EDBFC"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28,55</w:t>
            </w:r>
          </w:p>
        </w:tc>
        <w:tc>
          <w:tcPr>
            <w:tcW w:w="900" w:type="dxa"/>
          </w:tcPr>
          <w:p w14:paraId="1DEA3096" w14:textId="70242351" w:rsidR="005C5978" w:rsidRPr="0035519F" w:rsidRDefault="005C5978" w:rsidP="00891FA6">
            <w:pPr>
              <w:spacing w:after="0" w:line="240" w:lineRule="auto"/>
              <w:ind w:right="60"/>
              <w:jc w:val="center"/>
              <w:rPr>
                <w:rFonts w:ascii="Arial" w:hAnsi="Arial" w:cs="Arial"/>
              </w:rPr>
            </w:pPr>
            <w:r w:rsidRPr="0035519F">
              <w:rPr>
                <w:rFonts w:ascii="Arial" w:hAnsi="Arial" w:cs="Arial"/>
              </w:rPr>
              <w:t>2,36</w:t>
            </w:r>
          </w:p>
        </w:tc>
        <w:tc>
          <w:tcPr>
            <w:tcW w:w="905" w:type="dxa"/>
          </w:tcPr>
          <w:p w14:paraId="2C559AEE" w14:textId="0A758B19" w:rsidR="005C5978" w:rsidRPr="0035519F" w:rsidRDefault="00446CBD" w:rsidP="00891FA6">
            <w:pPr>
              <w:spacing w:after="0" w:line="240" w:lineRule="auto"/>
              <w:ind w:right="60"/>
              <w:jc w:val="center"/>
              <w:rPr>
                <w:rFonts w:ascii="Arial" w:hAnsi="Arial" w:cs="Arial"/>
              </w:rPr>
            </w:pPr>
            <w:r w:rsidRPr="0035519F">
              <w:rPr>
                <w:rFonts w:ascii="Arial" w:hAnsi="Arial" w:cs="Arial"/>
              </w:rPr>
              <w:t>1,56</w:t>
            </w:r>
          </w:p>
        </w:tc>
        <w:tc>
          <w:tcPr>
            <w:tcW w:w="810" w:type="dxa"/>
          </w:tcPr>
          <w:p w14:paraId="3C569C65" w14:textId="2C64A689" w:rsidR="005C5978" w:rsidRPr="0035519F" w:rsidRDefault="005C5978" w:rsidP="00891FA6">
            <w:pPr>
              <w:spacing w:after="0" w:line="240" w:lineRule="auto"/>
              <w:ind w:right="60"/>
              <w:jc w:val="center"/>
              <w:rPr>
                <w:rFonts w:ascii="Arial" w:hAnsi="Arial" w:cs="Arial"/>
              </w:rPr>
            </w:pPr>
            <w:r w:rsidRPr="0035519F">
              <w:rPr>
                <w:rFonts w:ascii="Arial" w:hAnsi="Arial" w:cs="Arial"/>
              </w:rPr>
              <w:t>3,20</w:t>
            </w:r>
          </w:p>
        </w:tc>
      </w:tr>
      <w:tr w:rsidR="00117F69" w:rsidRPr="0035519F" w14:paraId="696683A3" w14:textId="77777777" w:rsidTr="00451DB9">
        <w:trPr>
          <w:trHeight w:val="273"/>
        </w:trPr>
        <w:tc>
          <w:tcPr>
            <w:tcW w:w="2255" w:type="dxa"/>
            <w:tcBorders>
              <w:bottom w:val="single" w:sz="4" w:space="0" w:color="auto"/>
            </w:tcBorders>
          </w:tcPr>
          <w:p w14:paraId="50B7FCE3" w14:textId="4436DCF9" w:rsidR="005C5978" w:rsidRPr="0035519F" w:rsidRDefault="005C5978" w:rsidP="00891FA6">
            <w:pPr>
              <w:spacing w:after="0" w:line="240" w:lineRule="auto"/>
              <w:ind w:right="60"/>
              <w:rPr>
                <w:rFonts w:ascii="Arial" w:hAnsi="Arial" w:cs="Arial"/>
              </w:rPr>
            </w:pPr>
            <w:r w:rsidRPr="0035519F">
              <w:rPr>
                <w:rFonts w:ascii="Arial" w:hAnsi="Arial" w:cs="Arial"/>
              </w:rPr>
              <w:t>IGF-1</w:t>
            </w:r>
            <w:r w:rsidR="00451DB9" w:rsidRPr="0035519F">
              <w:rPr>
                <w:rFonts w:ascii="Arial" w:hAnsi="Arial" w:cs="Arial"/>
              </w:rPr>
              <w:t xml:space="preserve"> (ng/mL)</w:t>
            </w:r>
          </w:p>
        </w:tc>
        <w:tc>
          <w:tcPr>
            <w:tcW w:w="984" w:type="dxa"/>
            <w:tcBorders>
              <w:bottom w:val="single" w:sz="4" w:space="0" w:color="auto"/>
            </w:tcBorders>
          </w:tcPr>
          <w:p w14:paraId="3D6D7D30" w14:textId="77777777" w:rsidR="005C5978" w:rsidRPr="0035519F" w:rsidRDefault="005C5978" w:rsidP="00891FA6">
            <w:pPr>
              <w:spacing w:after="0" w:line="240" w:lineRule="auto"/>
              <w:ind w:right="60"/>
              <w:jc w:val="right"/>
              <w:rPr>
                <w:rFonts w:ascii="Arial" w:hAnsi="Arial" w:cs="Arial"/>
              </w:rPr>
            </w:pPr>
          </w:p>
        </w:tc>
        <w:tc>
          <w:tcPr>
            <w:tcW w:w="1081" w:type="dxa"/>
            <w:tcBorders>
              <w:bottom w:val="single" w:sz="4" w:space="0" w:color="auto"/>
            </w:tcBorders>
          </w:tcPr>
          <w:p w14:paraId="2C68636B"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34,33</w:t>
            </w:r>
          </w:p>
        </w:tc>
        <w:tc>
          <w:tcPr>
            <w:tcW w:w="1080" w:type="dxa"/>
            <w:tcBorders>
              <w:bottom w:val="single" w:sz="4" w:space="0" w:color="auto"/>
            </w:tcBorders>
          </w:tcPr>
          <w:p w14:paraId="3BBAD690" w14:textId="77777777" w:rsidR="005C5978" w:rsidRPr="0035519F" w:rsidRDefault="005C5978" w:rsidP="00891FA6">
            <w:pPr>
              <w:spacing w:after="0" w:line="240" w:lineRule="auto"/>
              <w:ind w:right="60"/>
              <w:jc w:val="center"/>
              <w:rPr>
                <w:rFonts w:ascii="Arial" w:hAnsi="Arial" w:cs="Arial"/>
              </w:rPr>
            </w:pPr>
            <w:r w:rsidRPr="0035519F">
              <w:rPr>
                <w:rFonts w:ascii="Arial" w:hAnsi="Arial" w:cs="Arial"/>
              </w:rPr>
              <w:t>1360,44</w:t>
            </w:r>
          </w:p>
        </w:tc>
        <w:tc>
          <w:tcPr>
            <w:tcW w:w="900" w:type="dxa"/>
            <w:tcBorders>
              <w:bottom w:val="single" w:sz="4" w:space="0" w:color="auto"/>
            </w:tcBorders>
          </w:tcPr>
          <w:p w14:paraId="09C63239" w14:textId="342D6342" w:rsidR="005C5978" w:rsidRPr="0035519F" w:rsidRDefault="005C5978" w:rsidP="00310B3A">
            <w:pPr>
              <w:spacing w:after="0" w:line="240" w:lineRule="auto"/>
              <w:ind w:right="60"/>
              <w:jc w:val="center"/>
              <w:rPr>
                <w:rFonts w:ascii="Arial" w:hAnsi="Arial" w:cs="Arial"/>
              </w:rPr>
            </w:pPr>
            <w:r w:rsidRPr="0035519F">
              <w:rPr>
                <w:rFonts w:ascii="Arial" w:hAnsi="Arial" w:cs="Arial"/>
              </w:rPr>
              <w:t>401,59</w:t>
            </w:r>
          </w:p>
        </w:tc>
        <w:tc>
          <w:tcPr>
            <w:tcW w:w="905" w:type="dxa"/>
            <w:tcBorders>
              <w:bottom w:val="single" w:sz="4" w:space="0" w:color="auto"/>
            </w:tcBorders>
          </w:tcPr>
          <w:p w14:paraId="153B708A" w14:textId="74338495" w:rsidR="005C5978" w:rsidRPr="0035519F" w:rsidRDefault="00446CBD" w:rsidP="00310B3A">
            <w:pPr>
              <w:spacing w:after="0" w:line="240" w:lineRule="auto"/>
              <w:ind w:right="60"/>
              <w:jc w:val="center"/>
              <w:rPr>
                <w:rFonts w:ascii="Arial" w:hAnsi="Arial" w:cs="Arial"/>
              </w:rPr>
            </w:pPr>
            <w:r w:rsidRPr="0035519F">
              <w:rPr>
                <w:rFonts w:ascii="Arial" w:hAnsi="Arial" w:cs="Arial"/>
              </w:rPr>
              <w:t>307,65</w:t>
            </w:r>
          </w:p>
        </w:tc>
        <w:tc>
          <w:tcPr>
            <w:tcW w:w="810" w:type="dxa"/>
            <w:tcBorders>
              <w:bottom w:val="single" w:sz="4" w:space="0" w:color="auto"/>
            </w:tcBorders>
          </w:tcPr>
          <w:p w14:paraId="13817B5E" w14:textId="6B256909" w:rsidR="005C5978" w:rsidRPr="0035519F" w:rsidRDefault="005C5978" w:rsidP="00310B3A">
            <w:pPr>
              <w:spacing w:after="0" w:line="240" w:lineRule="auto"/>
              <w:ind w:right="60"/>
              <w:jc w:val="center"/>
              <w:rPr>
                <w:rFonts w:ascii="Arial" w:hAnsi="Arial" w:cs="Arial"/>
              </w:rPr>
            </w:pPr>
            <w:r w:rsidRPr="0035519F">
              <w:rPr>
                <w:rFonts w:ascii="Arial" w:hAnsi="Arial" w:cs="Arial"/>
              </w:rPr>
              <w:t>320,06</w:t>
            </w:r>
          </w:p>
        </w:tc>
      </w:tr>
    </w:tbl>
    <w:p w14:paraId="1CD4F0CA" w14:textId="77777777" w:rsidR="00FD1C9C" w:rsidRPr="0035519F" w:rsidRDefault="00FD1C9C" w:rsidP="00502F4D">
      <w:pPr>
        <w:pStyle w:val="ListParagraph"/>
        <w:spacing w:line="240" w:lineRule="auto"/>
        <w:ind w:left="90" w:right="18"/>
        <w:jc w:val="both"/>
        <w:rPr>
          <w:rFonts w:ascii="Arial" w:hAnsi="Arial" w:cs="Arial"/>
          <w:sz w:val="24"/>
          <w:szCs w:val="24"/>
        </w:rPr>
      </w:pPr>
      <w:r w:rsidRPr="0035519F">
        <w:rPr>
          <w:rFonts w:ascii="Arial" w:hAnsi="Arial" w:cs="Arial"/>
          <w:sz w:val="24"/>
          <w:szCs w:val="24"/>
        </w:rPr>
        <w:t>*</w:t>
      </w:r>
      <w:r w:rsidRPr="0035519F">
        <w:rPr>
          <w:rFonts w:ascii="Arial" w:hAnsi="Arial" w:cs="Arial"/>
          <w:i/>
          <w:sz w:val="24"/>
          <w:szCs w:val="24"/>
        </w:rPr>
        <w:t>Kolmogorov-Smirnov</w:t>
      </w:r>
      <w:r w:rsidRPr="0035519F">
        <w:rPr>
          <w:rFonts w:ascii="Arial" w:hAnsi="Arial" w:cs="Arial"/>
          <w:sz w:val="24"/>
          <w:szCs w:val="24"/>
        </w:rPr>
        <w:t xml:space="preserve"> </w:t>
      </w:r>
      <w:r w:rsidRPr="0035519F">
        <w:rPr>
          <w:rFonts w:ascii="Arial" w:hAnsi="Arial" w:cs="Arial"/>
          <w:i/>
          <w:sz w:val="24"/>
          <w:szCs w:val="24"/>
        </w:rPr>
        <w:t xml:space="preserve">test </w:t>
      </w:r>
      <w:r w:rsidRPr="0035519F">
        <w:rPr>
          <w:rFonts w:ascii="Arial" w:hAnsi="Arial" w:cs="Arial"/>
          <w:sz w:val="24"/>
          <w:szCs w:val="24"/>
        </w:rPr>
        <w:t>(Data primer)</w:t>
      </w:r>
    </w:p>
    <w:p w14:paraId="3026306D" w14:textId="77777777" w:rsidR="00FD1C9C" w:rsidRPr="0035519F" w:rsidRDefault="00857808" w:rsidP="00891FA6">
      <w:pPr>
        <w:pStyle w:val="ListParagraph"/>
        <w:spacing w:line="480" w:lineRule="auto"/>
        <w:ind w:left="0" w:right="18"/>
        <w:jc w:val="both"/>
        <w:rPr>
          <w:rFonts w:ascii="Arial" w:hAnsi="Arial" w:cs="Arial"/>
          <w:sz w:val="24"/>
          <w:szCs w:val="24"/>
        </w:rPr>
      </w:pPr>
      <w:r w:rsidRPr="0035519F">
        <w:rPr>
          <w:rFonts w:ascii="Arial" w:hAnsi="Arial" w:cs="Arial"/>
          <w:sz w:val="24"/>
          <w:szCs w:val="24"/>
        </w:rPr>
        <w:tab/>
      </w:r>
      <w:r w:rsidRPr="0035519F">
        <w:rPr>
          <w:rFonts w:ascii="Arial" w:hAnsi="Arial" w:cs="Arial"/>
          <w:sz w:val="24"/>
          <w:szCs w:val="24"/>
        </w:rPr>
        <w:tab/>
      </w:r>
    </w:p>
    <w:p w14:paraId="441CA488" w14:textId="7547CD52" w:rsidR="00FD1C9C" w:rsidRPr="0035519F" w:rsidRDefault="00FD1C9C" w:rsidP="00891FA6">
      <w:pPr>
        <w:pStyle w:val="ListParagraph"/>
        <w:spacing w:line="480" w:lineRule="auto"/>
        <w:ind w:left="0" w:right="18" w:firstLine="630"/>
        <w:jc w:val="both"/>
        <w:rPr>
          <w:rFonts w:ascii="Arial" w:hAnsi="Arial" w:cs="Arial"/>
          <w:sz w:val="24"/>
          <w:szCs w:val="24"/>
        </w:rPr>
      </w:pPr>
      <w:r w:rsidRPr="0035519F">
        <w:rPr>
          <w:rFonts w:ascii="Arial" w:hAnsi="Arial" w:cs="Arial"/>
          <w:sz w:val="24"/>
          <w:szCs w:val="24"/>
        </w:rPr>
        <w:t xml:space="preserve">Karakteristik subjek diuji dengan analisis statistik </w:t>
      </w:r>
      <w:r w:rsidRPr="0035519F">
        <w:rPr>
          <w:rFonts w:ascii="Arial" w:hAnsi="Arial" w:cs="Arial"/>
          <w:i/>
          <w:sz w:val="24"/>
          <w:szCs w:val="24"/>
        </w:rPr>
        <w:t>Kolmogorov</w:t>
      </w:r>
      <w:r w:rsidR="006B3DBF" w:rsidRPr="0035519F">
        <w:rPr>
          <w:rFonts w:ascii="Arial" w:hAnsi="Arial" w:cs="Arial"/>
          <w:i/>
          <w:sz w:val="24"/>
          <w:szCs w:val="24"/>
        </w:rPr>
        <w:t>-</w:t>
      </w:r>
      <w:r w:rsidRPr="0035519F">
        <w:rPr>
          <w:rFonts w:ascii="Arial" w:hAnsi="Arial" w:cs="Arial"/>
          <w:i/>
          <w:sz w:val="24"/>
          <w:szCs w:val="24"/>
        </w:rPr>
        <w:t xml:space="preserve"> Smirnov</w:t>
      </w:r>
      <w:r w:rsidRPr="0035519F">
        <w:rPr>
          <w:rFonts w:ascii="Arial" w:hAnsi="Arial" w:cs="Arial"/>
          <w:sz w:val="24"/>
          <w:szCs w:val="24"/>
        </w:rPr>
        <w:t xml:space="preserve"> untuk menentukan data terdistribusi normal at</w:t>
      </w:r>
      <w:r w:rsidR="00310B3A" w:rsidRPr="0035519F">
        <w:rPr>
          <w:rFonts w:ascii="Arial" w:hAnsi="Arial" w:cs="Arial"/>
          <w:sz w:val="24"/>
          <w:szCs w:val="24"/>
        </w:rPr>
        <w:t>au tidak. Subjek terdiri dari 41 (46</w:t>
      </w:r>
      <w:r w:rsidRPr="0035519F">
        <w:rPr>
          <w:rFonts w:ascii="Arial" w:hAnsi="Arial" w:cs="Arial"/>
          <w:sz w:val="24"/>
          <w:szCs w:val="24"/>
        </w:rPr>
        <w:t>,</w:t>
      </w:r>
      <w:r w:rsidR="00310B3A" w:rsidRPr="0035519F">
        <w:rPr>
          <w:rFonts w:ascii="Arial" w:hAnsi="Arial" w:cs="Arial"/>
          <w:sz w:val="24"/>
          <w:szCs w:val="24"/>
        </w:rPr>
        <w:t>6%) laki-laki dan 47</w:t>
      </w:r>
      <w:r w:rsidRPr="0035519F">
        <w:rPr>
          <w:rFonts w:ascii="Arial" w:hAnsi="Arial" w:cs="Arial"/>
          <w:sz w:val="24"/>
          <w:szCs w:val="24"/>
        </w:rPr>
        <w:t xml:space="preserve"> (5</w:t>
      </w:r>
      <w:r w:rsidR="00310B3A" w:rsidRPr="0035519F">
        <w:rPr>
          <w:rFonts w:ascii="Arial" w:hAnsi="Arial" w:cs="Arial"/>
          <w:sz w:val="24"/>
          <w:szCs w:val="24"/>
        </w:rPr>
        <w:t>3,4</w:t>
      </w:r>
      <w:r w:rsidRPr="0035519F">
        <w:rPr>
          <w:rFonts w:ascii="Arial" w:hAnsi="Arial" w:cs="Arial"/>
          <w:sz w:val="24"/>
          <w:szCs w:val="24"/>
        </w:rPr>
        <w:t>%) perempuan. Rentang usia subjek antara 24-4</w:t>
      </w:r>
      <w:r w:rsidR="00310B3A" w:rsidRPr="0035519F">
        <w:rPr>
          <w:rFonts w:ascii="Arial" w:hAnsi="Arial" w:cs="Arial"/>
          <w:sz w:val="24"/>
          <w:szCs w:val="24"/>
        </w:rPr>
        <w:t>9 tahun dengan rerata 31,39±4,65</w:t>
      </w:r>
      <w:r w:rsidRPr="0035519F">
        <w:rPr>
          <w:rFonts w:ascii="Arial" w:hAnsi="Arial" w:cs="Arial"/>
          <w:sz w:val="24"/>
          <w:szCs w:val="24"/>
        </w:rPr>
        <w:t xml:space="preserve"> tahun. Subjek terdiri</w:t>
      </w:r>
      <w:r w:rsidR="001F0E36" w:rsidRPr="0035519F">
        <w:rPr>
          <w:rFonts w:ascii="Arial" w:hAnsi="Arial" w:cs="Arial"/>
          <w:sz w:val="24"/>
          <w:szCs w:val="24"/>
        </w:rPr>
        <w:t xml:space="preserve"> </w:t>
      </w:r>
      <w:r w:rsidRPr="0035519F">
        <w:rPr>
          <w:rFonts w:ascii="Arial" w:hAnsi="Arial" w:cs="Arial"/>
          <w:sz w:val="24"/>
          <w:szCs w:val="24"/>
        </w:rPr>
        <w:lastRenderedPageBreak/>
        <w:t>atas 44 (50%) subjek obesitas sentral da</w:t>
      </w:r>
      <w:r w:rsidR="00310B3A" w:rsidRPr="0035519F">
        <w:rPr>
          <w:rFonts w:ascii="Arial" w:hAnsi="Arial" w:cs="Arial"/>
          <w:sz w:val="24"/>
          <w:szCs w:val="24"/>
        </w:rPr>
        <w:t>n 44</w:t>
      </w:r>
      <w:r w:rsidRPr="0035519F">
        <w:rPr>
          <w:rFonts w:ascii="Arial" w:hAnsi="Arial" w:cs="Arial"/>
          <w:sz w:val="24"/>
          <w:szCs w:val="24"/>
        </w:rPr>
        <w:t xml:space="preserve"> (50%) subjek tanpa obesitas sentral. Rentang lingkar pinggang 55,</w:t>
      </w:r>
      <w:r w:rsidR="00857808" w:rsidRPr="0035519F">
        <w:rPr>
          <w:rFonts w:ascii="Arial" w:hAnsi="Arial" w:cs="Arial"/>
          <w:sz w:val="24"/>
          <w:szCs w:val="24"/>
        </w:rPr>
        <w:t>7</w:t>
      </w:r>
      <w:r w:rsidR="00310B3A" w:rsidRPr="0035519F">
        <w:rPr>
          <w:rFonts w:ascii="Arial" w:hAnsi="Arial" w:cs="Arial"/>
          <w:sz w:val="24"/>
          <w:szCs w:val="24"/>
        </w:rPr>
        <w:t>-123 cm dengan rerata 84,</w:t>
      </w:r>
      <w:r w:rsidRPr="0035519F">
        <w:rPr>
          <w:rFonts w:ascii="Arial" w:hAnsi="Arial" w:cs="Arial"/>
          <w:sz w:val="24"/>
          <w:szCs w:val="24"/>
        </w:rPr>
        <w:t>7</w:t>
      </w:r>
      <w:r w:rsidR="00310B3A" w:rsidRPr="0035519F">
        <w:rPr>
          <w:rFonts w:ascii="Arial" w:hAnsi="Arial" w:cs="Arial"/>
          <w:sz w:val="24"/>
          <w:szCs w:val="24"/>
        </w:rPr>
        <w:t>3</w:t>
      </w:r>
      <w:r w:rsidRPr="0035519F">
        <w:rPr>
          <w:rFonts w:ascii="Arial" w:hAnsi="Arial" w:cs="Arial"/>
          <w:sz w:val="24"/>
          <w:szCs w:val="24"/>
        </w:rPr>
        <w:t xml:space="preserve"> ± 11,94 cm. Kadar gl</w:t>
      </w:r>
      <w:r w:rsidR="00310B3A" w:rsidRPr="0035519F">
        <w:rPr>
          <w:rFonts w:ascii="Arial" w:hAnsi="Arial" w:cs="Arial"/>
          <w:sz w:val="24"/>
          <w:szCs w:val="24"/>
        </w:rPr>
        <w:t>ukosa darah puasa antara 28,10–</w:t>
      </w:r>
      <w:r w:rsidRPr="0035519F">
        <w:rPr>
          <w:rFonts w:ascii="Arial" w:hAnsi="Arial" w:cs="Arial"/>
          <w:sz w:val="24"/>
          <w:szCs w:val="24"/>
        </w:rPr>
        <w:t>1</w:t>
      </w:r>
      <w:r w:rsidR="00310B3A" w:rsidRPr="0035519F">
        <w:rPr>
          <w:rFonts w:ascii="Arial" w:hAnsi="Arial" w:cs="Arial"/>
          <w:sz w:val="24"/>
          <w:szCs w:val="24"/>
        </w:rPr>
        <w:t>06,8 mg/dL dengan rerata 66,04</w:t>
      </w:r>
      <w:r w:rsidR="00BD1E7E" w:rsidRPr="0035519F">
        <w:rPr>
          <w:rFonts w:ascii="Arial" w:hAnsi="Arial" w:cs="Arial"/>
          <w:sz w:val="24"/>
          <w:szCs w:val="24"/>
        </w:rPr>
        <w:t xml:space="preserve"> ± 15,54</w:t>
      </w:r>
      <w:r w:rsidRPr="0035519F">
        <w:rPr>
          <w:rFonts w:ascii="Arial" w:hAnsi="Arial" w:cs="Arial"/>
          <w:sz w:val="24"/>
          <w:szCs w:val="24"/>
        </w:rPr>
        <w:t xml:space="preserve"> mg/dL. Kadar insulin puasa antara 2,60-128,20 µU/mL dengan rerata</w:t>
      </w:r>
      <w:r w:rsidR="00BD1E7E" w:rsidRPr="0035519F">
        <w:rPr>
          <w:rFonts w:ascii="Arial" w:hAnsi="Arial" w:cs="Arial"/>
          <w:sz w:val="24"/>
          <w:szCs w:val="24"/>
        </w:rPr>
        <w:t xml:space="preserve"> 13,90±15,24</w:t>
      </w:r>
      <w:r w:rsidRPr="0035519F">
        <w:rPr>
          <w:rFonts w:ascii="Arial" w:hAnsi="Arial" w:cs="Arial"/>
          <w:sz w:val="24"/>
          <w:szCs w:val="24"/>
        </w:rPr>
        <w:t xml:space="preserve"> µU/ml. Nilai HOMA-IR pada semua subjek anta</w:t>
      </w:r>
      <w:r w:rsidR="00BD1E7E" w:rsidRPr="0035519F">
        <w:rPr>
          <w:rFonts w:ascii="Arial" w:hAnsi="Arial" w:cs="Arial"/>
          <w:sz w:val="24"/>
          <w:szCs w:val="24"/>
        </w:rPr>
        <w:t>ra 0,34–28,55 dengan rerata 2,36 ± 3,20</w:t>
      </w:r>
      <w:r w:rsidR="009768AE" w:rsidRPr="0035519F">
        <w:rPr>
          <w:rFonts w:ascii="Arial" w:hAnsi="Arial" w:cs="Arial"/>
          <w:sz w:val="24"/>
          <w:szCs w:val="24"/>
        </w:rPr>
        <w:t>. Kadar</w:t>
      </w:r>
      <w:r w:rsidRPr="0035519F">
        <w:rPr>
          <w:rFonts w:ascii="Arial" w:hAnsi="Arial" w:cs="Arial"/>
          <w:sz w:val="24"/>
          <w:szCs w:val="24"/>
        </w:rPr>
        <w:t xml:space="preserve"> IGF-1 pada semua subjek antara 34,33 –</w:t>
      </w:r>
      <w:r w:rsidR="00BD1E7E" w:rsidRPr="0035519F">
        <w:rPr>
          <w:rFonts w:ascii="Arial" w:hAnsi="Arial" w:cs="Arial"/>
          <w:sz w:val="24"/>
          <w:szCs w:val="24"/>
        </w:rPr>
        <w:t xml:space="preserve"> 1360,44 ng/mL dengan rerata 401,59 ± 320,</w:t>
      </w:r>
      <w:r w:rsidRPr="0035519F">
        <w:rPr>
          <w:rFonts w:ascii="Arial" w:hAnsi="Arial" w:cs="Arial"/>
          <w:sz w:val="24"/>
          <w:szCs w:val="24"/>
        </w:rPr>
        <w:t>0</w:t>
      </w:r>
      <w:r w:rsidR="00BD1E7E" w:rsidRPr="0035519F">
        <w:rPr>
          <w:rFonts w:ascii="Arial" w:hAnsi="Arial" w:cs="Arial"/>
          <w:sz w:val="24"/>
          <w:szCs w:val="24"/>
        </w:rPr>
        <w:t>6</w:t>
      </w:r>
      <w:r w:rsidRPr="0035519F">
        <w:rPr>
          <w:rFonts w:ascii="Arial" w:hAnsi="Arial" w:cs="Arial"/>
          <w:sz w:val="24"/>
          <w:szCs w:val="24"/>
        </w:rPr>
        <w:t xml:space="preserve"> ng/mL. </w:t>
      </w:r>
    </w:p>
    <w:p w14:paraId="2C022E1E" w14:textId="77777777" w:rsidR="008C268B" w:rsidRPr="0035519F" w:rsidRDefault="008C268B" w:rsidP="00891FA6">
      <w:pPr>
        <w:pStyle w:val="ListParagraph"/>
        <w:spacing w:line="480" w:lineRule="auto"/>
        <w:ind w:left="0" w:right="18" w:firstLine="630"/>
        <w:jc w:val="both"/>
        <w:rPr>
          <w:rFonts w:ascii="Arial" w:hAnsi="Arial" w:cs="Arial"/>
          <w:sz w:val="24"/>
          <w:szCs w:val="24"/>
        </w:rPr>
      </w:pPr>
    </w:p>
    <w:p w14:paraId="699A7E7F" w14:textId="560C39D7" w:rsidR="00FD1C9C" w:rsidRPr="0035519F" w:rsidRDefault="00FD1C9C" w:rsidP="00F468A7">
      <w:pPr>
        <w:pStyle w:val="ListParagraph"/>
        <w:numPr>
          <w:ilvl w:val="0"/>
          <w:numId w:val="37"/>
        </w:numPr>
        <w:spacing w:after="0" w:line="480" w:lineRule="auto"/>
        <w:ind w:left="0" w:right="18"/>
        <w:jc w:val="both"/>
        <w:rPr>
          <w:rFonts w:ascii="Arial" w:hAnsi="Arial" w:cs="Arial"/>
          <w:b/>
          <w:sz w:val="24"/>
          <w:szCs w:val="24"/>
        </w:rPr>
      </w:pPr>
      <w:r w:rsidRPr="0035519F">
        <w:rPr>
          <w:rFonts w:ascii="Arial" w:hAnsi="Arial" w:cs="Arial"/>
          <w:b/>
          <w:sz w:val="24"/>
          <w:szCs w:val="24"/>
        </w:rPr>
        <w:t xml:space="preserve">Perbandingan HOMA-IR pada Kelompok </w:t>
      </w:r>
      <w:r w:rsidR="00F468A7" w:rsidRPr="0035519F">
        <w:rPr>
          <w:rFonts w:ascii="Arial" w:hAnsi="Arial" w:cs="Arial"/>
          <w:b/>
          <w:sz w:val="24"/>
          <w:szCs w:val="24"/>
        </w:rPr>
        <w:t xml:space="preserve">dewasa non DM </w:t>
      </w:r>
      <w:r w:rsidRPr="0035519F">
        <w:rPr>
          <w:rFonts w:ascii="Arial" w:hAnsi="Arial" w:cs="Arial"/>
          <w:b/>
          <w:sz w:val="24"/>
          <w:szCs w:val="24"/>
        </w:rPr>
        <w:t xml:space="preserve">dengan dan Tanpa Obesitas </w:t>
      </w:r>
      <w:r w:rsidR="0005295A" w:rsidRPr="0035519F">
        <w:rPr>
          <w:rFonts w:ascii="Arial" w:hAnsi="Arial" w:cs="Arial"/>
          <w:b/>
          <w:sz w:val="24"/>
          <w:szCs w:val="24"/>
        </w:rPr>
        <w:t>Sentral</w:t>
      </w:r>
      <w:r w:rsidRPr="0035519F">
        <w:rPr>
          <w:rFonts w:ascii="Arial" w:hAnsi="Arial" w:cs="Arial"/>
          <w:b/>
          <w:sz w:val="24"/>
          <w:szCs w:val="24"/>
        </w:rPr>
        <w:t>.</w:t>
      </w:r>
    </w:p>
    <w:p w14:paraId="66F3B89C" w14:textId="398DCCFD" w:rsidR="00FD1C9C" w:rsidRPr="0035519F" w:rsidRDefault="00FB276D" w:rsidP="00891FA6">
      <w:pPr>
        <w:pStyle w:val="ListParagraph"/>
        <w:spacing w:after="0" w:line="480" w:lineRule="auto"/>
        <w:ind w:left="0" w:right="18" w:firstLine="630"/>
        <w:jc w:val="both"/>
        <w:rPr>
          <w:rFonts w:ascii="Arial" w:hAnsi="Arial" w:cs="Arial"/>
          <w:sz w:val="24"/>
          <w:szCs w:val="24"/>
        </w:rPr>
      </w:pPr>
      <w:r w:rsidRPr="0035519F">
        <w:rPr>
          <w:rFonts w:ascii="Arial" w:hAnsi="Arial" w:cs="Arial"/>
          <w:sz w:val="24"/>
          <w:szCs w:val="24"/>
        </w:rPr>
        <w:t>Tabel 6</w:t>
      </w:r>
      <w:r w:rsidR="00FD1C9C" w:rsidRPr="0035519F">
        <w:rPr>
          <w:rFonts w:ascii="Arial" w:hAnsi="Arial" w:cs="Arial"/>
          <w:sz w:val="24"/>
          <w:szCs w:val="24"/>
        </w:rPr>
        <w:t xml:space="preserve"> memperlihatkan perbandingan HOMA-IR pada kelompok </w:t>
      </w:r>
      <w:r w:rsidR="00F468A7" w:rsidRPr="0035519F">
        <w:rPr>
          <w:rFonts w:ascii="Arial" w:hAnsi="Arial" w:cs="Arial"/>
          <w:sz w:val="24"/>
          <w:szCs w:val="24"/>
        </w:rPr>
        <w:t xml:space="preserve">dewasa non DM </w:t>
      </w:r>
      <w:r w:rsidR="00FD1C9C" w:rsidRPr="0035519F">
        <w:rPr>
          <w:rFonts w:ascii="Arial" w:hAnsi="Arial" w:cs="Arial"/>
          <w:sz w:val="24"/>
          <w:szCs w:val="24"/>
        </w:rPr>
        <w:t xml:space="preserve">dengan dan tanpa obesitas </w:t>
      </w:r>
      <w:r w:rsidR="0005295A" w:rsidRPr="0035519F">
        <w:rPr>
          <w:rFonts w:ascii="Arial" w:hAnsi="Arial" w:cs="Arial"/>
          <w:sz w:val="24"/>
          <w:szCs w:val="24"/>
        </w:rPr>
        <w:t>sentral</w:t>
      </w:r>
      <w:r w:rsidR="00FD1C9C" w:rsidRPr="0035519F">
        <w:rPr>
          <w:rFonts w:ascii="Arial" w:hAnsi="Arial" w:cs="Arial"/>
          <w:sz w:val="24"/>
          <w:szCs w:val="24"/>
        </w:rPr>
        <w:t>.</w:t>
      </w:r>
    </w:p>
    <w:p w14:paraId="2EFE16C8" w14:textId="4A26D221" w:rsidR="00FD1C9C" w:rsidRPr="0035519F" w:rsidRDefault="00D56992" w:rsidP="00461CDD">
      <w:pPr>
        <w:pStyle w:val="Caption"/>
        <w:spacing w:line="360" w:lineRule="auto"/>
        <w:rPr>
          <w:rFonts w:ascii="Arial" w:eastAsia="MS Mincho" w:hAnsi="Arial" w:cs="Arial"/>
          <w:i w:val="0"/>
          <w:iCs w:val="0"/>
          <w:color w:val="auto"/>
          <w:sz w:val="24"/>
          <w:szCs w:val="24"/>
        </w:rPr>
      </w:pPr>
      <w:bookmarkStart w:id="77" w:name="_Toc111873678"/>
      <w:r w:rsidRPr="0035519F">
        <w:rPr>
          <w:rFonts w:ascii="Arial" w:eastAsia="MS Mincho" w:hAnsi="Arial" w:cs="Arial"/>
          <w:i w:val="0"/>
          <w:iCs w:val="0"/>
          <w:color w:val="auto"/>
          <w:sz w:val="24"/>
          <w:szCs w:val="24"/>
        </w:rPr>
        <w:t xml:space="preserve">Tabel </w:t>
      </w:r>
      <w:r w:rsidRPr="0035519F">
        <w:rPr>
          <w:rFonts w:ascii="Arial" w:eastAsia="MS Mincho" w:hAnsi="Arial" w:cs="Arial"/>
          <w:i w:val="0"/>
          <w:iCs w:val="0"/>
          <w:color w:val="auto"/>
          <w:sz w:val="24"/>
          <w:szCs w:val="24"/>
        </w:rPr>
        <w:fldChar w:fldCharType="begin"/>
      </w:r>
      <w:r w:rsidRPr="0035519F">
        <w:rPr>
          <w:rFonts w:ascii="Arial" w:eastAsia="MS Mincho" w:hAnsi="Arial" w:cs="Arial"/>
          <w:i w:val="0"/>
          <w:iCs w:val="0"/>
          <w:color w:val="auto"/>
          <w:sz w:val="24"/>
          <w:szCs w:val="24"/>
        </w:rPr>
        <w:instrText xml:space="preserve"> SEQ Tabel \* ARABIC </w:instrText>
      </w:r>
      <w:r w:rsidRPr="0035519F">
        <w:rPr>
          <w:rFonts w:ascii="Arial" w:eastAsia="MS Mincho" w:hAnsi="Arial" w:cs="Arial"/>
          <w:i w:val="0"/>
          <w:iCs w:val="0"/>
          <w:color w:val="auto"/>
          <w:sz w:val="24"/>
          <w:szCs w:val="24"/>
        </w:rPr>
        <w:fldChar w:fldCharType="separate"/>
      </w:r>
      <w:r w:rsidR="005B4074">
        <w:rPr>
          <w:rFonts w:ascii="Arial" w:eastAsia="MS Mincho" w:hAnsi="Arial" w:cs="Arial"/>
          <w:i w:val="0"/>
          <w:iCs w:val="0"/>
          <w:noProof/>
          <w:color w:val="auto"/>
          <w:sz w:val="24"/>
          <w:szCs w:val="24"/>
        </w:rPr>
        <w:t>6</w:t>
      </w:r>
      <w:r w:rsidRPr="0035519F">
        <w:rPr>
          <w:rFonts w:ascii="Arial" w:eastAsia="MS Mincho" w:hAnsi="Arial" w:cs="Arial"/>
          <w:i w:val="0"/>
          <w:iCs w:val="0"/>
          <w:color w:val="auto"/>
          <w:sz w:val="24"/>
          <w:szCs w:val="24"/>
        </w:rPr>
        <w:fldChar w:fldCharType="end"/>
      </w:r>
      <w:r w:rsidR="00FD1C9C" w:rsidRPr="0035519F">
        <w:rPr>
          <w:rFonts w:ascii="Arial" w:eastAsia="MS Mincho" w:hAnsi="Arial" w:cs="Arial"/>
          <w:i w:val="0"/>
          <w:iCs w:val="0"/>
          <w:color w:val="auto"/>
          <w:sz w:val="24"/>
          <w:szCs w:val="24"/>
        </w:rPr>
        <w:t xml:space="preserve">. Perbandingan HOMA-IR pada kelompok </w:t>
      </w:r>
      <w:r w:rsidR="00F468A7" w:rsidRPr="0035519F">
        <w:rPr>
          <w:rFonts w:ascii="Arial" w:eastAsia="MS Mincho" w:hAnsi="Arial" w:cs="Arial"/>
          <w:i w:val="0"/>
          <w:iCs w:val="0"/>
          <w:color w:val="auto"/>
          <w:sz w:val="24"/>
          <w:szCs w:val="24"/>
        </w:rPr>
        <w:t xml:space="preserve">dewasa non DM </w:t>
      </w:r>
      <w:r w:rsidR="00FD1C9C" w:rsidRPr="0035519F">
        <w:rPr>
          <w:rFonts w:ascii="Arial" w:eastAsia="MS Mincho" w:hAnsi="Arial" w:cs="Arial"/>
          <w:i w:val="0"/>
          <w:iCs w:val="0"/>
          <w:color w:val="auto"/>
          <w:sz w:val="24"/>
          <w:szCs w:val="24"/>
        </w:rPr>
        <w:t xml:space="preserve">dengan dan tanpa obesitas </w:t>
      </w:r>
      <w:r w:rsidR="0005295A" w:rsidRPr="0035519F">
        <w:rPr>
          <w:rFonts w:ascii="Arial" w:eastAsia="MS Mincho" w:hAnsi="Arial" w:cs="Arial"/>
          <w:i w:val="0"/>
          <w:iCs w:val="0"/>
          <w:color w:val="auto"/>
          <w:sz w:val="24"/>
          <w:szCs w:val="24"/>
        </w:rPr>
        <w:t>sentral</w:t>
      </w:r>
      <w:r w:rsidR="00FD1C9C" w:rsidRPr="0035519F">
        <w:rPr>
          <w:rFonts w:ascii="Arial" w:eastAsia="MS Mincho" w:hAnsi="Arial" w:cs="Arial"/>
          <w:i w:val="0"/>
          <w:iCs w:val="0"/>
          <w:color w:val="auto"/>
          <w:sz w:val="24"/>
          <w:szCs w:val="24"/>
        </w:rPr>
        <w:t xml:space="preserve"> (Data primer)</w:t>
      </w:r>
      <w:bookmarkEnd w:id="77"/>
    </w:p>
    <w:tbl>
      <w:tblPr>
        <w:tblW w:w="7830" w:type="dxa"/>
        <w:tblInd w:w="90" w:type="dxa"/>
        <w:tblLayout w:type="fixed"/>
        <w:tblCellMar>
          <w:left w:w="0" w:type="dxa"/>
          <w:right w:w="0" w:type="dxa"/>
        </w:tblCellMar>
        <w:tblLook w:val="01E0" w:firstRow="1" w:lastRow="1" w:firstColumn="1" w:lastColumn="1" w:noHBand="0" w:noVBand="0"/>
      </w:tblPr>
      <w:tblGrid>
        <w:gridCol w:w="1080"/>
        <w:gridCol w:w="1980"/>
        <w:gridCol w:w="737"/>
        <w:gridCol w:w="1333"/>
        <w:gridCol w:w="1323"/>
        <w:gridCol w:w="1377"/>
      </w:tblGrid>
      <w:tr w:rsidR="00117F69" w:rsidRPr="0035519F" w14:paraId="0F7B9FEC" w14:textId="77777777" w:rsidTr="00502F4D">
        <w:trPr>
          <w:trHeight w:val="415"/>
        </w:trPr>
        <w:tc>
          <w:tcPr>
            <w:tcW w:w="1080" w:type="dxa"/>
            <w:tcBorders>
              <w:top w:val="double" w:sz="3" w:space="0" w:color="000000"/>
              <w:bottom w:val="single" w:sz="18" w:space="0" w:color="000000"/>
            </w:tcBorders>
            <w:vAlign w:val="center"/>
          </w:tcPr>
          <w:p w14:paraId="64BCD5E3" w14:textId="77777777" w:rsidR="0038350A" w:rsidRPr="0035519F" w:rsidRDefault="0038350A" w:rsidP="00502F4D">
            <w:pPr>
              <w:pStyle w:val="TableParagraph"/>
              <w:spacing w:line="360" w:lineRule="auto"/>
              <w:ind w:left="-4"/>
              <w:jc w:val="center"/>
              <w:rPr>
                <w:rFonts w:ascii="Times New Roman"/>
              </w:rPr>
            </w:pPr>
          </w:p>
        </w:tc>
        <w:tc>
          <w:tcPr>
            <w:tcW w:w="1980" w:type="dxa"/>
            <w:tcBorders>
              <w:top w:val="double" w:sz="3" w:space="0" w:color="000000"/>
              <w:bottom w:val="single" w:sz="18" w:space="0" w:color="000000"/>
            </w:tcBorders>
            <w:vAlign w:val="center"/>
          </w:tcPr>
          <w:p w14:paraId="3B66607F" w14:textId="77777777" w:rsidR="0038350A" w:rsidRPr="0035519F" w:rsidRDefault="0038350A" w:rsidP="00502F4D">
            <w:pPr>
              <w:pStyle w:val="TableParagraph"/>
              <w:spacing w:line="360" w:lineRule="auto"/>
              <w:jc w:val="center"/>
              <w:rPr>
                <w:sz w:val="24"/>
              </w:rPr>
            </w:pPr>
            <w:r w:rsidRPr="0035519F">
              <w:rPr>
                <w:sz w:val="24"/>
              </w:rPr>
              <w:t>Kelompok</w:t>
            </w:r>
          </w:p>
        </w:tc>
        <w:tc>
          <w:tcPr>
            <w:tcW w:w="737" w:type="dxa"/>
            <w:tcBorders>
              <w:top w:val="double" w:sz="3" w:space="0" w:color="000000"/>
              <w:bottom w:val="single" w:sz="18" w:space="0" w:color="000000"/>
            </w:tcBorders>
            <w:vAlign w:val="center"/>
          </w:tcPr>
          <w:p w14:paraId="6190CBB7" w14:textId="77777777" w:rsidR="0038350A" w:rsidRPr="0035519F" w:rsidRDefault="0038350A" w:rsidP="00502F4D">
            <w:pPr>
              <w:pStyle w:val="TableParagraph"/>
              <w:spacing w:line="360" w:lineRule="auto"/>
              <w:ind w:right="76"/>
              <w:jc w:val="center"/>
              <w:rPr>
                <w:sz w:val="24"/>
              </w:rPr>
            </w:pPr>
            <w:r w:rsidRPr="0035519F">
              <w:rPr>
                <w:w w:val="99"/>
                <w:sz w:val="24"/>
              </w:rPr>
              <w:t>n</w:t>
            </w:r>
          </w:p>
        </w:tc>
        <w:tc>
          <w:tcPr>
            <w:tcW w:w="1333" w:type="dxa"/>
            <w:tcBorders>
              <w:top w:val="double" w:sz="3" w:space="0" w:color="000000"/>
              <w:bottom w:val="single" w:sz="18" w:space="0" w:color="000000"/>
            </w:tcBorders>
            <w:vAlign w:val="center"/>
          </w:tcPr>
          <w:p w14:paraId="062D4E61" w14:textId="2BFB735A" w:rsidR="0038350A" w:rsidRPr="0035519F" w:rsidRDefault="0038350A" w:rsidP="00502F4D">
            <w:pPr>
              <w:pStyle w:val="TableParagraph"/>
              <w:spacing w:line="360" w:lineRule="auto"/>
              <w:ind w:right="43"/>
              <w:jc w:val="center"/>
              <w:rPr>
                <w:sz w:val="24"/>
              </w:rPr>
            </w:pPr>
            <w:r w:rsidRPr="0035519F">
              <w:rPr>
                <w:sz w:val="24"/>
              </w:rPr>
              <w:t>Median</w:t>
            </w:r>
          </w:p>
        </w:tc>
        <w:tc>
          <w:tcPr>
            <w:tcW w:w="1323" w:type="dxa"/>
            <w:tcBorders>
              <w:top w:val="double" w:sz="3" w:space="0" w:color="000000"/>
              <w:bottom w:val="single" w:sz="18" w:space="0" w:color="000000"/>
            </w:tcBorders>
            <w:vAlign w:val="center"/>
          </w:tcPr>
          <w:p w14:paraId="6AFA31F2" w14:textId="3D17E11D" w:rsidR="0038350A" w:rsidRPr="0035519F" w:rsidRDefault="0038350A" w:rsidP="00502F4D">
            <w:pPr>
              <w:pStyle w:val="TableParagraph"/>
              <w:spacing w:line="360" w:lineRule="auto"/>
              <w:ind w:right="-30"/>
              <w:jc w:val="center"/>
              <w:rPr>
                <w:sz w:val="24"/>
              </w:rPr>
            </w:pPr>
            <w:r w:rsidRPr="0035519F">
              <w:rPr>
                <w:sz w:val="24"/>
              </w:rPr>
              <w:t>(Min-Maks)</w:t>
            </w:r>
          </w:p>
        </w:tc>
        <w:tc>
          <w:tcPr>
            <w:tcW w:w="1377" w:type="dxa"/>
            <w:tcBorders>
              <w:top w:val="double" w:sz="3" w:space="0" w:color="000000"/>
              <w:bottom w:val="single" w:sz="18" w:space="0" w:color="000000"/>
            </w:tcBorders>
            <w:vAlign w:val="center"/>
          </w:tcPr>
          <w:p w14:paraId="1B5B0FD8" w14:textId="77777777" w:rsidR="0038350A" w:rsidRPr="0035519F" w:rsidRDefault="0038350A" w:rsidP="00502F4D">
            <w:pPr>
              <w:pStyle w:val="TableParagraph"/>
              <w:spacing w:line="360" w:lineRule="auto"/>
              <w:ind w:right="147"/>
              <w:jc w:val="center"/>
              <w:rPr>
                <w:sz w:val="24"/>
              </w:rPr>
            </w:pPr>
            <w:r w:rsidRPr="0035519F">
              <w:rPr>
                <w:sz w:val="24"/>
              </w:rPr>
              <w:t>p*</w:t>
            </w:r>
          </w:p>
        </w:tc>
      </w:tr>
      <w:tr w:rsidR="00117F69" w:rsidRPr="0035519F" w14:paraId="2BAAB7D7" w14:textId="77777777" w:rsidTr="00502F4D">
        <w:trPr>
          <w:trHeight w:val="646"/>
        </w:trPr>
        <w:tc>
          <w:tcPr>
            <w:tcW w:w="1080" w:type="dxa"/>
            <w:tcBorders>
              <w:top w:val="single" w:sz="18" w:space="0" w:color="000000"/>
            </w:tcBorders>
            <w:vAlign w:val="center"/>
          </w:tcPr>
          <w:p w14:paraId="14B2DB08" w14:textId="77777777" w:rsidR="0038350A" w:rsidRPr="0035519F" w:rsidRDefault="0038350A" w:rsidP="00502F4D">
            <w:pPr>
              <w:pStyle w:val="TableParagraph"/>
              <w:spacing w:line="273" w:lineRule="exact"/>
              <w:jc w:val="center"/>
              <w:rPr>
                <w:sz w:val="24"/>
              </w:rPr>
            </w:pPr>
            <w:r w:rsidRPr="0035519F">
              <w:rPr>
                <w:sz w:val="24"/>
              </w:rPr>
              <w:t>HOMA-IR</w:t>
            </w:r>
          </w:p>
        </w:tc>
        <w:tc>
          <w:tcPr>
            <w:tcW w:w="1980" w:type="dxa"/>
            <w:tcBorders>
              <w:top w:val="single" w:sz="18" w:space="0" w:color="000000"/>
            </w:tcBorders>
            <w:vAlign w:val="center"/>
          </w:tcPr>
          <w:p w14:paraId="2C898186" w14:textId="77777777" w:rsidR="0038350A" w:rsidRPr="0035519F" w:rsidRDefault="0038350A" w:rsidP="00502F4D">
            <w:pPr>
              <w:pStyle w:val="TableParagraph"/>
              <w:spacing w:line="273" w:lineRule="exact"/>
              <w:ind w:right="64"/>
              <w:jc w:val="center"/>
              <w:rPr>
                <w:sz w:val="24"/>
              </w:rPr>
            </w:pPr>
            <w:r w:rsidRPr="0035519F">
              <w:rPr>
                <w:sz w:val="24"/>
              </w:rPr>
              <w:t>Obesitas</w:t>
            </w:r>
          </w:p>
          <w:p w14:paraId="323AAD53" w14:textId="77777777" w:rsidR="0038350A" w:rsidRPr="0035519F" w:rsidRDefault="0038350A" w:rsidP="00502F4D">
            <w:pPr>
              <w:pStyle w:val="TableParagraph"/>
              <w:spacing w:before="44"/>
              <w:ind w:right="64"/>
              <w:jc w:val="center"/>
              <w:rPr>
                <w:sz w:val="24"/>
              </w:rPr>
            </w:pPr>
            <w:r w:rsidRPr="0035519F">
              <w:rPr>
                <w:sz w:val="24"/>
              </w:rPr>
              <w:t>Sentral</w:t>
            </w:r>
          </w:p>
        </w:tc>
        <w:tc>
          <w:tcPr>
            <w:tcW w:w="737" w:type="dxa"/>
            <w:tcBorders>
              <w:top w:val="single" w:sz="18" w:space="0" w:color="000000"/>
            </w:tcBorders>
            <w:vAlign w:val="center"/>
          </w:tcPr>
          <w:p w14:paraId="1018131C" w14:textId="77777777" w:rsidR="0038350A" w:rsidRPr="0035519F" w:rsidRDefault="0038350A" w:rsidP="00502F4D">
            <w:pPr>
              <w:pStyle w:val="TableParagraph"/>
              <w:spacing w:line="273" w:lineRule="exact"/>
              <w:ind w:right="15"/>
              <w:jc w:val="center"/>
              <w:rPr>
                <w:sz w:val="24"/>
              </w:rPr>
            </w:pPr>
            <w:r w:rsidRPr="0035519F">
              <w:rPr>
                <w:sz w:val="24"/>
              </w:rPr>
              <w:t>44</w:t>
            </w:r>
          </w:p>
        </w:tc>
        <w:tc>
          <w:tcPr>
            <w:tcW w:w="1333" w:type="dxa"/>
            <w:tcBorders>
              <w:top w:val="single" w:sz="18" w:space="0" w:color="000000"/>
            </w:tcBorders>
            <w:vAlign w:val="center"/>
          </w:tcPr>
          <w:p w14:paraId="7BC457AB" w14:textId="4B120C11" w:rsidR="0038350A" w:rsidRPr="0035519F" w:rsidRDefault="0038350A" w:rsidP="00502F4D">
            <w:pPr>
              <w:pStyle w:val="TableParagraph"/>
              <w:spacing w:line="273" w:lineRule="exact"/>
              <w:ind w:right="192"/>
              <w:jc w:val="center"/>
              <w:rPr>
                <w:sz w:val="24"/>
              </w:rPr>
            </w:pPr>
            <w:r w:rsidRPr="0035519F">
              <w:rPr>
                <w:sz w:val="24"/>
              </w:rPr>
              <w:t>2,19</w:t>
            </w:r>
          </w:p>
        </w:tc>
        <w:tc>
          <w:tcPr>
            <w:tcW w:w="1323" w:type="dxa"/>
            <w:tcBorders>
              <w:top w:val="single" w:sz="18" w:space="0" w:color="000000"/>
            </w:tcBorders>
            <w:vAlign w:val="center"/>
          </w:tcPr>
          <w:p w14:paraId="09CFDB7D" w14:textId="28A53DB8" w:rsidR="0038350A" w:rsidRPr="0035519F" w:rsidRDefault="00117C25" w:rsidP="00502F4D">
            <w:pPr>
              <w:pStyle w:val="TableParagraph"/>
              <w:spacing w:line="273" w:lineRule="exact"/>
              <w:ind w:right="192"/>
              <w:jc w:val="center"/>
              <w:rPr>
                <w:sz w:val="24"/>
              </w:rPr>
            </w:pPr>
            <w:r w:rsidRPr="0035519F">
              <w:rPr>
                <w:rFonts w:cs="Arial"/>
                <w:sz w:val="24"/>
                <w:szCs w:val="24"/>
              </w:rPr>
              <w:t>(</w:t>
            </w:r>
            <w:r w:rsidR="00FB276D" w:rsidRPr="0035519F">
              <w:rPr>
                <w:rFonts w:cs="Arial"/>
                <w:sz w:val="24"/>
                <w:szCs w:val="24"/>
              </w:rPr>
              <w:t>0,6-28,6</w:t>
            </w:r>
            <w:r w:rsidRPr="0035519F">
              <w:rPr>
                <w:rFonts w:cs="Arial"/>
                <w:sz w:val="24"/>
                <w:szCs w:val="24"/>
              </w:rPr>
              <w:t>)</w:t>
            </w:r>
          </w:p>
        </w:tc>
        <w:tc>
          <w:tcPr>
            <w:tcW w:w="1377" w:type="dxa"/>
            <w:tcBorders>
              <w:top w:val="single" w:sz="18" w:space="0" w:color="000000"/>
            </w:tcBorders>
            <w:vAlign w:val="center"/>
          </w:tcPr>
          <w:p w14:paraId="0623EF94" w14:textId="387A25B1" w:rsidR="0038350A" w:rsidRPr="0035519F" w:rsidRDefault="00E70431" w:rsidP="00502F4D">
            <w:pPr>
              <w:pStyle w:val="TableParagraph"/>
              <w:spacing w:line="273" w:lineRule="exact"/>
              <w:ind w:right="150"/>
              <w:jc w:val="center"/>
              <w:rPr>
                <w:sz w:val="24"/>
              </w:rPr>
            </w:pPr>
            <w:r w:rsidRPr="0035519F">
              <w:t>p &lt; 0,001</w:t>
            </w:r>
          </w:p>
        </w:tc>
      </w:tr>
      <w:tr w:rsidR="00117F69" w:rsidRPr="0035519F" w14:paraId="3C8084E0" w14:textId="77777777" w:rsidTr="00502F4D">
        <w:trPr>
          <w:trHeight w:val="683"/>
        </w:trPr>
        <w:tc>
          <w:tcPr>
            <w:tcW w:w="1080" w:type="dxa"/>
            <w:tcBorders>
              <w:bottom w:val="double" w:sz="3" w:space="0" w:color="000000"/>
            </w:tcBorders>
            <w:vAlign w:val="center"/>
          </w:tcPr>
          <w:p w14:paraId="4F5B79FD" w14:textId="77777777" w:rsidR="0038350A" w:rsidRPr="0035519F" w:rsidRDefault="0038350A" w:rsidP="00502F4D">
            <w:pPr>
              <w:pStyle w:val="TableParagraph"/>
              <w:jc w:val="center"/>
              <w:rPr>
                <w:rFonts w:ascii="Times New Roman"/>
              </w:rPr>
            </w:pPr>
          </w:p>
        </w:tc>
        <w:tc>
          <w:tcPr>
            <w:tcW w:w="1980" w:type="dxa"/>
            <w:tcBorders>
              <w:bottom w:val="double" w:sz="3" w:space="0" w:color="000000"/>
            </w:tcBorders>
            <w:vAlign w:val="center"/>
          </w:tcPr>
          <w:p w14:paraId="0363B24F" w14:textId="77777777" w:rsidR="0038350A" w:rsidRPr="0035519F" w:rsidRDefault="0038350A" w:rsidP="00502F4D">
            <w:pPr>
              <w:pStyle w:val="TableParagraph"/>
              <w:spacing w:before="12" w:line="310" w:lineRule="atLeast"/>
              <w:ind w:right="64" w:firstLine="7"/>
              <w:jc w:val="center"/>
              <w:rPr>
                <w:sz w:val="24"/>
              </w:rPr>
            </w:pPr>
            <w:r w:rsidRPr="0035519F">
              <w:rPr>
                <w:sz w:val="24"/>
              </w:rPr>
              <w:t>Tanpa Obesitas Sentral</w:t>
            </w:r>
          </w:p>
        </w:tc>
        <w:tc>
          <w:tcPr>
            <w:tcW w:w="737" w:type="dxa"/>
            <w:tcBorders>
              <w:bottom w:val="double" w:sz="3" w:space="0" w:color="000000"/>
            </w:tcBorders>
            <w:vAlign w:val="center"/>
          </w:tcPr>
          <w:p w14:paraId="22BC3A8C" w14:textId="77777777" w:rsidR="0038350A" w:rsidRPr="0035519F" w:rsidRDefault="0038350A" w:rsidP="00502F4D">
            <w:pPr>
              <w:pStyle w:val="TableParagraph"/>
              <w:spacing w:before="46"/>
              <w:ind w:right="15"/>
              <w:jc w:val="center"/>
              <w:rPr>
                <w:sz w:val="24"/>
              </w:rPr>
            </w:pPr>
            <w:r w:rsidRPr="0035519F">
              <w:rPr>
                <w:sz w:val="24"/>
              </w:rPr>
              <w:t>44</w:t>
            </w:r>
          </w:p>
        </w:tc>
        <w:tc>
          <w:tcPr>
            <w:tcW w:w="1333" w:type="dxa"/>
            <w:tcBorders>
              <w:bottom w:val="double" w:sz="3" w:space="0" w:color="000000"/>
            </w:tcBorders>
            <w:vAlign w:val="center"/>
          </w:tcPr>
          <w:p w14:paraId="3D9278EB" w14:textId="7BBC145D" w:rsidR="0038350A" w:rsidRPr="0035519F" w:rsidRDefault="0038350A" w:rsidP="00502F4D">
            <w:pPr>
              <w:pStyle w:val="TableParagraph"/>
              <w:spacing w:before="46"/>
              <w:ind w:right="192"/>
              <w:jc w:val="center"/>
              <w:rPr>
                <w:sz w:val="24"/>
              </w:rPr>
            </w:pPr>
            <w:r w:rsidRPr="0035519F">
              <w:rPr>
                <w:sz w:val="24"/>
              </w:rPr>
              <w:t>1,33</w:t>
            </w:r>
          </w:p>
        </w:tc>
        <w:tc>
          <w:tcPr>
            <w:tcW w:w="1323" w:type="dxa"/>
            <w:tcBorders>
              <w:bottom w:val="double" w:sz="3" w:space="0" w:color="000000"/>
            </w:tcBorders>
            <w:vAlign w:val="center"/>
          </w:tcPr>
          <w:p w14:paraId="7A12E5E9" w14:textId="4F122CE3" w:rsidR="0038350A" w:rsidRPr="0035519F" w:rsidRDefault="00117C25" w:rsidP="00117C25">
            <w:pPr>
              <w:pStyle w:val="TableParagraph"/>
              <w:spacing w:before="46"/>
              <w:ind w:right="67"/>
              <w:jc w:val="center"/>
              <w:rPr>
                <w:sz w:val="24"/>
              </w:rPr>
            </w:pPr>
            <w:r w:rsidRPr="0035519F">
              <w:rPr>
                <w:rFonts w:cs="Arial"/>
                <w:sz w:val="24"/>
                <w:szCs w:val="24"/>
              </w:rPr>
              <w:t>(</w:t>
            </w:r>
            <w:r w:rsidR="00FB276D" w:rsidRPr="0035519F">
              <w:rPr>
                <w:rFonts w:cs="Arial"/>
                <w:sz w:val="24"/>
                <w:szCs w:val="24"/>
              </w:rPr>
              <w:t>0,34-3,86</w:t>
            </w:r>
            <w:r w:rsidRPr="0035519F">
              <w:rPr>
                <w:rFonts w:cs="Arial"/>
                <w:sz w:val="24"/>
                <w:szCs w:val="24"/>
              </w:rPr>
              <w:t>)</w:t>
            </w:r>
          </w:p>
        </w:tc>
        <w:tc>
          <w:tcPr>
            <w:tcW w:w="1377" w:type="dxa"/>
            <w:tcBorders>
              <w:bottom w:val="double" w:sz="3" w:space="0" w:color="000000"/>
            </w:tcBorders>
            <w:vAlign w:val="center"/>
          </w:tcPr>
          <w:p w14:paraId="420B09B7" w14:textId="77777777" w:rsidR="0038350A" w:rsidRPr="0035519F" w:rsidRDefault="0038350A" w:rsidP="00502F4D">
            <w:pPr>
              <w:pStyle w:val="TableParagraph"/>
              <w:jc w:val="center"/>
              <w:rPr>
                <w:rFonts w:ascii="Times New Roman"/>
              </w:rPr>
            </w:pPr>
          </w:p>
        </w:tc>
      </w:tr>
    </w:tbl>
    <w:p w14:paraId="29766596" w14:textId="523CDB64" w:rsidR="00FD1C9C" w:rsidRPr="0035519F" w:rsidRDefault="00FD1C9C" w:rsidP="00891FA6">
      <w:pPr>
        <w:pStyle w:val="ListParagraph"/>
        <w:spacing w:line="360" w:lineRule="auto"/>
        <w:ind w:left="0" w:right="18"/>
        <w:jc w:val="both"/>
        <w:rPr>
          <w:rFonts w:ascii="Arial" w:hAnsi="Arial" w:cs="Arial"/>
          <w:i/>
          <w:sz w:val="24"/>
          <w:szCs w:val="24"/>
        </w:rPr>
      </w:pPr>
      <w:r w:rsidRPr="0035519F">
        <w:rPr>
          <w:rFonts w:ascii="Arial" w:hAnsi="Arial" w:cs="Arial"/>
          <w:i/>
          <w:sz w:val="24"/>
          <w:szCs w:val="24"/>
        </w:rPr>
        <w:t>*</w:t>
      </w:r>
      <w:r w:rsidR="00F757CA" w:rsidRPr="0035519F">
        <w:rPr>
          <w:rFonts w:ascii="Arial" w:hAnsi="Arial" w:cs="Arial"/>
          <w:i/>
          <w:sz w:val="24"/>
          <w:szCs w:val="24"/>
        </w:rPr>
        <w:t xml:space="preserve">Mann-Whitney </w:t>
      </w:r>
      <w:r w:rsidR="00211A1C" w:rsidRPr="0035519F">
        <w:rPr>
          <w:rFonts w:ascii="Arial" w:hAnsi="Arial" w:cs="Arial"/>
          <w:i/>
          <w:sz w:val="24"/>
          <w:szCs w:val="24"/>
        </w:rPr>
        <w:t>test</w:t>
      </w:r>
    </w:p>
    <w:p w14:paraId="027B12C5" w14:textId="4A237890" w:rsidR="00D2336E" w:rsidRPr="0035519F" w:rsidRDefault="00FD1C9C" w:rsidP="00891FA6">
      <w:pPr>
        <w:spacing w:line="480" w:lineRule="auto"/>
        <w:ind w:right="18"/>
        <w:jc w:val="both"/>
        <w:rPr>
          <w:rFonts w:ascii="Arial" w:hAnsi="Arial" w:cs="Arial"/>
          <w:sz w:val="24"/>
          <w:szCs w:val="24"/>
        </w:rPr>
      </w:pPr>
      <w:r w:rsidRPr="0035519F">
        <w:rPr>
          <w:rFonts w:ascii="Arial" w:hAnsi="Arial" w:cs="Arial"/>
          <w:sz w:val="24"/>
          <w:szCs w:val="24"/>
        </w:rPr>
        <w:t xml:space="preserve">Rerata indeks HOMA-IR ditemukan signifikan lebih tinggi pada obesitas </w:t>
      </w:r>
      <w:r w:rsidR="0005295A" w:rsidRPr="0035519F">
        <w:rPr>
          <w:rFonts w:ascii="Arial" w:hAnsi="Arial" w:cs="Arial"/>
          <w:sz w:val="24"/>
          <w:szCs w:val="24"/>
        </w:rPr>
        <w:t>sentral</w:t>
      </w:r>
      <w:r w:rsidRPr="0035519F">
        <w:rPr>
          <w:rFonts w:ascii="Arial" w:hAnsi="Arial" w:cs="Arial"/>
          <w:sz w:val="24"/>
          <w:szCs w:val="24"/>
        </w:rPr>
        <w:t xml:space="preserve"> dibandingkan tanpa obesitas </w:t>
      </w:r>
      <w:r w:rsidR="0005295A" w:rsidRPr="0035519F">
        <w:rPr>
          <w:rFonts w:ascii="Arial" w:hAnsi="Arial" w:cs="Arial"/>
          <w:sz w:val="24"/>
          <w:szCs w:val="24"/>
        </w:rPr>
        <w:t>sentral</w:t>
      </w:r>
      <w:r w:rsidR="00211A1C" w:rsidRPr="0035519F">
        <w:rPr>
          <w:rFonts w:ascii="Arial" w:hAnsi="Arial" w:cs="Arial"/>
          <w:sz w:val="24"/>
          <w:szCs w:val="24"/>
        </w:rPr>
        <w:t>, yaitu 3,25</w:t>
      </w:r>
      <w:r w:rsidR="005C3D02" w:rsidRPr="0035519F">
        <w:rPr>
          <w:rFonts w:ascii="Arial" w:hAnsi="Arial" w:cs="Arial"/>
          <w:sz w:val="24"/>
          <w:szCs w:val="24"/>
        </w:rPr>
        <w:t xml:space="preserve"> </w:t>
      </w:r>
      <w:r w:rsidRPr="0035519F">
        <w:rPr>
          <w:rFonts w:ascii="Arial" w:hAnsi="Arial" w:cs="Arial"/>
          <w:sz w:val="24"/>
          <w:szCs w:val="24"/>
        </w:rPr>
        <w:t>diband</w:t>
      </w:r>
      <w:r w:rsidR="00211A1C" w:rsidRPr="0035519F">
        <w:rPr>
          <w:rFonts w:ascii="Arial" w:hAnsi="Arial" w:cs="Arial"/>
          <w:sz w:val="24"/>
          <w:szCs w:val="24"/>
        </w:rPr>
        <w:t>ingkan 1,47 dengan nilai p 0</w:t>
      </w:r>
      <w:r w:rsidR="00CC009C" w:rsidRPr="0035519F">
        <w:rPr>
          <w:rFonts w:ascii="Arial" w:hAnsi="Arial" w:cs="Arial"/>
          <w:sz w:val="24"/>
          <w:szCs w:val="24"/>
        </w:rPr>
        <w:t>,000</w:t>
      </w:r>
      <w:r w:rsidRPr="0035519F">
        <w:rPr>
          <w:rFonts w:ascii="Arial" w:hAnsi="Arial" w:cs="Arial"/>
          <w:sz w:val="24"/>
          <w:szCs w:val="24"/>
        </w:rPr>
        <w:t>. Secara visual perbedaannya dapat</w:t>
      </w:r>
      <w:r w:rsidR="00FB276D" w:rsidRPr="0035519F">
        <w:rPr>
          <w:rFonts w:ascii="Arial" w:hAnsi="Arial" w:cs="Arial"/>
          <w:sz w:val="24"/>
          <w:szCs w:val="24"/>
        </w:rPr>
        <w:t xml:space="preserve"> dilihat pada Gambar 8</w:t>
      </w:r>
      <w:r w:rsidRPr="0035519F">
        <w:rPr>
          <w:rFonts w:ascii="Arial" w:hAnsi="Arial" w:cs="Arial"/>
          <w:sz w:val="24"/>
          <w:szCs w:val="24"/>
        </w:rPr>
        <w:t>.</w:t>
      </w:r>
    </w:p>
    <w:p w14:paraId="468BB0E9" w14:textId="29722582" w:rsidR="005C3D02" w:rsidRPr="0035519F" w:rsidRDefault="000A18E1" w:rsidP="00891FA6">
      <w:pPr>
        <w:spacing w:after="0" w:line="240" w:lineRule="auto"/>
        <w:jc w:val="center"/>
        <w:rPr>
          <w:rFonts w:ascii="Times New Roman" w:hAnsi="Times New Roman" w:cs="Times New Roman"/>
          <w:sz w:val="24"/>
          <w:szCs w:val="24"/>
        </w:rPr>
      </w:pPr>
      <w:r w:rsidRPr="0035519F">
        <w:rPr>
          <w:noProof/>
        </w:rPr>
        <w:lastRenderedPageBreak/>
        <mc:AlternateContent>
          <mc:Choice Requires="wps">
            <w:drawing>
              <wp:anchor distT="45720" distB="45720" distL="114300" distR="114300" simplePos="0" relativeHeight="251954176" behindDoc="0" locked="0" layoutInCell="1" allowOverlap="1" wp14:anchorId="3D70E456" wp14:editId="17D4FA58">
                <wp:simplePos x="0" y="0"/>
                <wp:positionH relativeFrom="column">
                  <wp:posOffset>3014345</wp:posOffset>
                </wp:positionH>
                <wp:positionV relativeFrom="paragraph">
                  <wp:posOffset>2488565</wp:posOffset>
                </wp:positionV>
                <wp:extent cx="1445895" cy="318135"/>
                <wp:effectExtent l="0" t="0" r="20955" b="24765"/>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318135"/>
                        </a:xfrm>
                        <a:prstGeom prst="rect">
                          <a:avLst/>
                        </a:prstGeom>
                        <a:solidFill>
                          <a:srgbClr val="FFFFFF"/>
                        </a:solidFill>
                        <a:ln w="9525">
                          <a:solidFill>
                            <a:schemeClr val="bg1"/>
                          </a:solidFill>
                          <a:miter lim="800000"/>
                          <a:headEnd/>
                          <a:tailEnd/>
                        </a:ln>
                      </wps:spPr>
                      <wps:txbx>
                        <w:txbxContent>
                          <w:p w14:paraId="64AF5D13" w14:textId="77777777" w:rsidR="00CE38BD" w:rsidRPr="005F4F05" w:rsidRDefault="00CE38BD" w:rsidP="005C3D02">
                            <w:pPr>
                              <w:jc w:val="center"/>
                              <w:rPr>
                                <w:rFonts w:ascii="Arial" w:hAnsi="Arial" w:cs="Arial"/>
                                <w:b/>
                                <w:sz w:val="16"/>
                              </w:rPr>
                            </w:pPr>
                            <w:r w:rsidRPr="005F4F05">
                              <w:rPr>
                                <w:rFonts w:ascii="Arial" w:hAnsi="Arial" w:cs="Arial"/>
                                <w:b/>
                                <w:sz w:val="16"/>
                              </w:rPr>
                              <w:t>Tanpa Obesitas Sentral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70E456" id="_x0000_t202" coordsize="21600,21600" o:spt="202" path="m,l,21600r21600,l21600,xe">
                <v:stroke joinstyle="miter"/>
                <v:path gradientshapeok="t" o:connecttype="rect"/>
              </v:shapetype>
              <v:shape id="Text Box 296" o:spid="_x0000_s1094" type="#_x0000_t202" style="position:absolute;left:0;text-align:left;margin-left:237.35pt;margin-top:195.95pt;width:113.85pt;height:25.05pt;z-index:25195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" strokecolor="white [3212]">
                <v:textbox>
                  <w:txbxContent>
                    <w:p w14:paraId="64AF5D13" w14:textId="77777777" w:rsidR="00CE38BD" w:rsidRPr="005F4F05" w:rsidRDefault="00CE38BD" w:rsidP="005C3D02">
                      <w:pPr>
                        <w:jc w:val="center"/>
                        <w:rPr>
                          <w:rFonts w:ascii="Arial" w:hAnsi="Arial" w:cs="Arial"/>
                          <w:b/>
                          <w:sz w:val="16"/>
                        </w:rPr>
                      </w:pPr>
                      <w:r w:rsidRPr="005F4F05">
                        <w:rPr>
                          <w:rFonts w:ascii="Arial" w:hAnsi="Arial" w:cs="Arial"/>
                          <w:b/>
                          <w:sz w:val="16"/>
                        </w:rPr>
                        <w:t>Tanpa Obesitas Sentral</w:t>
                      </w:r>
                    </w:p>
                  </w:txbxContent>
                </v:textbox>
              </v:shape>
            </w:pict>
          </mc:Fallback>
        </mc:AlternateContent>
      </w:r>
      <w:r w:rsidR="00461CDD" w:rsidRPr="0035519F">
        <w:rPr>
          <w:rFonts w:ascii="Times New Roman" w:hAnsi="Times New Roman" w:cs="Times New Roman"/>
          <w:noProof/>
          <w:sz w:val="24"/>
          <w:szCs w:val="24"/>
        </w:rPr>
        <mc:AlternateContent>
          <mc:Choice Requires="wps">
            <w:drawing>
              <wp:anchor distT="0" distB="0" distL="114300" distR="114300" simplePos="0" relativeHeight="252055552" behindDoc="0" locked="0" layoutInCell="1" allowOverlap="1" wp14:anchorId="743DD6FF" wp14:editId="1B15BD14">
                <wp:simplePos x="0" y="0"/>
                <wp:positionH relativeFrom="column">
                  <wp:posOffset>1749587</wp:posOffset>
                </wp:positionH>
                <wp:positionV relativeFrom="paragraph">
                  <wp:posOffset>728345</wp:posOffset>
                </wp:positionV>
                <wp:extent cx="419620" cy="383038"/>
                <wp:effectExtent l="0" t="0" r="19050" b="17145"/>
                <wp:wrapNone/>
                <wp:docPr id="58"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620" cy="383038"/>
                        </a:xfrm>
                        <a:prstGeom prst="rect">
                          <a:avLst/>
                        </a:prstGeom>
                        <a:solidFill>
                          <a:srgbClr val="FFFFFF"/>
                        </a:solidFill>
                        <a:ln w="9525">
                          <a:solidFill>
                            <a:schemeClr val="bg1"/>
                          </a:solidFill>
                          <a:miter lim="800000"/>
                          <a:headEnd/>
                          <a:tailEnd/>
                        </a:ln>
                      </wps:spPr>
                      <wps:txbx>
                        <w:txbxContent>
                          <w:p w14:paraId="6475A2B3" w14:textId="77777777" w:rsidR="00CE38BD" w:rsidRDefault="00CE38BD" w:rsidP="00461CDD">
                            <w:pPr>
                              <w:pStyle w:val="NormalWeb"/>
                              <w:spacing w:before="0" w:beforeAutospacing="0" w:after="160" w:afterAutospacing="0" w:line="256" w:lineRule="auto"/>
                            </w:pPr>
                            <w:r>
                              <w:rPr>
                                <w:rFonts w:ascii="Calibri" w:eastAsia="Calibri" w:hAnsi="Calibri"/>
                                <w:b/>
                                <w:bCs/>
                                <w:color w:val="000000" w:themeColor="text1"/>
                                <w:kern w:val="24"/>
                                <w:sz w:val="16"/>
                                <w:szCs w:val="16"/>
                              </w:rPr>
                              <w:t xml:space="preserve">   </w:t>
                            </w:r>
                            <w:r>
                              <w:rPr>
                                <w:rFonts w:ascii="Arial" w:eastAsia="Calibri" w:hAnsi="Arial"/>
                                <w:b/>
                                <w:bCs/>
                                <w:color w:val="000000" w:themeColor="text1"/>
                                <w:kern w:val="24"/>
                                <w:sz w:val="14"/>
                                <w:szCs w:val="14"/>
                              </w:rPr>
                              <w:t>3,25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43DD6FF" id="Text Box 295" o:spid="_x0000_s1095" type="#_x0000_t202" style="position:absolute;left:0;text-align:left;margin-left:137.75pt;margin-top:57.35pt;width:33.05pt;height:30.15pt;z-index:25205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" strokecolor="white [3212]">
                <v:textbox>
                  <w:txbxContent>
                    <w:p w14:paraId="6475A2B3" w14:textId="77777777" w:rsidR="00CE38BD" w:rsidRDefault="00CE38BD" w:rsidP="00461CDD">
                      <w:pPr>
                        <w:pStyle w:val="NormalWeb"/>
                        <w:spacing w:before="0" w:beforeAutospacing="0" w:after="160" w:afterAutospacing="0" w:line="256" w:lineRule="auto"/>
                      </w:pPr>
                      <w:r>
                        <w:rPr>
                          <w:rFonts w:ascii="Calibri" w:eastAsia="Calibri" w:hAnsi="Calibri"/>
                          <w:b/>
                          <w:bCs/>
                          <w:color w:val="000000" w:themeColor="text1"/>
                          <w:kern w:val="24"/>
                          <w:sz w:val="16"/>
                          <w:szCs w:val="16"/>
                        </w:rPr>
                        <w:t xml:space="preserve">   </w:t>
                      </w:r>
                      <w:r>
                        <w:rPr>
                          <w:rFonts w:ascii="Arial" w:eastAsia="Calibri" w:hAnsi="Arial"/>
                          <w:b/>
                          <w:bCs/>
                          <w:color w:val="000000" w:themeColor="text1"/>
                          <w:kern w:val="24"/>
                          <w:sz w:val="14"/>
                          <w:szCs w:val="14"/>
                        </w:rPr>
                        <w:t>3,25</w:t>
                      </w:r>
                    </w:p>
                  </w:txbxContent>
                </v:textbox>
              </v:shape>
            </w:pict>
          </mc:Fallback>
        </mc:AlternateContent>
      </w:r>
      <w:r w:rsidR="005F4F05" w:rsidRPr="0035519F">
        <w:rPr>
          <w:noProof/>
        </w:rPr>
        <mc:AlternateContent>
          <mc:Choice Requires="wps">
            <w:drawing>
              <wp:anchor distT="45720" distB="45720" distL="114300" distR="114300" simplePos="0" relativeHeight="252043264" behindDoc="0" locked="0" layoutInCell="1" allowOverlap="1" wp14:anchorId="12B44A9E" wp14:editId="10678FCD">
                <wp:simplePos x="0" y="0"/>
                <wp:positionH relativeFrom="column">
                  <wp:posOffset>2336962</wp:posOffset>
                </wp:positionH>
                <wp:positionV relativeFrom="paragraph">
                  <wp:posOffset>2540635</wp:posOffset>
                </wp:positionV>
                <wp:extent cx="669851" cy="201709"/>
                <wp:effectExtent l="0" t="0" r="16510" b="27305"/>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51" cy="201709"/>
                        </a:xfrm>
                        <a:prstGeom prst="rect">
                          <a:avLst/>
                        </a:prstGeom>
                        <a:solidFill>
                          <a:srgbClr val="FFFFFF"/>
                        </a:solidFill>
                        <a:ln w="9525">
                          <a:solidFill>
                            <a:schemeClr val="bg1"/>
                          </a:solidFill>
                          <a:miter lim="800000"/>
                          <a:headEnd/>
                          <a:tailEnd/>
                        </a:ln>
                      </wps:spPr>
                      <wps:txbx>
                        <w:txbxContent>
                          <w:p w14:paraId="4E0680FC" w14:textId="39A337CE" w:rsidR="00CE38BD" w:rsidRPr="005F4F05" w:rsidRDefault="00CE38BD" w:rsidP="005F4F05">
                            <w:pPr>
                              <w:jc w:val="center"/>
                              <w:rPr>
                                <w:rFonts w:ascii="Arial" w:hAnsi="Arial" w:cs="Arial"/>
                                <w:b/>
                                <w:sz w:val="16"/>
                              </w:rPr>
                            </w:pPr>
                            <w:r w:rsidRPr="00461CDD">
                              <w:rPr>
                                <w:rFonts w:ascii="Arial" w:hAnsi="Arial" w:cs="Arial"/>
                                <w:b/>
                                <w:noProof/>
                                <w:sz w:val="16"/>
                              </w:rPr>
                              <w:drawing>
                                <wp:inline distT="0" distB="0" distL="0" distR="0" wp14:anchorId="02A4B84F" wp14:editId="4FA9A170">
                                  <wp:extent cx="425450" cy="32956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5450" cy="3295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44A9E" id="Text Box 249" o:spid="_x0000_s1096" type="#_x0000_t202" style="position:absolute;left:0;text-align:left;margin-left:184pt;margin-top:200.05pt;width:52.75pt;height:15.9pt;z-index:25204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" strokecolor="white [3212]">
                <v:textbox>
                  <w:txbxContent>
                    <w:p w14:paraId="4E0680FC" w14:textId="39A337CE" w:rsidR="00CE38BD" w:rsidRPr="005F4F05" w:rsidRDefault="00CE38BD" w:rsidP="005F4F05">
                      <w:pPr>
                        <w:jc w:val="center"/>
                        <w:rPr>
                          <w:rFonts w:ascii="Arial" w:hAnsi="Arial" w:cs="Arial"/>
                          <w:b/>
                          <w:sz w:val="16"/>
                        </w:rPr>
                      </w:pPr>
                      <w:r w:rsidRPr="00461CDD">
                        <w:rPr>
                          <w:rFonts w:ascii="Arial" w:hAnsi="Arial" w:cs="Arial"/>
                          <w:b/>
                          <w:noProof/>
                          <w:sz w:val="16"/>
                        </w:rPr>
                        <w:drawing>
                          <wp:inline distT="0" distB="0" distL="0" distR="0" wp14:anchorId="02A4B84F" wp14:editId="4FA9A170">
                            <wp:extent cx="425450" cy="32956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5450" cy="329565"/>
                                    </a:xfrm>
                                    <a:prstGeom prst="rect">
                                      <a:avLst/>
                                    </a:prstGeom>
                                    <a:noFill/>
                                    <a:ln>
                                      <a:noFill/>
                                    </a:ln>
                                  </pic:spPr>
                                </pic:pic>
                              </a:graphicData>
                            </a:graphic>
                          </wp:inline>
                        </w:drawing>
                      </w:r>
                    </w:p>
                  </w:txbxContent>
                </v:textbox>
              </v:shape>
            </w:pict>
          </mc:Fallback>
        </mc:AlternateContent>
      </w:r>
      <w:r w:rsidR="005F4F05" w:rsidRPr="0035519F">
        <w:rPr>
          <w:noProof/>
        </w:rPr>
        <mc:AlternateContent>
          <mc:Choice Requires="wps">
            <w:drawing>
              <wp:anchor distT="45720" distB="45720" distL="114300" distR="114300" simplePos="0" relativeHeight="251953152" behindDoc="0" locked="0" layoutInCell="1" allowOverlap="1" wp14:anchorId="4EA65F34" wp14:editId="468CF757">
                <wp:simplePos x="0" y="0"/>
                <wp:positionH relativeFrom="column">
                  <wp:posOffset>1207135</wp:posOffset>
                </wp:positionH>
                <wp:positionV relativeFrom="paragraph">
                  <wp:posOffset>2488727</wp:posOffset>
                </wp:positionV>
                <wp:extent cx="1116330" cy="318135"/>
                <wp:effectExtent l="0" t="0" r="26670" b="24765"/>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318135"/>
                        </a:xfrm>
                        <a:prstGeom prst="rect">
                          <a:avLst/>
                        </a:prstGeom>
                        <a:solidFill>
                          <a:srgbClr val="FFFFFF"/>
                        </a:solidFill>
                        <a:ln w="9525">
                          <a:solidFill>
                            <a:schemeClr val="bg1"/>
                          </a:solidFill>
                          <a:miter lim="800000"/>
                          <a:headEnd/>
                          <a:tailEnd/>
                        </a:ln>
                      </wps:spPr>
                      <wps:txbx>
                        <w:txbxContent>
                          <w:p w14:paraId="4C36C62F" w14:textId="77777777" w:rsidR="00CE38BD" w:rsidRPr="005F4F05" w:rsidRDefault="00CE38BD" w:rsidP="005C3D02">
                            <w:pPr>
                              <w:jc w:val="center"/>
                              <w:rPr>
                                <w:rFonts w:ascii="Arial" w:hAnsi="Arial" w:cs="Arial"/>
                                <w:b/>
                                <w:sz w:val="16"/>
                              </w:rPr>
                            </w:pPr>
                            <w:r w:rsidRPr="005F4F05">
                              <w:rPr>
                                <w:b/>
                                <w:sz w:val="16"/>
                              </w:rPr>
                              <w:t xml:space="preserve">   </w:t>
                            </w:r>
                            <w:r w:rsidRPr="005F4F05">
                              <w:rPr>
                                <w:rFonts w:ascii="Arial" w:hAnsi="Arial" w:cs="Arial"/>
                                <w:b/>
                                <w:sz w:val="16"/>
                              </w:rPr>
                              <w:t>Obesitas Sentral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65F34" id="_x0000_s1097" type="#_x0000_t202" style="position:absolute;left:0;text-align:left;margin-left:95.05pt;margin-top:195.95pt;width:87.9pt;height:25.05pt;z-index:25195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" strokecolor="white [3212]">
                <v:textbox>
                  <w:txbxContent>
                    <w:p w14:paraId="4C36C62F" w14:textId="77777777" w:rsidR="00CE38BD" w:rsidRPr="005F4F05" w:rsidRDefault="00CE38BD" w:rsidP="005C3D02">
                      <w:pPr>
                        <w:jc w:val="center"/>
                        <w:rPr>
                          <w:rFonts w:ascii="Arial" w:hAnsi="Arial" w:cs="Arial"/>
                          <w:b/>
                          <w:sz w:val="16"/>
                        </w:rPr>
                      </w:pPr>
                      <w:r w:rsidRPr="005F4F05">
                        <w:rPr>
                          <w:b/>
                          <w:sz w:val="16"/>
                        </w:rPr>
                        <w:t xml:space="preserve">   </w:t>
                      </w:r>
                      <w:r w:rsidRPr="005F4F05">
                        <w:rPr>
                          <w:rFonts w:ascii="Arial" w:hAnsi="Arial" w:cs="Arial"/>
                          <w:b/>
                          <w:sz w:val="16"/>
                        </w:rPr>
                        <w:t>Obesitas Sentral</w:t>
                      </w:r>
                    </w:p>
                  </w:txbxContent>
                </v:textbox>
              </v:shape>
            </w:pict>
          </mc:Fallback>
        </mc:AlternateContent>
      </w:r>
      <w:r w:rsidR="006D267C" w:rsidRPr="0035519F">
        <w:rPr>
          <w:noProof/>
        </w:rPr>
        <mc:AlternateContent>
          <mc:Choice Requires="wps">
            <w:drawing>
              <wp:anchor distT="45720" distB="45720" distL="114300" distR="114300" simplePos="0" relativeHeight="251958272" behindDoc="0" locked="0" layoutInCell="1" allowOverlap="1" wp14:anchorId="62E4A830" wp14:editId="37F0747B">
                <wp:simplePos x="0" y="0"/>
                <wp:positionH relativeFrom="column">
                  <wp:posOffset>2448532</wp:posOffset>
                </wp:positionH>
                <wp:positionV relativeFrom="paragraph">
                  <wp:posOffset>171129</wp:posOffset>
                </wp:positionV>
                <wp:extent cx="577990" cy="261257"/>
                <wp:effectExtent l="0" t="0" r="12700" b="247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990" cy="261257"/>
                        </a:xfrm>
                        <a:prstGeom prst="rect">
                          <a:avLst/>
                        </a:prstGeom>
                        <a:solidFill>
                          <a:srgbClr val="FFFFFF"/>
                        </a:solidFill>
                        <a:ln w="9525">
                          <a:solidFill>
                            <a:schemeClr val="bg1"/>
                          </a:solidFill>
                          <a:miter lim="800000"/>
                          <a:headEnd/>
                          <a:tailEnd/>
                        </a:ln>
                      </wps:spPr>
                      <wps:txbx>
                        <w:txbxContent>
                          <w:p w14:paraId="4E4F232E" w14:textId="5F6E47DE" w:rsidR="00CE38BD" w:rsidRPr="00CD7397" w:rsidRDefault="00CE38BD" w:rsidP="006D267C">
                            <w:pPr>
                              <w:jc w:val="center"/>
                              <w:rPr>
                                <w:b/>
                                <w:sz w:val="18"/>
                              </w:rPr>
                            </w:pPr>
                            <w:r w:rsidRPr="00CD7397">
                              <w:rPr>
                                <w:b/>
                                <w:sz w:val="18"/>
                              </w:rPr>
                              <w:t>*p&lt;0,05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4A830" id="Text Box 15" o:spid="_x0000_s1098" type="#_x0000_t202" style="position:absolute;left:0;text-align:left;margin-left:192.8pt;margin-top:13.45pt;width:45.5pt;height:20.55pt;z-index:2519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" strokecolor="white [3212]">
                <v:textbox>
                  <w:txbxContent>
                    <w:p w14:paraId="4E4F232E" w14:textId="5F6E47DE" w:rsidR="00CE38BD" w:rsidRPr="00CD7397" w:rsidRDefault="00CE38BD" w:rsidP="006D267C">
                      <w:pPr>
                        <w:jc w:val="center"/>
                        <w:rPr>
                          <w:b/>
                          <w:sz w:val="18"/>
                        </w:rPr>
                      </w:pPr>
                      <w:r w:rsidRPr="00CD7397">
                        <w:rPr>
                          <w:b/>
                          <w:sz w:val="18"/>
                        </w:rPr>
                        <w:t>*p&lt;0,05</w:t>
                      </w:r>
                    </w:p>
                  </w:txbxContent>
                </v:textbox>
              </v:shape>
            </w:pict>
          </mc:Fallback>
        </mc:AlternateContent>
      </w:r>
      <w:r w:rsidR="005C3D02" w:rsidRPr="0035519F">
        <w:rPr>
          <w:noProof/>
        </w:rPr>
        <mc:AlternateContent>
          <mc:Choice Requires="wps">
            <w:drawing>
              <wp:anchor distT="45720" distB="45720" distL="114300" distR="114300" simplePos="0" relativeHeight="251955200" behindDoc="0" locked="0" layoutInCell="1" allowOverlap="1" wp14:anchorId="798B0BFC" wp14:editId="4BD22F8C">
                <wp:simplePos x="0" y="0"/>
                <wp:positionH relativeFrom="column">
                  <wp:posOffset>2207895</wp:posOffset>
                </wp:positionH>
                <wp:positionV relativeFrom="paragraph">
                  <wp:posOffset>2183423</wp:posOffset>
                </wp:positionV>
                <wp:extent cx="819150" cy="133350"/>
                <wp:effectExtent l="0" t="0" r="19050" b="19050"/>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133350"/>
                        </a:xfrm>
                        <a:prstGeom prst="rect">
                          <a:avLst/>
                        </a:prstGeom>
                        <a:solidFill>
                          <a:srgbClr val="FFFFFF"/>
                        </a:solidFill>
                        <a:ln w="9525">
                          <a:solidFill>
                            <a:schemeClr val="bg1"/>
                          </a:solidFill>
                          <a:miter lim="800000"/>
                          <a:headEnd/>
                          <a:tailEnd/>
                        </a:ln>
                      </wps:spPr>
                      <wps:txbx>
                        <w:txbxContent>
                          <w:p w14:paraId="302B70F5" w14:textId="77777777" w:rsidR="00CE38BD" w:rsidRPr="00AC7FF1" w:rsidRDefault="00CE38BD" w:rsidP="005C3D02">
                            <w:pPr>
                              <w:jc w:val="center"/>
                              <w:rPr>
                                <w:rFonts w:ascii="Arial" w:hAnsi="Arial" w:cs="Arial"/>
                                <w:b/>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B0BFC" id="Text Box 298" o:spid="_x0000_s1099" type="#_x0000_t202" style="position:absolute;left:0;text-align:left;margin-left:173.85pt;margin-top:171.9pt;width:64.5pt;height:10.5pt;z-index:251955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" strokecolor="white [3212]">
                <v:textbox>
                  <w:txbxContent>
                    <w:p w14:paraId="302B70F5" w14:textId="77777777" w:rsidR="00CE38BD" w:rsidRPr="00AC7FF1" w:rsidRDefault="00CE38BD" w:rsidP="005C3D02">
                      <w:pPr>
                        <w:jc w:val="center"/>
                        <w:rPr>
                          <w:rFonts w:ascii="Arial" w:hAnsi="Arial" w:cs="Arial"/>
                          <w:b/>
                          <w:sz w:val="12"/>
                        </w:rPr>
                      </w:pPr>
                    </w:p>
                  </w:txbxContent>
                </v:textbox>
              </v:shape>
            </w:pict>
          </mc:Fallback>
        </mc:AlternateContent>
      </w:r>
      <w:r w:rsidR="00461CDD" w:rsidRPr="0035519F">
        <w:rPr>
          <w:noProof/>
        </w:rPr>
        <w:t xml:space="preserve"> </w:t>
      </w:r>
      <w:r w:rsidR="005C3D02" w:rsidRPr="0035519F">
        <w:rPr>
          <w:rFonts w:ascii="Times New Roman" w:hAnsi="Times New Roman" w:cs="Times New Roman"/>
          <w:noProof/>
          <w:sz w:val="24"/>
          <w:szCs w:val="24"/>
        </w:rPr>
        <w:drawing>
          <wp:inline distT="0" distB="0" distL="0" distR="0" wp14:anchorId="7AF73DBF" wp14:editId="0636E1BD">
            <wp:extent cx="4695450" cy="2764465"/>
            <wp:effectExtent l="76200" t="76200" r="124460" b="13144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4635" cy="27816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0EADF7" w14:textId="6F2D1A39" w:rsidR="00FD1C9C" w:rsidRPr="0035519F" w:rsidRDefault="00117C25" w:rsidP="00117C25">
      <w:pPr>
        <w:pStyle w:val="Caption"/>
        <w:rPr>
          <w:rFonts w:ascii="Arial" w:hAnsi="Arial" w:cs="Arial"/>
          <w:i w:val="0"/>
          <w:color w:val="auto"/>
          <w:sz w:val="24"/>
          <w:szCs w:val="24"/>
        </w:rPr>
      </w:pPr>
      <w:bookmarkStart w:id="78" w:name="_Toc111873696"/>
      <w:r w:rsidRPr="0035519F">
        <w:rPr>
          <w:rFonts w:ascii="Arial" w:hAnsi="Arial" w:cs="Arial"/>
          <w:i w:val="0"/>
          <w:color w:val="auto"/>
          <w:sz w:val="24"/>
          <w:szCs w:val="24"/>
        </w:rPr>
        <w:t xml:space="preserve">Gambar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Gambar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8</w:t>
      </w:r>
      <w:r w:rsidRPr="0035519F">
        <w:rPr>
          <w:rFonts w:ascii="Arial" w:hAnsi="Arial" w:cs="Arial"/>
          <w:i w:val="0"/>
          <w:color w:val="auto"/>
          <w:sz w:val="24"/>
          <w:szCs w:val="24"/>
        </w:rPr>
        <w:fldChar w:fldCharType="end"/>
      </w:r>
      <w:r w:rsidR="00FD1C9C" w:rsidRPr="0035519F">
        <w:rPr>
          <w:rFonts w:ascii="Arial" w:hAnsi="Arial" w:cs="Arial"/>
          <w:i w:val="0"/>
          <w:color w:val="auto"/>
          <w:sz w:val="24"/>
          <w:szCs w:val="24"/>
        </w:rPr>
        <w:t xml:space="preserve">. Perbedaan rerata nilai HOMA-IR pada kelompok obesitas </w:t>
      </w:r>
      <w:r w:rsidR="0005295A" w:rsidRPr="0035519F">
        <w:rPr>
          <w:rFonts w:ascii="Arial" w:hAnsi="Arial" w:cs="Arial"/>
          <w:i w:val="0"/>
          <w:color w:val="auto"/>
          <w:sz w:val="24"/>
          <w:szCs w:val="24"/>
        </w:rPr>
        <w:t>sentral</w:t>
      </w:r>
      <w:r w:rsidR="00FD1C9C" w:rsidRPr="0035519F">
        <w:rPr>
          <w:rFonts w:ascii="Arial" w:hAnsi="Arial" w:cs="Arial"/>
          <w:i w:val="0"/>
          <w:color w:val="auto"/>
          <w:sz w:val="24"/>
          <w:szCs w:val="24"/>
        </w:rPr>
        <w:t xml:space="preserve"> dan tanpa obesitas </w:t>
      </w:r>
      <w:r w:rsidR="0005295A" w:rsidRPr="0035519F">
        <w:rPr>
          <w:rFonts w:ascii="Arial" w:hAnsi="Arial" w:cs="Arial"/>
          <w:i w:val="0"/>
          <w:color w:val="auto"/>
          <w:sz w:val="24"/>
          <w:szCs w:val="24"/>
        </w:rPr>
        <w:t>sentral</w:t>
      </w:r>
      <w:r w:rsidR="00FD1C9C" w:rsidRPr="0035519F">
        <w:rPr>
          <w:rFonts w:ascii="Arial" w:hAnsi="Arial" w:cs="Arial"/>
          <w:i w:val="0"/>
          <w:color w:val="auto"/>
          <w:sz w:val="24"/>
          <w:szCs w:val="24"/>
        </w:rPr>
        <w:t>.</w:t>
      </w:r>
      <w:bookmarkEnd w:id="78"/>
    </w:p>
    <w:p w14:paraId="3AA83D70" w14:textId="77777777" w:rsidR="00F468A7" w:rsidRPr="0035519F" w:rsidRDefault="00F468A7" w:rsidP="00F468A7"/>
    <w:p w14:paraId="25DED4D0" w14:textId="06FBEF8C" w:rsidR="00F468A7" w:rsidRPr="0035519F" w:rsidRDefault="00F468A7" w:rsidP="00F468A7">
      <w:pPr>
        <w:pStyle w:val="ListParagraph"/>
        <w:numPr>
          <w:ilvl w:val="0"/>
          <w:numId w:val="37"/>
        </w:numPr>
        <w:spacing w:line="480" w:lineRule="auto"/>
        <w:ind w:left="0" w:right="18"/>
        <w:jc w:val="both"/>
        <w:rPr>
          <w:rFonts w:ascii="Arial" w:hAnsi="Arial" w:cs="Arial"/>
          <w:b/>
          <w:sz w:val="24"/>
          <w:szCs w:val="24"/>
        </w:rPr>
      </w:pPr>
      <w:r w:rsidRPr="0035519F">
        <w:rPr>
          <w:rFonts w:ascii="Arial" w:hAnsi="Arial" w:cs="Arial"/>
          <w:b/>
          <w:sz w:val="24"/>
          <w:szCs w:val="24"/>
        </w:rPr>
        <w:t>Perbandingan Kadar IGF-1 pada Kelompok dewasa Non DM dengan dan tanpa Obesitas Sentral.</w:t>
      </w:r>
    </w:p>
    <w:p w14:paraId="7096FACA" w14:textId="78807A11" w:rsidR="00F468A7" w:rsidRPr="0035519F" w:rsidRDefault="00FB276D" w:rsidP="00F468A7">
      <w:pPr>
        <w:pStyle w:val="ListParagraph"/>
        <w:spacing w:line="480" w:lineRule="auto"/>
        <w:ind w:left="0" w:right="18" w:firstLine="270"/>
        <w:jc w:val="both"/>
        <w:rPr>
          <w:rFonts w:ascii="Arial" w:hAnsi="Arial" w:cs="Arial"/>
          <w:sz w:val="24"/>
          <w:szCs w:val="24"/>
        </w:rPr>
      </w:pPr>
      <w:r w:rsidRPr="0035519F">
        <w:rPr>
          <w:rFonts w:ascii="Arial" w:hAnsi="Arial" w:cs="Arial"/>
          <w:sz w:val="24"/>
          <w:szCs w:val="24"/>
        </w:rPr>
        <w:t>Tabel 7</w:t>
      </w:r>
      <w:r w:rsidR="00F468A7" w:rsidRPr="0035519F">
        <w:rPr>
          <w:rFonts w:ascii="Arial" w:hAnsi="Arial" w:cs="Arial"/>
          <w:sz w:val="24"/>
          <w:szCs w:val="24"/>
        </w:rPr>
        <w:t xml:space="preserve"> memperlihatkan perbandingan kadar IGF-1 serum pada kelompok dewasa non DM dengan dan tanpa obesitas sentral. Perbedaan rerata sampel diujikan dengan </w:t>
      </w:r>
      <w:r w:rsidR="00F468A7" w:rsidRPr="0035519F">
        <w:rPr>
          <w:rFonts w:ascii="Arial" w:hAnsi="Arial" w:cs="Arial"/>
          <w:i/>
          <w:sz w:val="24"/>
          <w:szCs w:val="24"/>
        </w:rPr>
        <w:t>Mann-Whitney Test</w:t>
      </w:r>
      <w:r w:rsidR="00F468A7" w:rsidRPr="0035519F">
        <w:rPr>
          <w:rFonts w:ascii="Arial" w:hAnsi="Arial" w:cs="Arial"/>
          <w:sz w:val="24"/>
          <w:szCs w:val="24"/>
        </w:rPr>
        <w:t xml:space="preserve"> karena data IGF-1 pada kedua kelompok tidak terdistribusi normal.</w:t>
      </w:r>
    </w:p>
    <w:p w14:paraId="6B1FFF4E" w14:textId="75E9C725" w:rsidR="00F468A7" w:rsidRPr="0035519F" w:rsidRDefault="00D56992" w:rsidP="000A18E1">
      <w:pPr>
        <w:pStyle w:val="Caption"/>
        <w:spacing w:line="360" w:lineRule="auto"/>
        <w:rPr>
          <w:rFonts w:ascii="Arial" w:eastAsia="MS Mincho" w:hAnsi="Arial" w:cs="Arial"/>
          <w:i w:val="0"/>
          <w:iCs w:val="0"/>
          <w:color w:val="auto"/>
          <w:sz w:val="24"/>
          <w:szCs w:val="24"/>
        </w:rPr>
      </w:pPr>
      <w:bookmarkStart w:id="79" w:name="_Toc111873679"/>
      <w:r w:rsidRPr="0035519F">
        <w:rPr>
          <w:rFonts w:ascii="Arial" w:eastAsia="MS Mincho" w:hAnsi="Arial" w:cs="Arial"/>
          <w:i w:val="0"/>
          <w:iCs w:val="0"/>
          <w:color w:val="auto"/>
          <w:sz w:val="24"/>
          <w:szCs w:val="24"/>
        </w:rPr>
        <w:t xml:space="preserve">Tabel </w:t>
      </w:r>
      <w:r w:rsidRPr="0035519F">
        <w:rPr>
          <w:rFonts w:ascii="Arial" w:eastAsia="MS Mincho" w:hAnsi="Arial" w:cs="Arial"/>
          <w:i w:val="0"/>
          <w:iCs w:val="0"/>
          <w:color w:val="auto"/>
          <w:sz w:val="24"/>
          <w:szCs w:val="24"/>
        </w:rPr>
        <w:fldChar w:fldCharType="begin"/>
      </w:r>
      <w:r w:rsidRPr="0035519F">
        <w:rPr>
          <w:rFonts w:ascii="Arial" w:eastAsia="MS Mincho" w:hAnsi="Arial" w:cs="Arial"/>
          <w:i w:val="0"/>
          <w:iCs w:val="0"/>
          <w:color w:val="auto"/>
          <w:sz w:val="24"/>
          <w:szCs w:val="24"/>
        </w:rPr>
        <w:instrText xml:space="preserve"> SEQ Tabel \* ARABIC </w:instrText>
      </w:r>
      <w:r w:rsidRPr="0035519F">
        <w:rPr>
          <w:rFonts w:ascii="Arial" w:eastAsia="MS Mincho" w:hAnsi="Arial" w:cs="Arial"/>
          <w:i w:val="0"/>
          <w:iCs w:val="0"/>
          <w:color w:val="auto"/>
          <w:sz w:val="24"/>
          <w:szCs w:val="24"/>
        </w:rPr>
        <w:fldChar w:fldCharType="separate"/>
      </w:r>
      <w:r w:rsidR="005B4074">
        <w:rPr>
          <w:rFonts w:ascii="Arial" w:eastAsia="MS Mincho" w:hAnsi="Arial" w:cs="Arial"/>
          <w:i w:val="0"/>
          <w:iCs w:val="0"/>
          <w:noProof/>
          <w:color w:val="auto"/>
          <w:sz w:val="24"/>
          <w:szCs w:val="24"/>
        </w:rPr>
        <w:t>7</w:t>
      </w:r>
      <w:r w:rsidRPr="0035519F">
        <w:rPr>
          <w:rFonts w:ascii="Arial" w:eastAsia="MS Mincho" w:hAnsi="Arial" w:cs="Arial"/>
          <w:i w:val="0"/>
          <w:iCs w:val="0"/>
          <w:color w:val="auto"/>
          <w:sz w:val="24"/>
          <w:szCs w:val="24"/>
        </w:rPr>
        <w:fldChar w:fldCharType="end"/>
      </w:r>
      <w:r w:rsidR="00140824" w:rsidRPr="0035519F">
        <w:rPr>
          <w:rFonts w:ascii="Arial" w:eastAsia="MS Mincho" w:hAnsi="Arial" w:cs="Arial"/>
          <w:i w:val="0"/>
          <w:iCs w:val="0"/>
          <w:color w:val="auto"/>
          <w:sz w:val="24"/>
          <w:szCs w:val="24"/>
        </w:rPr>
        <w:t>.</w:t>
      </w:r>
      <w:r w:rsidR="00F468A7" w:rsidRPr="0035519F">
        <w:rPr>
          <w:rFonts w:ascii="Arial" w:eastAsia="MS Mincho" w:hAnsi="Arial" w:cs="Arial"/>
          <w:i w:val="0"/>
          <w:iCs w:val="0"/>
          <w:color w:val="auto"/>
          <w:sz w:val="24"/>
          <w:szCs w:val="24"/>
        </w:rPr>
        <w:t xml:space="preserve"> Perbandingan kadar IGF-1 pada kelompok dewasa non DM dengan dan tanpa obesitas sentral. (Data primer)</w:t>
      </w:r>
      <w:bookmarkEnd w:id="79"/>
    </w:p>
    <w:tbl>
      <w:tblPr>
        <w:tblW w:w="7830" w:type="dxa"/>
        <w:tblInd w:w="90" w:type="dxa"/>
        <w:tblLayout w:type="fixed"/>
        <w:tblCellMar>
          <w:left w:w="0" w:type="dxa"/>
          <w:right w:w="0" w:type="dxa"/>
        </w:tblCellMar>
        <w:tblLook w:val="01E0" w:firstRow="1" w:lastRow="1" w:firstColumn="1" w:lastColumn="1" w:noHBand="0" w:noVBand="0"/>
      </w:tblPr>
      <w:tblGrid>
        <w:gridCol w:w="1080"/>
        <w:gridCol w:w="1865"/>
        <w:gridCol w:w="925"/>
        <w:gridCol w:w="1015"/>
        <w:gridCol w:w="2135"/>
        <w:gridCol w:w="810"/>
      </w:tblGrid>
      <w:tr w:rsidR="00F468A7" w:rsidRPr="0035519F" w14:paraId="1F7D8EB0" w14:textId="77777777" w:rsidTr="00E06AD7">
        <w:trPr>
          <w:trHeight w:val="370"/>
        </w:trPr>
        <w:tc>
          <w:tcPr>
            <w:tcW w:w="1080" w:type="dxa"/>
            <w:tcBorders>
              <w:top w:val="double" w:sz="3" w:space="0" w:color="000000"/>
              <w:bottom w:val="single" w:sz="18" w:space="0" w:color="000000"/>
            </w:tcBorders>
          </w:tcPr>
          <w:p w14:paraId="45925124" w14:textId="77777777" w:rsidR="00F468A7" w:rsidRPr="0035519F" w:rsidRDefault="00F468A7" w:rsidP="00E06AD7">
            <w:pPr>
              <w:pStyle w:val="TableParagraph"/>
              <w:rPr>
                <w:rFonts w:ascii="Times New Roman"/>
                <w:sz w:val="24"/>
              </w:rPr>
            </w:pPr>
            <w:r w:rsidRPr="0035519F">
              <w:rPr>
                <w:rFonts w:cs="Arial"/>
                <w:sz w:val="24"/>
                <w:szCs w:val="24"/>
              </w:rPr>
              <w:tab/>
            </w:r>
          </w:p>
        </w:tc>
        <w:tc>
          <w:tcPr>
            <w:tcW w:w="1865" w:type="dxa"/>
            <w:tcBorders>
              <w:top w:val="double" w:sz="3" w:space="0" w:color="000000"/>
              <w:bottom w:val="single" w:sz="18" w:space="0" w:color="000000"/>
            </w:tcBorders>
            <w:vAlign w:val="center"/>
          </w:tcPr>
          <w:p w14:paraId="193FAB05" w14:textId="77777777" w:rsidR="00F468A7" w:rsidRPr="0035519F" w:rsidRDefault="00F468A7" w:rsidP="00E06AD7">
            <w:pPr>
              <w:pStyle w:val="TableParagraph"/>
              <w:spacing w:line="275" w:lineRule="exact"/>
              <w:jc w:val="center"/>
              <w:rPr>
                <w:sz w:val="24"/>
              </w:rPr>
            </w:pPr>
            <w:r w:rsidRPr="0035519F">
              <w:rPr>
                <w:sz w:val="24"/>
              </w:rPr>
              <w:t>Kelompok</w:t>
            </w:r>
          </w:p>
        </w:tc>
        <w:tc>
          <w:tcPr>
            <w:tcW w:w="925" w:type="dxa"/>
            <w:tcBorders>
              <w:top w:val="double" w:sz="3" w:space="0" w:color="000000"/>
              <w:bottom w:val="single" w:sz="18" w:space="0" w:color="000000"/>
            </w:tcBorders>
            <w:vAlign w:val="center"/>
          </w:tcPr>
          <w:p w14:paraId="3A90A998" w14:textId="2E5DF8D2" w:rsidR="00F468A7" w:rsidRPr="0035519F" w:rsidRDefault="00E70431" w:rsidP="00E06AD7">
            <w:pPr>
              <w:pStyle w:val="TableParagraph"/>
              <w:spacing w:line="275" w:lineRule="exact"/>
              <w:ind w:right="40"/>
              <w:jc w:val="center"/>
              <w:rPr>
                <w:sz w:val="24"/>
              </w:rPr>
            </w:pPr>
            <w:r w:rsidRPr="0035519F">
              <w:rPr>
                <w:w w:val="99"/>
                <w:sz w:val="24"/>
              </w:rPr>
              <w:t>n</w:t>
            </w:r>
          </w:p>
        </w:tc>
        <w:tc>
          <w:tcPr>
            <w:tcW w:w="1015" w:type="dxa"/>
            <w:tcBorders>
              <w:top w:val="double" w:sz="3" w:space="0" w:color="000000"/>
              <w:bottom w:val="single" w:sz="18" w:space="0" w:color="000000"/>
            </w:tcBorders>
            <w:vAlign w:val="center"/>
          </w:tcPr>
          <w:p w14:paraId="5AC710B2" w14:textId="77777777" w:rsidR="00F468A7" w:rsidRPr="0035519F" w:rsidRDefault="00F468A7" w:rsidP="00E06AD7">
            <w:pPr>
              <w:pStyle w:val="TableParagraph"/>
              <w:spacing w:line="275" w:lineRule="exact"/>
              <w:ind w:right="94"/>
              <w:jc w:val="center"/>
              <w:rPr>
                <w:sz w:val="24"/>
              </w:rPr>
            </w:pPr>
            <w:r w:rsidRPr="0035519F">
              <w:rPr>
                <w:sz w:val="24"/>
              </w:rPr>
              <w:t>Median</w:t>
            </w:r>
          </w:p>
        </w:tc>
        <w:tc>
          <w:tcPr>
            <w:tcW w:w="2135" w:type="dxa"/>
            <w:tcBorders>
              <w:top w:val="double" w:sz="3" w:space="0" w:color="000000"/>
              <w:bottom w:val="single" w:sz="18" w:space="0" w:color="000000"/>
            </w:tcBorders>
            <w:vAlign w:val="center"/>
          </w:tcPr>
          <w:p w14:paraId="21D86CC2" w14:textId="77777777" w:rsidR="00F468A7" w:rsidRPr="0035519F" w:rsidRDefault="00F468A7" w:rsidP="00E06AD7">
            <w:pPr>
              <w:pStyle w:val="TableParagraph"/>
              <w:spacing w:line="275" w:lineRule="exact"/>
              <w:ind w:right="246"/>
              <w:jc w:val="center"/>
              <w:rPr>
                <w:sz w:val="24"/>
              </w:rPr>
            </w:pPr>
            <w:r w:rsidRPr="0035519F">
              <w:rPr>
                <w:sz w:val="24"/>
              </w:rPr>
              <w:t>(Min-Maks)</w:t>
            </w:r>
          </w:p>
        </w:tc>
        <w:tc>
          <w:tcPr>
            <w:tcW w:w="810" w:type="dxa"/>
            <w:tcBorders>
              <w:top w:val="double" w:sz="3" w:space="0" w:color="000000"/>
              <w:bottom w:val="single" w:sz="18" w:space="0" w:color="000000"/>
            </w:tcBorders>
            <w:vAlign w:val="center"/>
          </w:tcPr>
          <w:p w14:paraId="06D11E21" w14:textId="77777777" w:rsidR="00F468A7" w:rsidRPr="0035519F" w:rsidRDefault="00F468A7" w:rsidP="00E06AD7">
            <w:pPr>
              <w:pStyle w:val="TableParagraph"/>
              <w:spacing w:line="275" w:lineRule="exact"/>
              <w:ind w:right="246"/>
              <w:jc w:val="center"/>
              <w:rPr>
                <w:sz w:val="24"/>
              </w:rPr>
            </w:pPr>
            <w:r w:rsidRPr="0035519F">
              <w:rPr>
                <w:sz w:val="24"/>
              </w:rPr>
              <w:t>p*</w:t>
            </w:r>
          </w:p>
        </w:tc>
      </w:tr>
      <w:tr w:rsidR="00F468A7" w:rsidRPr="0035519F" w14:paraId="35826E3A" w14:textId="77777777" w:rsidTr="00E06AD7">
        <w:trPr>
          <w:trHeight w:val="636"/>
        </w:trPr>
        <w:tc>
          <w:tcPr>
            <w:tcW w:w="1080" w:type="dxa"/>
            <w:tcBorders>
              <w:top w:val="single" w:sz="18" w:space="0" w:color="000000"/>
            </w:tcBorders>
          </w:tcPr>
          <w:p w14:paraId="2ED7C058" w14:textId="77777777" w:rsidR="00F468A7" w:rsidRPr="0035519F" w:rsidRDefault="00F468A7" w:rsidP="00E06AD7">
            <w:pPr>
              <w:pStyle w:val="TableParagraph"/>
              <w:spacing w:line="272" w:lineRule="exact"/>
              <w:ind w:right="306"/>
              <w:rPr>
                <w:sz w:val="24"/>
              </w:rPr>
            </w:pPr>
            <w:r w:rsidRPr="0035519F">
              <w:rPr>
                <w:sz w:val="24"/>
              </w:rPr>
              <w:t>IGF-1</w:t>
            </w:r>
          </w:p>
          <w:p w14:paraId="25FAB19C" w14:textId="3833622E" w:rsidR="00F468A7" w:rsidRPr="0035519F" w:rsidRDefault="00F468A7" w:rsidP="00451DB9">
            <w:pPr>
              <w:pStyle w:val="TableParagraph"/>
              <w:spacing w:before="44"/>
              <w:ind w:right="182"/>
              <w:rPr>
                <w:sz w:val="24"/>
              </w:rPr>
            </w:pPr>
            <w:r w:rsidRPr="0035519F">
              <w:rPr>
                <w:sz w:val="24"/>
              </w:rPr>
              <w:t>(ng/</w:t>
            </w:r>
            <w:r w:rsidR="00451DB9" w:rsidRPr="0035519F">
              <w:rPr>
                <w:sz w:val="24"/>
              </w:rPr>
              <w:t>m</w:t>
            </w:r>
            <w:r w:rsidRPr="0035519F">
              <w:rPr>
                <w:sz w:val="24"/>
              </w:rPr>
              <w:t>L)</w:t>
            </w:r>
          </w:p>
        </w:tc>
        <w:tc>
          <w:tcPr>
            <w:tcW w:w="1865" w:type="dxa"/>
            <w:tcBorders>
              <w:top w:val="single" w:sz="18" w:space="0" w:color="000000"/>
            </w:tcBorders>
            <w:vAlign w:val="center"/>
          </w:tcPr>
          <w:p w14:paraId="1D7C65A5" w14:textId="77777777" w:rsidR="00F468A7" w:rsidRPr="0035519F" w:rsidRDefault="00F468A7" w:rsidP="00E06AD7">
            <w:pPr>
              <w:pStyle w:val="TableParagraph"/>
              <w:spacing w:line="272" w:lineRule="exact"/>
              <w:jc w:val="center"/>
              <w:rPr>
                <w:sz w:val="24"/>
              </w:rPr>
            </w:pPr>
            <w:r w:rsidRPr="0035519F">
              <w:rPr>
                <w:sz w:val="24"/>
              </w:rPr>
              <w:t>Obesitas</w:t>
            </w:r>
          </w:p>
          <w:p w14:paraId="485438B7" w14:textId="77777777" w:rsidR="00F468A7" w:rsidRPr="0035519F" w:rsidRDefault="00F468A7" w:rsidP="00E06AD7">
            <w:pPr>
              <w:pStyle w:val="TableParagraph"/>
              <w:spacing w:before="44"/>
              <w:jc w:val="center"/>
              <w:rPr>
                <w:sz w:val="24"/>
              </w:rPr>
            </w:pPr>
            <w:r w:rsidRPr="0035519F">
              <w:rPr>
                <w:sz w:val="24"/>
              </w:rPr>
              <w:t>Sentral</w:t>
            </w:r>
          </w:p>
        </w:tc>
        <w:tc>
          <w:tcPr>
            <w:tcW w:w="925" w:type="dxa"/>
            <w:tcBorders>
              <w:top w:val="single" w:sz="18" w:space="0" w:color="000000"/>
            </w:tcBorders>
            <w:vAlign w:val="center"/>
          </w:tcPr>
          <w:p w14:paraId="6210B326" w14:textId="77777777" w:rsidR="00F468A7" w:rsidRPr="0035519F" w:rsidRDefault="00F468A7" w:rsidP="00E06AD7">
            <w:pPr>
              <w:pStyle w:val="TableParagraph"/>
              <w:spacing w:line="272" w:lineRule="exact"/>
              <w:ind w:right="220"/>
              <w:jc w:val="center"/>
              <w:rPr>
                <w:sz w:val="24"/>
              </w:rPr>
            </w:pPr>
            <w:r w:rsidRPr="0035519F">
              <w:rPr>
                <w:sz w:val="24"/>
              </w:rPr>
              <w:t>44</w:t>
            </w:r>
          </w:p>
        </w:tc>
        <w:tc>
          <w:tcPr>
            <w:tcW w:w="1015" w:type="dxa"/>
            <w:tcBorders>
              <w:top w:val="single" w:sz="18" w:space="0" w:color="000000"/>
            </w:tcBorders>
            <w:vAlign w:val="center"/>
          </w:tcPr>
          <w:p w14:paraId="35B59D82" w14:textId="77777777" w:rsidR="00F468A7" w:rsidRPr="0035519F" w:rsidRDefault="00F468A7" w:rsidP="00E06AD7">
            <w:pPr>
              <w:pStyle w:val="TableParagraph"/>
              <w:spacing w:line="272" w:lineRule="exact"/>
              <w:ind w:right="173"/>
              <w:jc w:val="center"/>
              <w:rPr>
                <w:sz w:val="24"/>
              </w:rPr>
            </w:pPr>
            <w:r w:rsidRPr="0035519F">
              <w:rPr>
                <w:sz w:val="24"/>
              </w:rPr>
              <w:t>265,37</w:t>
            </w:r>
          </w:p>
        </w:tc>
        <w:tc>
          <w:tcPr>
            <w:tcW w:w="2135" w:type="dxa"/>
            <w:tcBorders>
              <w:top w:val="single" w:sz="18" w:space="0" w:color="000000"/>
            </w:tcBorders>
            <w:vAlign w:val="center"/>
          </w:tcPr>
          <w:p w14:paraId="136862DD" w14:textId="77777777" w:rsidR="00F468A7" w:rsidRPr="0035519F" w:rsidRDefault="00F468A7" w:rsidP="00E06AD7">
            <w:pPr>
              <w:pStyle w:val="TableParagraph"/>
              <w:spacing w:line="272" w:lineRule="exact"/>
              <w:ind w:right="8"/>
              <w:jc w:val="center"/>
              <w:rPr>
                <w:sz w:val="24"/>
              </w:rPr>
            </w:pPr>
            <w:r w:rsidRPr="0035519F">
              <w:rPr>
                <w:sz w:val="24"/>
              </w:rPr>
              <w:t>(34,33-1058,01)</w:t>
            </w:r>
          </w:p>
        </w:tc>
        <w:tc>
          <w:tcPr>
            <w:tcW w:w="810" w:type="dxa"/>
            <w:tcBorders>
              <w:top w:val="single" w:sz="18" w:space="0" w:color="000000"/>
            </w:tcBorders>
            <w:vAlign w:val="center"/>
          </w:tcPr>
          <w:p w14:paraId="26A57B93" w14:textId="77777777" w:rsidR="00F468A7" w:rsidRPr="0035519F" w:rsidRDefault="00F468A7" w:rsidP="00E06AD7">
            <w:pPr>
              <w:pStyle w:val="TableParagraph"/>
              <w:spacing w:line="272" w:lineRule="exact"/>
              <w:ind w:right="8"/>
              <w:jc w:val="center"/>
              <w:rPr>
                <w:sz w:val="24"/>
              </w:rPr>
            </w:pPr>
            <w:r w:rsidRPr="0035519F">
              <w:rPr>
                <w:sz w:val="24"/>
              </w:rPr>
              <w:t>0,011</w:t>
            </w:r>
          </w:p>
        </w:tc>
      </w:tr>
      <w:tr w:rsidR="00F468A7" w:rsidRPr="0035519F" w14:paraId="5F71C2AC" w14:textId="77777777" w:rsidTr="00E06AD7">
        <w:trPr>
          <w:trHeight w:val="673"/>
        </w:trPr>
        <w:tc>
          <w:tcPr>
            <w:tcW w:w="1080" w:type="dxa"/>
            <w:tcBorders>
              <w:bottom w:val="single" w:sz="8" w:space="0" w:color="000000"/>
            </w:tcBorders>
          </w:tcPr>
          <w:p w14:paraId="67CB66E8" w14:textId="77777777" w:rsidR="00F468A7" w:rsidRPr="0035519F" w:rsidRDefault="00F468A7" w:rsidP="00E06AD7">
            <w:pPr>
              <w:pStyle w:val="TableParagraph"/>
              <w:rPr>
                <w:rFonts w:ascii="Times New Roman"/>
                <w:sz w:val="24"/>
              </w:rPr>
            </w:pPr>
            <w:r w:rsidRPr="0035519F">
              <w:rPr>
                <w:rFonts w:ascii="Times New Roman"/>
                <w:sz w:val="24"/>
              </w:rPr>
              <w:t xml:space="preserve"> </w:t>
            </w:r>
          </w:p>
        </w:tc>
        <w:tc>
          <w:tcPr>
            <w:tcW w:w="1865" w:type="dxa"/>
            <w:tcBorders>
              <w:bottom w:val="single" w:sz="8" w:space="0" w:color="000000"/>
            </w:tcBorders>
            <w:vAlign w:val="center"/>
          </w:tcPr>
          <w:p w14:paraId="0137C932" w14:textId="77777777" w:rsidR="00F468A7" w:rsidRPr="0035519F" w:rsidRDefault="00F468A7" w:rsidP="00E06AD7">
            <w:pPr>
              <w:pStyle w:val="TableParagraph"/>
              <w:spacing w:before="8" w:line="316" w:lineRule="exact"/>
              <w:ind w:right="2"/>
              <w:jc w:val="center"/>
              <w:rPr>
                <w:sz w:val="24"/>
              </w:rPr>
            </w:pPr>
            <w:r w:rsidRPr="0035519F">
              <w:rPr>
                <w:sz w:val="24"/>
              </w:rPr>
              <w:t>Tanpa Obesitas Sentral</w:t>
            </w:r>
          </w:p>
        </w:tc>
        <w:tc>
          <w:tcPr>
            <w:tcW w:w="925" w:type="dxa"/>
            <w:tcBorders>
              <w:bottom w:val="single" w:sz="8" w:space="0" w:color="000000"/>
            </w:tcBorders>
            <w:vAlign w:val="center"/>
          </w:tcPr>
          <w:p w14:paraId="542E40C1" w14:textId="77777777" w:rsidR="00F468A7" w:rsidRPr="0035519F" w:rsidRDefault="00F468A7" w:rsidP="00E06AD7">
            <w:pPr>
              <w:pStyle w:val="TableParagraph"/>
              <w:spacing w:before="36"/>
              <w:ind w:right="220"/>
              <w:jc w:val="center"/>
              <w:rPr>
                <w:sz w:val="24"/>
              </w:rPr>
            </w:pPr>
            <w:r w:rsidRPr="0035519F">
              <w:rPr>
                <w:sz w:val="24"/>
              </w:rPr>
              <w:t>44</w:t>
            </w:r>
          </w:p>
        </w:tc>
        <w:tc>
          <w:tcPr>
            <w:tcW w:w="1015" w:type="dxa"/>
            <w:tcBorders>
              <w:bottom w:val="single" w:sz="8" w:space="0" w:color="000000"/>
            </w:tcBorders>
            <w:vAlign w:val="center"/>
          </w:tcPr>
          <w:p w14:paraId="0D7711CC" w14:textId="77777777" w:rsidR="00F468A7" w:rsidRPr="0035519F" w:rsidRDefault="00F468A7" w:rsidP="00E06AD7">
            <w:pPr>
              <w:pStyle w:val="TableParagraph"/>
              <w:spacing w:before="36"/>
              <w:ind w:right="173"/>
              <w:jc w:val="center"/>
              <w:rPr>
                <w:sz w:val="24"/>
              </w:rPr>
            </w:pPr>
            <w:r w:rsidRPr="0035519F">
              <w:rPr>
                <w:sz w:val="24"/>
              </w:rPr>
              <w:t>375,99</w:t>
            </w:r>
          </w:p>
        </w:tc>
        <w:tc>
          <w:tcPr>
            <w:tcW w:w="2135" w:type="dxa"/>
            <w:tcBorders>
              <w:bottom w:val="single" w:sz="8" w:space="0" w:color="000000"/>
            </w:tcBorders>
            <w:vAlign w:val="center"/>
          </w:tcPr>
          <w:p w14:paraId="2BF26A58" w14:textId="77777777" w:rsidR="00F468A7" w:rsidRPr="0035519F" w:rsidRDefault="00F468A7" w:rsidP="00E06AD7">
            <w:pPr>
              <w:pStyle w:val="TableParagraph"/>
              <w:jc w:val="center"/>
              <w:rPr>
                <w:rFonts w:ascii="Times New Roman"/>
                <w:sz w:val="24"/>
              </w:rPr>
            </w:pPr>
            <w:r w:rsidRPr="0035519F">
              <w:rPr>
                <w:sz w:val="24"/>
              </w:rPr>
              <w:t>(61,77-1360,44)</w:t>
            </w:r>
          </w:p>
        </w:tc>
        <w:tc>
          <w:tcPr>
            <w:tcW w:w="810" w:type="dxa"/>
            <w:tcBorders>
              <w:bottom w:val="single" w:sz="8" w:space="0" w:color="000000"/>
            </w:tcBorders>
            <w:vAlign w:val="center"/>
          </w:tcPr>
          <w:p w14:paraId="0DE68465" w14:textId="77777777" w:rsidR="00F468A7" w:rsidRPr="0035519F" w:rsidRDefault="00F468A7" w:rsidP="00E06AD7">
            <w:pPr>
              <w:pStyle w:val="TableParagraph"/>
              <w:jc w:val="center"/>
              <w:rPr>
                <w:rFonts w:ascii="Times New Roman"/>
                <w:sz w:val="24"/>
              </w:rPr>
            </w:pPr>
          </w:p>
        </w:tc>
      </w:tr>
    </w:tbl>
    <w:p w14:paraId="2A46323A" w14:textId="77777777" w:rsidR="00F468A7" w:rsidRPr="0035519F" w:rsidRDefault="00F468A7" w:rsidP="00F468A7">
      <w:pPr>
        <w:pStyle w:val="ListParagraph"/>
        <w:spacing w:line="360" w:lineRule="auto"/>
        <w:ind w:left="0" w:right="18"/>
        <w:rPr>
          <w:rFonts w:ascii="Arial" w:hAnsi="Arial" w:cs="Arial"/>
          <w:i/>
          <w:sz w:val="24"/>
          <w:szCs w:val="24"/>
        </w:rPr>
      </w:pPr>
      <w:r w:rsidRPr="0035519F">
        <w:rPr>
          <w:rFonts w:ascii="Arial" w:hAnsi="Arial" w:cs="Arial"/>
          <w:i/>
          <w:sz w:val="24"/>
          <w:szCs w:val="24"/>
        </w:rPr>
        <w:t>*Mann-Whitney Test</w:t>
      </w:r>
    </w:p>
    <w:p w14:paraId="6201AA91" w14:textId="77777777" w:rsidR="00F468A7" w:rsidRPr="0035519F" w:rsidRDefault="00F468A7" w:rsidP="00F468A7">
      <w:pPr>
        <w:pStyle w:val="ListParagraph"/>
        <w:spacing w:line="360" w:lineRule="auto"/>
        <w:ind w:left="0" w:right="18"/>
        <w:rPr>
          <w:rFonts w:ascii="Arial" w:hAnsi="Arial" w:cs="Arial"/>
          <w:sz w:val="24"/>
          <w:szCs w:val="24"/>
        </w:rPr>
      </w:pPr>
    </w:p>
    <w:p w14:paraId="74F97229" w14:textId="77777777" w:rsidR="00F468A7" w:rsidRPr="0035519F" w:rsidRDefault="00F468A7" w:rsidP="00F468A7">
      <w:pPr>
        <w:pStyle w:val="ListParagraph"/>
        <w:spacing w:after="0" w:line="480" w:lineRule="auto"/>
        <w:ind w:left="0" w:right="18" w:firstLine="630"/>
        <w:jc w:val="both"/>
        <w:rPr>
          <w:rFonts w:ascii="Arial" w:hAnsi="Arial" w:cs="Arial"/>
          <w:sz w:val="24"/>
          <w:szCs w:val="24"/>
        </w:rPr>
      </w:pPr>
      <w:r w:rsidRPr="0035519F">
        <w:rPr>
          <w:rFonts w:ascii="Arial" w:hAnsi="Arial" w:cs="Arial"/>
          <w:sz w:val="24"/>
          <w:szCs w:val="24"/>
        </w:rPr>
        <w:t>Rerata kadar IGF-1 ditemukan signifikan lebih rendah pada kelompok obesitas sentral dibandingkan dengan kelompok tanpa</w:t>
      </w:r>
    </w:p>
    <w:p w14:paraId="209D87E8" w14:textId="05DA6280" w:rsidR="00F468A7" w:rsidRPr="0035519F" w:rsidRDefault="00F468A7" w:rsidP="00F468A7">
      <w:pPr>
        <w:pStyle w:val="ListParagraph"/>
        <w:spacing w:after="0" w:line="480" w:lineRule="auto"/>
        <w:ind w:left="0" w:right="18"/>
        <w:jc w:val="both"/>
        <w:rPr>
          <w:rFonts w:ascii="Arial" w:hAnsi="Arial" w:cs="Arial"/>
          <w:sz w:val="24"/>
          <w:szCs w:val="24"/>
        </w:rPr>
      </w:pPr>
      <w:r w:rsidRPr="0035519F">
        <w:rPr>
          <w:rFonts w:ascii="Arial" w:hAnsi="Arial" w:cs="Arial"/>
          <w:sz w:val="24"/>
          <w:szCs w:val="24"/>
        </w:rPr>
        <w:t xml:space="preserve"> obesitas sentral, yaitu 328,30 ng/</w:t>
      </w:r>
      <w:r w:rsidR="000A18E1" w:rsidRPr="0035519F">
        <w:rPr>
          <w:rFonts w:ascii="Arial" w:hAnsi="Arial" w:cs="Arial"/>
          <w:sz w:val="24"/>
          <w:szCs w:val="24"/>
        </w:rPr>
        <w:t>m</w:t>
      </w:r>
      <w:r w:rsidRPr="0035519F">
        <w:rPr>
          <w:rFonts w:ascii="Arial" w:hAnsi="Arial" w:cs="Arial"/>
          <w:sz w:val="24"/>
          <w:szCs w:val="24"/>
        </w:rPr>
        <w:t>L dibandingkan 473,33 ng/</w:t>
      </w:r>
      <w:r w:rsidR="000A18E1" w:rsidRPr="0035519F">
        <w:rPr>
          <w:rFonts w:ascii="Arial" w:hAnsi="Arial" w:cs="Arial"/>
          <w:sz w:val="24"/>
          <w:szCs w:val="24"/>
        </w:rPr>
        <w:t>m</w:t>
      </w:r>
      <w:r w:rsidRPr="0035519F">
        <w:rPr>
          <w:rFonts w:ascii="Arial" w:hAnsi="Arial" w:cs="Arial"/>
          <w:sz w:val="24"/>
          <w:szCs w:val="24"/>
        </w:rPr>
        <w:t>L dengan nilai p&lt;0,05. Secara visual perbedaa</w:t>
      </w:r>
      <w:r w:rsidR="00DD46FA" w:rsidRPr="0035519F">
        <w:rPr>
          <w:rFonts w:ascii="Arial" w:hAnsi="Arial" w:cs="Arial"/>
          <w:sz w:val="24"/>
          <w:szCs w:val="24"/>
        </w:rPr>
        <w:t>nnya dapat dilihat pada Gambar 9</w:t>
      </w:r>
      <w:r w:rsidRPr="0035519F">
        <w:rPr>
          <w:rFonts w:ascii="Arial" w:hAnsi="Arial" w:cs="Arial"/>
          <w:sz w:val="24"/>
          <w:szCs w:val="24"/>
        </w:rPr>
        <w:t>.</w:t>
      </w:r>
    </w:p>
    <w:p w14:paraId="5673903E" w14:textId="77777777" w:rsidR="00F468A7" w:rsidRPr="0035519F" w:rsidRDefault="00F468A7" w:rsidP="00F468A7">
      <w:pPr>
        <w:spacing w:after="0" w:line="240" w:lineRule="auto"/>
        <w:jc w:val="center"/>
        <w:rPr>
          <w:rFonts w:ascii="Times New Roman" w:hAnsi="Times New Roman" w:cs="Times New Roman"/>
          <w:sz w:val="24"/>
          <w:szCs w:val="24"/>
        </w:rPr>
      </w:pPr>
      <w:r w:rsidRPr="0035519F">
        <w:rPr>
          <w:noProof/>
        </w:rPr>
        <mc:AlternateContent>
          <mc:Choice Requires="wps">
            <w:drawing>
              <wp:anchor distT="45720" distB="45720" distL="114300" distR="114300" simplePos="0" relativeHeight="252051456" behindDoc="0" locked="0" layoutInCell="1" allowOverlap="1" wp14:anchorId="604FE583" wp14:editId="7424BDE2">
                <wp:simplePos x="0" y="0"/>
                <wp:positionH relativeFrom="column">
                  <wp:posOffset>2807808</wp:posOffset>
                </wp:positionH>
                <wp:positionV relativeFrom="paragraph">
                  <wp:posOffset>2080260</wp:posOffset>
                </wp:positionV>
                <wp:extent cx="1308026" cy="229235"/>
                <wp:effectExtent l="0" t="0" r="26035" b="18415"/>
                <wp:wrapNone/>
                <wp:docPr id="292"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026" cy="229235"/>
                        </a:xfrm>
                        <a:prstGeom prst="rect">
                          <a:avLst/>
                        </a:prstGeom>
                        <a:solidFill>
                          <a:srgbClr val="FFFFFF"/>
                        </a:solidFill>
                        <a:ln w="9525">
                          <a:solidFill>
                            <a:schemeClr val="bg1"/>
                          </a:solidFill>
                          <a:miter lim="800000"/>
                          <a:headEnd/>
                          <a:tailEnd/>
                        </a:ln>
                      </wps:spPr>
                      <wps:txbx>
                        <w:txbxContent>
                          <w:p w14:paraId="5644C7F7" w14:textId="77777777" w:rsidR="00CE38BD" w:rsidRPr="005F4F05" w:rsidRDefault="00CE38BD" w:rsidP="00F468A7">
                            <w:pPr>
                              <w:jc w:val="center"/>
                              <w:rPr>
                                <w:rFonts w:ascii="Arial" w:hAnsi="Arial" w:cs="Arial"/>
                                <w:b/>
                                <w:sz w:val="14"/>
                              </w:rPr>
                            </w:pPr>
                            <w:r w:rsidRPr="005F4F05">
                              <w:rPr>
                                <w:rFonts w:ascii="Arial" w:hAnsi="Arial" w:cs="Arial"/>
                                <w:b/>
                                <w:sz w:val="14"/>
                              </w:rPr>
                              <w:t>Tanpa Obesitas Sentral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FE583" id="Text Box 292" o:spid="_x0000_s1100" type="#_x0000_t202" style="position:absolute;left:0;text-align:left;margin-left:221.1pt;margin-top:163.8pt;width:103pt;height:18.05pt;z-index:252051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" strokecolor="white [3212]">
                <v:textbox>
                  <w:txbxContent>
                    <w:p w14:paraId="5644C7F7" w14:textId="77777777" w:rsidR="00CE38BD" w:rsidRPr="005F4F05" w:rsidRDefault="00CE38BD" w:rsidP="00F468A7">
                      <w:pPr>
                        <w:jc w:val="center"/>
                        <w:rPr>
                          <w:rFonts w:ascii="Arial" w:hAnsi="Arial" w:cs="Arial"/>
                          <w:b/>
                          <w:sz w:val="14"/>
                        </w:rPr>
                      </w:pPr>
                      <w:r w:rsidRPr="005F4F05">
                        <w:rPr>
                          <w:rFonts w:ascii="Arial" w:hAnsi="Arial" w:cs="Arial"/>
                          <w:b/>
                          <w:sz w:val="14"/>
                        </w:rPr>
                        <w:t>Tanpa Obesitas Sentral</w:t>
                      </w:r>
                    </w:p>
                  </w:txbxContent>
                </v:textbox>
              </v:shape>
            </w:pict>
          </mc:Fallback>
        </mc:AlternateContent>
      </w:r>
      <w:r w:rsidRPr="0035519F">
        <w:rPr>
          <w:noProof/>
        </w:rPr>
        <mc:AlternateContent>
          <mc:Choice Requires="wps">
            <w:drawing>
              <wp:anchor distT="45720" distB="45720" distL="114300" distR="114300" simplePos="0" relativeHeight="252050432" behindDoc="0" locked="0" layoutInCell="1" allowOverlap="1" wp14:anchorId="40958B80" wp14:editId="441585D7">
                <wp:simplePos x="0" y="0"/>
                <wp:positionH relativeFrom="column">
                  <wp:posOffset>1428912</wp:posOffset>
                </wp:positionH>
                <wp:positionV relativeFrom="paragraph">
                  <wp:posOffset>2082800</wp:posOffset>
                </wp:positionV>
                <wp:extent cx="923925" cy="190500"/>
                <wp:effectExtent l="0" t="0" r="28575" b="19050"/>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90500"/>
                        </a:xfrm>
                        <a:prstGeom prst="rect">
                          <a:avLst/>
                        </a:prstGeom>
                        <a:solidFill>
                          <a:srgbClr val="FFFFFF"/>
                        </a:solidFill>
                        <a:ln w="9525">
                          <a:solidFill>
                            <a:schemeClr val="bg1"/>
                          </a:solidFill>
                          <a:miter lim="800000"/>
                          <a:headEnd/>
                          <a:tailEnd/>
                        </a:ln>
                      </wps:spPr>
                      <wps:txbx>
                        <w:txbxContent>
                          <w:p w14:paraId="27B8220D" w14:textId="77777777" w:rsidR="00CE38BD" w:rsidRPr="005F4F05" w:rsidRDefault="00CE38BD" w:rsidP="00F468A7">
                            <w:pPr>
                              <w:jc w:val="center"/>
                              <w:rPr>
                                <w:rFonts w:ascii="Arial" w:hAnsi="Arial" w:cs="Arial"/>
                                <w:b/>
                                <w:sz w:val="14"/>
                              </w:rPr>
                            </w:pPr>
                            <w:r w:rsidRPr="005F4F05">
                              <w:rPr>
                                <w:rFonts w:ascii="Arial" w:hAnsi="Arial" w:cs="Arial"/>
                                <w:b/>
                                <w:sz w:val="14"/>
                              </w:rPr>
                              <w:t>Obesitas Sentral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58B80" id="Text Box 290" o:spid="_x0000_s1101" type="#_x0000_t202" style="position:absolute;left:0;text-align:left;margin-left:112.5pt;margin-top:164pt;width:72.75pt;height:15pt;z-index:25205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" strokecolor="white [3212]">
                <v:textbox>
                  <w:txbxContent>
                    <w:p w14:paraId="27B8220D" w14:textId="77777777" w:rsidR="00CE38BD" w:rsidRPr="005F4F05" w:rsidRDefault="00CE38BD" w:rsidP="00F468A7">
                      <w:pPr>
                        <w:jc w:val="center"/>
                        <w:rPr>
                          <w:rFonts w:ascii="Arial" w:hAnsi="Arial" w:cs="Arial"/>
                          <w:b/>
                          <w:sz w:val="14"/>
                        </w:rPr>
                      </w:pPr>
                      <w:r w:rsidRPr="005F4F05">
                        <w:rPr>
                          <w:rFonts w:ascii="Arial" w:hAnsi="Arial" w:cs="Arial"/>
                          <w:b/>
                          <w:sz w:val="14"/>
                        </w:rPr>
                        <w:t>Obesitas Sentral</w:t>
                      </w:r>
                    </w:p>
                  </w:txbxContent>
                </v:textbox>
              </v:shape>
            </w:pict>
          </mc:Fallback>
        </mc:AlternateContent>
      </w:r>
      <w:r w:rsidRPr="0035519F">
        <w:rPr>
          <w:noProof/>
        </w:rPr>
        <mc:AlternateContent>
          <mc:Choice Requires="wps">
            <w:drawing>
              <wp:anchor distT="45720" distB="45720" distL="114300" distR="114300" simplePos="0" relativeHeight="252052480" behindDoc="0" locked="0" layoutInCell="1" allowOverlap="1" wp14:anchorId="08BC68DE" wp14:editId="3F0FC55F">
                <wp:simplePos x="0" y="0"/>
                <wp:positionH relativeFrom="column">
                  <wp:posOffset>2274570</wp:posOffset>
                </wp:positionH>
                <wp:positionV relativeFrom="paragraph">
                  <wp:posOffset>2205517</wp:posOffset>
                </wp:positionV>
                <wp:extent cx="819150" cy="95250"/>
                <wp:effectExtent l="0" t="0" r="19050"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95250"/>
                        </a:xfrm>
                        <a:prstGeom prst="rect">
                          <a:avLst/>
                        </a:prstGeom>
                        <a:solidFill>
                          <a:srgbClr val="FFFFFF"/>
                        </a:solidFill>
                        <a:ln w="9525">
                          <a:solidFill>
                            <a:schemeClr val="bg1"/>
                          </a:solidFill>
                          <a:miter lim="800000"/>
                          <a:headEnd/>
                          <a:tailEnd/>
                        </a:ln>
                      </wps:spPr>
                      <wps:txbx>
                        <w:txbxContent>
                          <w:p w14:paraId="5DFF25F6" w14:textId="77777777" w:rsidR="00CE38BD" w:rsidRPr="00AC7FF1" w:rsidRDefault="00CE38BD" w:rsidP="00F468A7">
                            <w:pPr>
                              <w:jc w:val="center"/>
                              <w:rPr>
                                <w:rFonts w:ascii="Arial" w:hAnsi="Arial" w:cs="Arial"/>
                                <w:b/>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C68DE" id="Text Box 291" o:spid="_x0000_s1102" type="#_x0000_t202" style="position:absolute;left:0;text-align:left;margin-left:179.1pt;margin-top:173.65pt;width:64.5pt;height:7.5pt;z-index:25205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" strokecolor="white [3212]">
                <v:textbox>
                  <w:txbxContent>
                    <w:p w14:paraId="5DFF25F6" w14:textId="77777777" w:rsidR="00CE38BD" w:rsidRPr="00AC7FF1" w:rsidRDefault="00CE38BD" w:rsidP="00F468A7">
                      <w:pPr>
                        <w:jc w:val="center"/>
                        <w:rPr>
                          <w:rFonts w:ascii="Arial" w:hAnsi="Arial" w:cs="Arial"/>
                          <w:b/>
                          <w:sz w:val="12"/>
                        </w:rPr>
                      </w:pPr>
                    </w:p>
                  </w:txbxContent>
                </v:textbox>
              </v:shape>
            </w:pict>
          </mc:Fallback>
        </mc:AlternateContent>
      </w:r>
      <w:r w:rsidRPr="0035519F">
        <w:rPr>
          <w:noProof/>
        </w:rPr>
        <mc:AlternateContent>
          <mc:Choice Requires="wps">
            <w:drawing>
              <wp:anchor distT="45720" distB="45720" distL="114300" distR="114300" simplePos="0" relativeHeight="252053504" behindDoc="0" locked="0" layoutInCell="1" allowOverlap="1" wp14:anchorId="5B13943E" wp14:editId="192AFA59">
                <wp:simplePos x="0" y="0"/>
                <wp:positionH relativeFrom="column">
                  <wp:posOffset>2281214</wp:posOffset>
                </wp:positionH>
                <wp:positionV relativeFrom="paragraph">
                  <wp:posOffset>156121</wp:posOffset>
                </wp:positionV>
                <wp:extent cx="627321" cy="261257"/>
                <wp:effectExtent l="0" t="0" r="20955" b="247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21" cy="261257"/>
                        </a:xfrm>
                        <a:prstGeom prst="rect">
                          <a:avLst/>
                        </a:prstGeom>
                        <a:solidFill>
                          <a:srgbClr val="FFFFFF"/>
                        </a:solidFill>
                        <a:ln w="9525">
                          <a:solidFill>
                            <a:schemeClr val="bg1"/>
                          </a:solidFill>
                          <a:miter lim="800000"/>
                          <a:headEnd/>
                          <a:tailEnd/>
                        </a:ln>
                      </wps:spPr>
                      <wps:txbx>
                        <w:txbxContent>
                          <w:p w14:paraId="20603505" w14:textId="77777777" w:rsidR="00CE38BD" w:rsidRPr="00CD7397" w:rsidRDefault="00CE38BD" w:rsidP="00F468A7">
                            <w:pPr>
                              <w:jc w:val="center"/>
                              <w:rPr>
                                <w:b/>
                                <w:sz w:val="18"/>
                              </w:rPr>
                            </w:pPr>
                            <w:r w:rsidRPr="00CD7397">
                              <w:rPr>
                                <w:b/>
                                <w:sz w:val="18"/>
                              </w:rPr>
                              <w:t>*p&lt;0,05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3943E" id="Text Box 14" o:spid="_x0000_s1103" type="#_x0000_t202" style="position:absolute;left:0;text-align:left;margin-left:179.6pt;margin-top:12.3pt;width:49.4pt;height:20.55pt;z-index:25205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" strokecolor="white [3212]">
                <v:textbox>
                  <w:txbxContent>
                    <w:p w14:paraId="20603505" w14:textId="77777777" w:rsidR="00CE38BD" w:rsidRPr="00CD7397" w:rsidRDefault="00CE38BD" w:rsidP="00F468A7">
                      <w:pPr>
                        <w:jc w:val="center"/>
                        <w:rPr>
                          <w:b/>
                          <w:sz w:val="18"/>
                        </w:rPr>
                      </w:pPr>
                      <w:r w:rsidRPr="00CD7397">
                        <w:rPr>
                          <w:b/>
                          <w:sz w:val="18"/>
                        </w:rPr>
                        <w:t>*p&lt;0,05</w:t>
                      </w:r>
                    </w:p>
                  </w:txbxContent>
                </v:textbox>
              </v:shape>
            </w:pict>
          </mc:Fallback>
        </mc:AlternateContent>
      </w:r>
      <w:r w:rsidRPr="0035519F">
        <w:rPr>
          <w:rFonts w:ascii="Times New Roman" w:hAnsi="Times New Roman" w:cs="Times New Roman"/>
          <w:noProof/>
          <w:sz w:val="24"/>
          <w:szCs w:val="24"/>
        </w:rPr>
        <w:drawing>
          <wp:inline distT="0" distB="0" distL="0" distR="0" wp14:anchorId="20D2EA6C" wp14:editId="5677ECA7">
            <wp:extent cx="3904348" cy="2298700"/>
            <wp:effectExtent l="76200" t="76200" r="134620" b="13970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08435" cy="23011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7186DF" w14:textId="7764862D" w:rsidR="00F468A7" w:rsidRPr="0035519F" w:rsidRDefault="00117C25" w:rsidP="00117C25">
      <w:pPr>
        <w:pStyle w:val="Caption"/>
        <w:ind w:left="1890" w:right="831" w:hanging="1170"/>
        <w:rPr>
          <w:rFonts w:ascii="Arial" w:hAnsi="Arial" w:cs="Arial"/>
          <w:i w:val="0"/>
          <w:color w:val="auto"/>
          <w:sz w:val="24"/>
          <w:szCs w:val="24"/>
        </w:rPr>
      </w:pPr>
      <w:bookmarkStart w:id="80" w:name="_Toc111873697"/>
      <w:r w:rsidRPr="0035519F">
        <w:rPr>
          <w:rFonts w:ascii="Arial" w:hAnsi="Arial" w:cs="Arial"/>
          <w:i w:val="0"/>
          <w:color w:val="auto"/>
          <w:sz w:val="24"/>
          <w:szCs w:val="24"/>
        </w:rPr>
        <w:t xml:space="preserve">Gambar </w:t>
      </w:r>
      <w:r w:rsidRPr="0035519F">
        <w:rPr>
          <w:rFonts w:ascii="Arial" w:hAnsi="Arial" w:cs="Arial"/>
          <w:i w:val="0"/>
          <w:color w:val="auto"/>
          <w:sz w:val="24"/>
          <w:szCs w:val="24"/>
        </w:rPr>
        <w:fldChar w:fldCharType="begin"/>
      </w:r>
      <w:r w:rsidRPr="0035519F">
        <w:rPr>
          <w:rFonts w:ascii="Arial" w:hAnsi="Arial" w:cs="Arial"/>
          <w:i w:val="0"/>
          <w:color w:val="auto"/>
          <w:sz w:val="24"/>
          <w:szCs w:val="24"/>
        </w:rPr>
        <w:instrText xml:space="preserve"> SEQ Gambar \* ARABIC </w:instrText>
      </w:r>
      <w:r w:rsidRPr="0035519F">
        <w:rPr>
          <w:rFonts w:ascii="Arial" w:hAnsi="Arial" w:cs="Arial"/>
          <w:i w:val="0"/>
          <w:color w:val="auto"/>
          <w:sz w:val="24"/>
          <w:szCs w:val="24"/>
        </w:rPr>
        <w:fldChar w:fldCharType="separate"/>
      </w:r>
      <w:r w:rsidR="005B4074">
        <w:rPr>
          <w:rFonts w:ascii="Arial" w:hAnsi="Arial" w:cs="Arial"/>
          <w:i w:val="0"/>
          <w:noProof/>
          <w:color w:val="auto"/>
          <w:sz w:val="24"/>
          <w:szCs w:val="24"/>
        </w:rPr>
        <w:t>9</w:t>
      </w:r>
      <w:r w:rsidRPr="0035519F">
        <w:rPr>
          <w:rFonts w:ascii="Arial" w:hAnsi="Arial" w:cs="Arial"/>
          <w:i w:val="0"/>
          <w:color w:val="auto"/>
          <w:sz w:val="24"/>
          <w:szCs w:val="24"/>
        </w:rPr>
        <w:fldChar w:fldCharType="end"/>
      </w:r>
      <w:r w:rsidR="00F468A7" w:rsidRPr="0035519F">
        <w:rPr>
          <w:rFonts w:ascii="Arial" w:hAnsi="Arial" w:cs="Arial"/>
          <w:i w:val="0"/>
          <w:color w:val="auto"/>
          <w:sz w:val="24"/>
          <w:szCs w:val="24"/>
        </w:rPr>
        <w:t>. Perbedaan rerata kadar IGF-1 pada kelompok dewasa non DM dengan dan tanpa obesitas sentral.</w:t>
      </w:r>
      <w:bookmarkEnd w:id="80"/>
    </w:p>
    <w:p w14:paraId="1C7D4EA0" w14:textId="77777777" w:rsidR="008C268B" w:rsidRPr="0035519F" w:rsidRDefault="008C268B" w:rsidP="008C268B"/>
    <w:p w14:paraId="74D84D7D" w14:textId="0E1DB78B" w:rsidR="008C268B" w:rsidRPr="0035519F" w:rsidRDefault="009768AE" w:rsidP="008C268B">
      <w:pPr>
        <w:pStyle w:val="ListParagraph"/>
        <w:numPr>
          <w:ilvl w:val="0"/>
          <w:numId w:val="9"/>
        </w:numPr>
        <w:spacing w:line="480" w:lineRule="auto"/>
        <w:ind w:left="0" w:right="18"/>
        <w:jc w:val="both"/>
        <w:outlineLvl w:val="1"/>
        <w:rPr>
          <w:rFonts w:ascii="Arial" w:hAnsi="Arial" w:cs="Arial"/>
          <w:b/>
          <w:sz w:val="24"/>
          <w:szCs w:val="24"/>
        </w:rPr>
      </w:pPr>
      <w:r w:rsidRPr="0035519F">
        <w:rPr>
          <w:rFonts w:ascii="Arial" w:hAnsi="Arial" w:cs="Arial"/>
          <w:b/>
          <w:sz w:val="24"/>
          <w:szCs w:val="24"/>
        </w:rPr>
        <w:t>Korelasi antara nilai</w:t>
      </w:r>
      <w:r w:rsidR="008C268B" w:rsidRPr="0035519F">
        <w:rPr>
          <w:rFonts w:ascii="Arial" w:hAnsi="Arial" w:cs="Arial"/>
          <w:b/>
          <w:sz w:val="24"/>
          <w:szCs w:val="24"/>
        </w:rPr>
        <w:t xml:space="preserve"> </w:t>
      </w:r>
      <w:r w:rsidR="007F1E64" w:rsidRPr="0035519F">
        <w:rPr>
          <w:rFonts w:ascii="Arial" w:hAnsi="Arial" w:cs="Arial"/>
          <w:b/>
          <w:sz w:val="24"/>
          <w:szCs w:val="24"/>
        </w:rPr>
        <w:t xml:space="preserve">HOMA-IR dan </w:t>
      </w:r>
      <w:r w:rsidR="008C268B" w:rsidRPr="0035519F">
        <w:rPr>
          <w:rFonts w:ascii="Arial" w:hAnsi="Arial" w:cs="Arial"/>
          <w:b/>
          <w:sz w:val="24"/>
          <w:szCs w:val="24"/>
        </w:rPr>
        <w:t xml:space="preserve">IGF-1 pada </w:t>
      </w:r>
      <w:r w:rsidR="007F1E64" w:rsidRPr="0035519F">
        <w:rPr>
          <w:rFonts w:ascii="Arial" w:hAnsi="Arial" w:cs="Arial"/>
          <w:b/>
          <w:sz w:val="24"/>
          <w:szCs w:val="24"/>
        </w:rPr>
        <w:t>seluruh k</w:t>
      </w:r>
      <w:r w:rsidR="008C268B" w:rsidRPr="0035519F">
        <w:rPr>
          <w:rFonts w:ascii="Arial" w:hAnsi="Arial" w:cs="Arial"/>
          <w:b/>
          <w:sz w:val="24"/>
          <w:szCs w:val="24"/>
        </w:rPr>
        <w:t>elompok</w:t>
      </w:r>
      <w:r w:rsidR="007F1E64" w:rsidRPr="0035519F">
        <w:rPr>
          <w:rFonts w:ascii="Arial" w:hAnsi="Arial" w:cs="Arial"/>
          <w:b/>
          <w:sz w:val="24"/>
          <w:szCs w:val="24"/>
        </w:rPr>
        <w:t xml:space="preserve"> Dewasa Non DM serta Dewasa Non DM</w:t>
      </w:r>
      <w:r w:rsidR="008C268B" w:rsidRPr="0035519F">
        <w:rPr>
          <w:rFonts w:ascii="Arial" w:hAnsi="Arial" w:cs="Arial"/>
          <w:b/>
          <w:sz w:val="24"/>
          <w:szCs w:val="24"/>
        </w:rPr>
        <w:t xml:space="preserve"> dengan dan tanpa Obesitas Tipe Sentral.</w:t>
      </w:r>
    </w:p>
    <w:p w14:paraId="1A84B127" w14:textId="69AD687B" w:rsidR="00B0389A" w:rsidRPr="0035519F" w:rsidRDefault="00B0389A" w:rsidP="00B0389A">
      <w:pPr>
        <w:spacing w:line="480" w:lineRule="auto"/>
        <w:ind w:right="18" w:firstLine="270"/>
        <w:jc w:val="both"/>
        <w:outlineLvl w:val="1"/>
        <w:rPr>
          <w:rFonts w:ascii="Arial" w:hAnsi="Arial" w:cs="Arial"/>
          <w:sz w:val="24"/>
          <w:szCs w:val="24"/>
        </w:rPr>
      </w:pPr>
      <w:r w:rsidRPr="0035519F">
        <w:rPr>
          <w:rFonts w:ascii="Arial" w:hAnsi="Arial" w:cs="Arial"/>
          <w:sz w:val="24"/>
          <w:szCs w:val="24"/>
        </w:rPr>
        <w:t>Tabel 8 menjelaskan korelasi kadar IGF-1 serum pada kelompok</w:t>
      </w:r>
      <w:r w:rsidR="007F1E64" w:rsidRPr="0035519F">
        <w:rPr>
          <w:rFonts w:ascii="Arial" w:hAnsi="Arial" w:cs="Arial"/>
          <w:sz w:val="24"/>
          <w:szCs w:val="24"/>
        </w:rPr>
        <w:t xml:space="preserve"> dewasa Non DM</w:t>
      </w:r>
      <w:r w:rsidRPr="0035519F">
        <w:rPr>
          <w:rFonts w:ascii="Arial" w:hAnsi="Arial" w:cs="Arial"/>
          <w:sz w:val="24"/>
          <w:szCs w:val="24"/>
        </w:rPr>
        <w:t xml:space="preserve"> dengan dan tanpa obesitas tipe sentral. </w:t>
      </w:r>
      <w:r w:rsidR="003F23F5" w:rsidRPr="0035519F">
        <w:rPr>
          <w:rFonts w:ascii="Arial" w:hAnsi="Arial" w:cs="Arial"/>
          <w:sz w:val="24"/>
          <w:szCs w:val="24"/>
        </w:rPr>
        <w:t>T</w:t>
      </w:r>
      <w:r w:rsidRPr="0035519F">
        <w:rPr>
          <w:rFonts w:ascii="Arial" w:hAnsi="Arial" w:cs="Arial"/>
          <w:sz w:val="24"/>
          <w:szCs w:val="24"/>
        </w:rPr>
        <w:t xml:space="preserve">erdapat korelasi </w:t>
      </w:r>
      <w:r w:rsidR="003F23F5" w:rsidRPr="0035519F">
        <w:rPr>
          <w:rFonts w:ascii="Arial" w:hAnsi="Arial" w:cs="Arial"/>
          <w:sz w:val="24"/>
          <w:szCs w:val="24"/>
        </w:rPr>
        <w:t xml:space="preserve">namun tidak </w:t>
      </w:r>
      <w:r w:rsidRPr="0035519F">
        <w:rPr>
          <w:rFonts w:ascii="Arial" w:hAnsi="Arial" w:cs="Arial"/>
          <w:sz w:val="24"/>
          <w:szCs w:val="24"/>
        </w:rPr>
        <w:t xml:space="preserve">signifikan </w:t>
      </w:r>
      <w:r w:rsidR="003F23F5" w:rsidRPr="0035519F">
        <w:rPr>
          <w:rFonts w:ascii="Arial" w:hAnsi="Arial" w:cs="Arial"/>
          <w:sz w:val="24"/>
          <w:szCs w:val="24"/>
        </w:rPr>
        <w:t xml:space="preserve">secara statistik </w:t>
      </w:r>
      <w:r w:rsidRPr="0035519F">
        <w:rPr>
          <w:rFonts w:ascii="Arial" w:hAnsi="Arial" w:cs="Arial"/>
          <w:sz w:val="24"/>
          <w:szCs w:val="24"/>
        </w:rPr>
        <w:t>antara kadar IGF-1 dengan nilai HOMA-IR (p&gt;0,05).</w:t>
      </w:r>
    </w:p>
    <w:p w14:paraId="451C94B6" w14:textId="42E24737" w:rsidR="007D6BD4" w:rsidRPr="0035519F" w:rsidRDefault="007D6BD4" w:rsidP="00D56992">
      <w:pPr>
        <w:rPr>
          <w:rFonts w:ascii="Arial" w:hAnsi="Arial" w:cs="Arial"/>
          <w:sz w:val="24"/>
          <w:szCs w:val="24"/>
        </w:rPr>
      </w:pPr>
    </w:p>
    <w:p w14:paraId="7DD2DD7F" w14:textId="671F50CE" w:rsidR="00D56992" w:rsidRPr="0035519F" w:rsidRDefault="00D56992" w:rsidP="00D56992">
      <w:pPr>
        <w:rPr>
          <w:rFonts w:ascii="Arial" w:hAnsi="Arial" w:cs="Arial"/>
          <w:sz w:val="24"/>
          <w:szCs w:val="24"/>
        </w:rPr>
      </w:pPr>
    </w:p>
    <w:p w14:paraId="376BD62A" w14:textId="77777777" w:rsidR="00D56992" w:rsidRPr="0035519F" w:rsidRDefault="00D56992" w:rsidP="00D56992">
      <w:pPr>
        <w:rPr>
          <w:rFonts w:ascii="Arial" w:hAnsi="Arial" w:cs="Arial"/>
          <w:sz w:val="24"/>
          <w:szCs w:val="24"/>
        </w:rPr>
      </w:pPr>
    </w:p>
    <w:p w14:paraId="6ED824FF" w14:textId="0491E14E" w:rsidR="007D6BD4" w:rsidRPr="0035519F" w:rsidRDefault="00D56992" w:rsidP="000A18E1">
      <w:pPr>
        <w:pStyle w:val="Caption"/>
        <w:spacing w:line="360" w:lineRule="auto"/>
        <w:rPr>
          <w:rFonts w:ascii="Arial" w:eastAsia="MS Mincho" w:hAnsi="Arial" w:cs="Arial"/>
          <w:i w:val="0"/>
          <w:iCs w:val="0"/>
          <w:color w:val="auto"/>
          <w:sz w:val="24"/>
          <w:szCs w:val="24"/>
        </w:rPr>
      </w:pPr>
      <w:bookmarkStart w:id="81" w:name="_Toc111873680"/>
      <w:r w:rsidRPr="0035519F">
        <w:rPr>
          <w:rFonts w:ascii="Arial" w:eastAsia="MS Mincho" w:hAnsi="Arial" w:cs="Arial"/>
          <w:i w:val="0"/>
          <w:iCs w:val="0"/>
          <w:color w:val="auto"/>
          <w:sz w:val="24"/>
          <w:szCs w:val="24"/>
        </w:rPr>
        <w:t xml:space="preserve">Tabel </w:t>
      </w:r>
      <w:r w:rsidRPr="0035519F">
        <w:rPr>
          <w:rFonts w:ascii="Arial" w:eastAsia="MS Mincho" w:hAnsi="Arial" w:cs="Arial"/>
          <w:i w:val="0"/>
          <w:iCs w:val="0"/>
          <w:color w:val="auto"/>
          <w:sz w:val="24"/>
          <w:szCs w:val="24"/>
        </w:rPr>
        <w:fldChar w:fldCharType="begin"/>
      </w:r>
      <w:r w:rsidRPr="0035519F">
        <w:rPr>
          <w:rFonts w:ascii="Arial" w:eastAsia="MS Mincho" w:hAnsi="Arial" w:cs="Arial"/>
          <w:i w:val="0"/>
          <w:iCs w:val="0"/>
          <w:color w:val="auto"/>
          <w:sz w:val="24"/>
          <w:szCs w:val="24"/>
        </w:rPr>
        <w:instrText xml:space="preserve"> SEQ Tabel \* ARABIC </w:instrText>
      </w:r>
      <w:r w:rsidRPr="0035519F">
        <w:rPr>
          <w:rFonts w:ascii="Arial" w:eastAsia="MS Mincho" w:hAnsi="Arial" w:cs="Arial"/>
          <w:i w:val="0"/>
          <w:iCs w:val="0"/>
          <w:color w:val="auto"/>
          <w:sz w:val="24"/>
          <w:szCs w:val="24"/>
        </w:rPr>
        <w:fldChar w:fldCharType="separate"/>
      </w:r>
      <w:r w:rsidR="005B4074">
        <w:rPr>
          <w:rFonts w:ascii="Arial" w:eastAsia="MS Mincho" w:hAnsi="Arial" w:cs="Arial"/>
          <w:i w:val="0"/>
          <w:iCs w:val="0"/>
          <w:noProof/>
          <w:color w:val="auto"/>
          <w:sz w:val="24"/>
          <w:szCs w:val="24"/>
        </w:rPr>
        <w:t>8</w:t>
      </w:r>
      <w:r w:rsidRPr="0035519F">
        <w:rPr>
          <w:rFonts w:ascii="Arial" w:eastAsia="MS Mincho" w:hAnsi="Arial" w:cs="Arial"/>
          <w:i w:val="0"/>
          <w:iCs w:val="0"/>
          <w:color w:val="auto"/>
          <w:sz w:val="24"/>
          <w:szCs w:val="24"/>
        </w:rPr>
        <w:fldChar w:fldCharType="end"/>
      </w:r>
      <w:r w:rsidR="00140824" w:rsidRPr="0035519F">
        <w:rPr>
          <w:rFonts w:ascii="Arial" w:eastAsia="MS Mincho" w:hAnsi="Arial" w:cs="Arial"/>
          <w:i w:val="0"/>
          <w:iCs w:val="0"/>
          <w:color w:val="auto"/>
          <w:sz w:val="24"/>
          <w:szCs w:val="24"/>
        </w:rPr>
        <w:t xml:space="preserve">. </w:t>
      </w:r>
      <w:r w:rsidR="009768AE" w:rsidRPr="0035519F">
        <w:rPr>
          <w:rFonts w:ascii="Arial" w:hAnsi="Arial" w:cs="Arial"/>
          <w:i w:val="0"/>
          <w:color w:val="auto"/>
          <w:sz w:val="24"/>
          <w:szCs w:val="24"/>
        </w:rPr>
        <w:t>Korelasi nilai HOMA-</w:t>
      </w:r>
      <w:r w:rsidR="007F1E64" w:rsidRPr="0035519F">
        <w:rPr>
          <w:rFonts w:ascii="Arial" w:hAnsi="Arial" w:cs="Arial"/>
          <w:i w:val="0"/>
          <w:color w:val="auto"/>
          <w:sz w:val="24"/>
          <w:szCs w:val="24"/>
        </w:rPr>
        <w:t xml:space="preserve">IR dan </w:t>
      </w:r>
      <w:r w:rsidR="007D6BD4" w:rsidRPr="0035519F">
        <w:rPr>
          <w:rFonts w:ascii="Arial" w:hAnsi="Arial" w:cs="Arial"/>
          <w:i w:val="0"/>
          <w:color w:val="auto"/>
          <w:sz w:val="24"/>
          <w:szCs w:val="24"/>
        </w:rPr>
        <w:t xml:space="preserve">IGF-1 pada </w:t>
      </w:r>
      <w:r w:rsidR="007F1E64" w:rsidRPr="0035519F">
        <w:rPr>
          <w:rFonts w:ascii="Arial" w:hAnsi="Arial" w:cs="Arial"/>
          <w:i w:val="0"/>
          <w:color w:val="auto"/>
          <w:sz w:val="24"/>
          <w:szCs w:val="24"/>
        </w:rPr>
        <w:t xml:space="preserve">seluruh </w:t>
      </w:r>
      <w:r w:rsidR="007D6BD4" w:rsidRPr="0035519F">
        <w:rPr>
          <w:rFonts w:ascii="Arial" w:hAnsi="Arial" w:cs="Arial"/>
          <w:i w:val="0"/>
          <w:color w:val="auto"/>
          <w:sz w:val="24"/>
          <w:szCs w:val="24"/>
        </w:rPr>
        <w:t>kelompok Dewasa Non DM (Data Primer)</w:t>
      </w:r>
      <w:bookmarkEnd w:id="81"/>
    </w:p>
    <w:tbl>
      <w:tblPr>
        <w:tblW w:w="7830" w:type="dxa"/>
        <w:tblInd w:w="90" w:type="dxa"/>
        <w:tblLayout w:type="fixed"/>
        <w:tblCellMar>
          <w:left w:w="0" w:type="dxa"/>
          <w:right w:w="0" w:type="dxa"/>
        </w:tblCellMar>
        <w:tblLook w:val="01E0" w:firstRow="1" w:lastRow="1" w:firstColumn="1" w:lastColumn="1" w:noHBand="0" w:noVBand="0"/>
      </w:tblPr>
      <w:tblGrid>
        <w:gridCol w:w="900"/>
        <w:gridCol w:w="3690"/>
        <w:gridCol w:w="891"/>
        <w:gridCol w:w="1163"/>
        <w:gridCol w:w="1186"/>
      </w:tblGrid>
      <w:tr w:rsidR="00117F69" w:rsidRPr="0035519F" w14:paraId="55F84B12" w14:textId="77777777" w:rsidTr="007D6BD4">
        <w:trPr>
          <w:trHeight w:val="288"/>
        </w:trPr>
        <w:tc>
          <w:tcPr>
            <w:tcW w:w="7830" w:type="dxa"/>
            <w:gridSpan w:val="5"/>
            <w:tcBorders>
              <w:top w:val="double" w:sz="4" w:space="0" w:color="000000"/>
              <w:bottom w:val="single" w:sz="4" w:space="0" w:color="000000"/>
            </w:tcBorders>
            <w:vAlign w:val="center"/>
          </w:tcPr>
          <w:p w14:paraId="04DE0F29" w14:textId="77777777" w:rsidR="007D6BD4" w:rsidRPr="0035519F" w:rsidRDefault="007D6BD4" w:rsidP="00B71A29">
            <w:pPr>
              <w:pStyle w:val="TableParagraph"/>
              <w:ind w:right="1796"/>
              <w:jc w:val="center"/>
              <w:rPr>
                <w:sz w:val="24"/>
              </w:rPr>
            </w:pPr>
            <w:r w:rsidRPr="0035519F">
              <w:rPr>
                <w:sz w:val="24"/>
              </w:rPr>
              <w:t>HOMA-IR</w:t>
            </w:r>
          </w:p>
        </w:tc>
      </w:tr>
      <w:tr w:rsidR="00117F69" w:rsidRPr="0035519F" w14:paraId="41C9B03A" w14:textId="77777777" w:rsidTr="007D6BD4">
        <w:trPr>
          <w:trHeight w:val="288"/>
        </w:trPr>
        <w:tc>
          <w:tcPr>
            <w:tcW w:w="900" w:type="dxa"/>
            <w:tcBorders>
              <w:top w:val="single" w:sz="4" w:space="0" w:color="000000"/>
            </w:tcBorders>
            <w:vAlign w:val="center"/>
          </w:tcPr>
          <w:p w14:paraId="3164CDB4" w14:textId="77777777" w:rsidR="007D6BD4" w:rsidRPr="0035519F" w:rsidRDefault="007D6BD4" w:rsidP="00B71A29">
            <w:pPr>
              <w:pStyle w:val="TableParagraph"/>
              <w:jc w:val="center"/>
              <w:rPr>
                <w:rFonts w:ascii="Times New Roman"/>
              </w:rPr>
            </w:pPr>
          </w:p>
        </w:tc>
        <w:tc>
          <w:tcPr>
            <w:tcW w:w="3690" w:type="dxa"/>
            <w:vMerge w:val="restart"/>
            <w:tcBorders>
              <w:top w:val="single" w:sz="4" w:space="0" w:color="000000"/>
            </w:tcBorders>
            <w:vAlign w:val="center"/>
          </w:tcPr>
          <w:p w14:paraId="1EC1FAEE" w14:textId="27AAA2AA" w:rsidR="007D6BD4" w:rsidRPr="0035519F" w:rsidRDefault="007D6BD4" w:rsidP="007D6BD4">
            <w:pPr>
              <w:pStyle w:val="TableParagraph"/>
              <w:jc w:val="center"/>
              <w:rPr>
                <w:sz w:val="24"/>
              </w:rPr>
            </w:pPr>
            <w:r w:rsidRPr="0035519F">
              <w:rPr>
                <w:sz w:val="24"/>
              </w:rPr>
              <w:t>Non DM dengan dan tanpa</w:t>
            </w:r>
          </w:p>
          <w:p w14:paraId="033435E8" w14:textId="13F73070" w:rsidR="007D6BD4" w:rsidRPr="0035519F" w:rsidRDefault="007D6BD4" w:rsidP="007D6BD4">
            <w:pPr>
              <w:pStyle w:val="TableParagraph"/>
              <w:jc w:val="center"/>
              <w:rPr>
                <w:sz w:val="24"/>
              </w:rPr>
            </w:pPr>
            <w:r w:rsidRPr="0035519F">
              <w:rPr>
                <w:sz w:val="24"/>
              </w:rPr>
              <w:t>Obesitas Sentral</w:t>
            </w:r>
          </w:p>
          <w:p w14:paraId="688061F3" w14:textId="77777777" w:rsidR="007D6BD4" w:rsidRPr="0035519F" w:rsidRDefault="007D6BD4" w:rsidP="007D6BD4"/>
        </w:tc>
        <w:tc>
          <w:tcPr>
            <w:tcW w:w="891" w:type="dxa"/>
            <w:tcBorders>
              <w:top w:val="single" w:sz="4" w:space="0" w:color="000000"/>
            </w:tcBorders>
            <w:vAlign w:val="center"/>
          </w:tcPr>
          <w:p w14:paraId="0504ABA6" w14:textId="275436A3" w:rsidR="007D6BD4" w:rsidRPr="0035519F" w:rsidRDefault="00E70431" w:rsidP="007D6BD4">
            <w:pPr>
              <w:pStyle w:val="TableParagraph"/>
              <w:rPr>
                <w:sz w:val="24"/>
              </w:rPr>
            </w:pPr>
            <w:r w:rsidRPr="0035519F">
              <w:rPr>
                <w:w w:val="99"/>
                <w:sz w:val="24"/>
              </w:rPr>
              <w:t xml:space="preserve">   n</w:t>
            </w:r>
          </w:p>
        </w:tc>
        <w:tc>
          <w:tcPr>
            <w:tcW w:w="1163" w:type="dxa"/>
            <w:tcBorders>
              <w:top w:val="single" w:sz="4" w:space="0" w:color="000000"/>
            </w:tcBorders>
            <w:vAlign w:val="center"/>
          </w:tcPr>
          <w:p w14:paraId="1F39B2C9" w14:textId="77777777" w:rsidR="007D6BD4" w:rsidRPr="0035519F" w:rsidRDefault="007D6BD4" w:rsidP="00B71A29">
            <w:pPr>
              <w:pStyle w:val="TableParagraph"/>
              <w:jc w:val="center"/>
              <w:rPr>
                <w:sz w:val="24"/>
              </w:rPr>
            </w:pPr>
            <w:r w:rsidRPr="0035519F">
              <w:rPr>
                <w:w w:val="99"/>
                <w:sz w:val="24"/>
              </w:rPr>
              <w:t>r</w:t>
            </w:r>
          </w:p>
        </w:tc>
        <w:tc>
          <w:tcPr>
            <w:tcW w:w="1186" w:type="dxa"/>
            <w:tcBorders>
              <w:top w:val="single" w:sz="4" w:space="0" w:color="000000"/>
            </w:tcBorders>
            <w:vAlign w:val="center"/>
          </w:tcPr>
          <w:p w14:paraId="038C8B53" w14:textId="77777777" w:rsidR="007D6BD4" w:rsidRPr="0035519F" w:rsidRDefault="007D6BD4" w:rsidP="00B71A29">
            <w:pPr>
              <w:pStyle w:val="TableParagraph"/>
              <w:jc w:val="center"/>
              <w:rPr>
                <w:sz w:val="24"/>
              </w:rPr>
            </w:pPr>
            <w:r w:rsidRPr="0035519F">
              <w:rPr>
                <w:sz w:val="24"/>
              </w:rPr>
              <w:t>p*</w:t>
            </w:r>
          </w:p>
        </w:tc>
      </w:tr>
      <w:tr w:rsidR="00117F69" w:rsidRPr="0035519F" w14:paraId="11C7575F" w14:textId="77777777" w:rsidTr="007D6BD4">
        <w:trPr>
          <w:trHeight w:val="20"/>
        </w:trPr>
        <w:tc>
          <w:tcPr>
            <w:tcW w:w="900" w:type="dxa"/>
            <w:vAlign w:val="center"/>
          </w:tcPr>
          <w:p w14:paraId="717A84AF" w14:textId="77777777" w:rsidR="007D6BD4" w:rsidRPr="0035519F" w:rsidRDefault="007D6BD4" w:rsidP="00B71A29">
            <w:pPr>
              <w:pStyle w:val="TableParagraph"/>
              <w:jc w:val="center"/>
              <w:rPr>
                <w:sz w:val="23"/>
              </w:rPr>
            </w:pPr>
          </w:p>
          <w:p w14:paraId="04412D68" w14:textId="77777777" w:rsidR="007D6BD4" w:rsidRPr="0035519F" w:rsidRDefault="007D6BD4" w:rsidP="00B71A29">
            <w:pPr>
              <w:pStyle w:val="TableParagraph"/>
              <w:jc w:val="center"/>
              <w:rPr>
                <w:i/>
                <w:sz w:val="24"/>
              </w:rPr>
            </w:pPr>
            <w:r w:rsidRPr="0035519F">
              <w:rPr>
                <w:i/>
                <w:sz w:val="24"/>
              </w:rPr>
              <w:t>IGF-1</w:t>
            </w:r>
          </w:p>
        </w:tc>
        <w:tc>
          <w:tcPr>
            <w:tcW w:w="3690" w:type="dxa"/>
            <w:vMerge/>
          </w:tcPr>
          <w:p w14:paraId="2EEC1769" w14:textId="34D9B358" w:rsidR="007D6BD4" w:rsidRPr="0035519F" w:rsidRDefault="007D6BD4" w:rsidP="007D6BD4">
            <w:pPr>
              <w:pStyle w:val="TableParagraph"/>
              <w:ind w:right="295"/>
              <w:jc w:val="center"/>
              <w:rPr>
                <w:sz w:val="24"/>
              </w:rPr>
            </w:pPr>
          </w:p>
        </w:tc>
        <w:tc>
          <w:tcPr>
            <w:tcW w:w="891" w:type="dxa"/>
            <w:vMerge w:val="restart"/>
            <w:vAlign w:val="center"/>
          </w:tcPr>
          <w:p w14:paraId="324ADB41" w14:textId="75CA49EC" w:rsidR="007D6BD4" w:rsidRPr="0035519F" w:rsidRDefault="007D6BD4" w:rsidP="00B71A29">
            <w:pPr>
              <w:pStyle w:val="TableParagraph"/>
              <w:jc w:val="center"/>
              <w:rPr>
                <w:sz w:val="23"/>
              </w:rPr>
            </w:pPr>
          </w:p>
          <w:p w14:paraId="6C82CA95" w14:textId="77777777" w:rsidR="007D6BD4" w:rsidRPr="0035519F" w:rsidRDefault="007D6BD4" w:rsidP="007D6BD4">
            <w:pPr>
              <w:pStyle w:val="TableParagraph"/>
              <w:jc w:val="center"/>
              <w:rPr>
                <w:sz w:val="23"/>
              </w:rPr>
            </w:pPr>
          </w:p>
          <w:p w14:paraId="510E5E7A" w14:textId="77777777" w:rsidR="007D6BD4" w:rsidRPr="0035519F" w:rsidRDefault="007D6BD4" w:rsidP="007D6BD4">
            <w:pPr>
              <w:pStyle w:val="TableParagraph"/>
              <w:ind w:right="305"/>
              <w:jc w:val="center"/>
              <w:rPr>
                <w:sz w:val="24"/>
              </w:rPr>
            </w:pPr>
            <w:r w:rsidRPr="0035519F">
              <w:rPr>
                <w:sz w:val="24"/>
              </w:rPr>
              <w:t>88</w:t>
            </w:r>
          </w:p>
          <w:p w14:paraId="2F4B5F04" w14:textId="77777777" w:rsidR="007D6BD4" w:rsidRPr="0035519F" w:rsidRDefault="007D6BD4" w:rsidP="00B71A29">
            <w:pPr>
              <w:pStyle w:val="TableParagraph"/>
              <w:jc w:val="center"/>
              <w:rPr>
                <w:sz w:val="23"/>
              </w:rPr>
            </w:pPr>
          </w:p>
          <w:p w14:paraId="7CCA2AB8" w14:textId="5E15138D" w:rsidR="007D6BD4" w:rsidRPr="0035519F" w:rsidRDefault="007D6BD4" w:rsidP="00B71A29">
            <w:pPr>
              <w:pStyle w:val="TableParagraph"/>
              <w:ind w:right="305"/>
              <w:jc w:val="center"/>
              <w:rPr>
                <w:sz w:val="24"/>
              </w:rPr>
            </w:pPr>
          </w:p>
        </w:tc>
        <w:tc>
          <w:tcPr>
            <w:tcW w:w="1163" w:type="dxa"/>
            <w:vMerge w:val="restart"/>
            <w:vAlign w:val="center"/>
          </w:tcPr>
          <w:p w14:paraId="72D5DA70" w14:textId="73762F51" w:rsidR="007D6BD4" w:rsidRPr="0035519F" w:rsidRDefault="007D6BD4" w:rsidP="00B71A29">
            <w:pPr>
              <w:pStyle w:val="TableParagraph"/>
              <w:ind w:right="123"/>
              <w:jc w:val="center"/>
              <w:rPr>
                <w:sz w:val="24"/>
              </w:rPr>
            </w:pPr>
            <w:r w:rsidRPr="0035519F">
              <w:rPr>
                <w:sz w:val="24"/>
              </w:rPr>
              <w:t>-1,79</w:t>
            </w:r>
          </w:p>
        </w:tc>
        <w:tc>
          <w:tcPr>
            <w:tcW w:w="1186" w:type="dxa"/>
            <w:vMerge w:val="restart"/>
            <w:vAlign w:val="center"/>
          </w:tcPr>
          <w:p w14:paraId="1129F5CC" w14:textId="32733E3F" w:rsidR="007D6BD4" w:rsidRPr="0035519F" w:rsidRDefault="007D6BD4" w:rsidP="00B71A29">
            <w:pPr>
              <w:pStyle w:val="TableParagraph"/>
              <w:jc w:val="center"/>
              <w:rPr>
                <w:sz w:val="24"/>
              </w:rPr>
            </w:pPr>
            <w:r w:rsidRPr="0035519F">
              <w:rPr>
                <w:sz w:val="24"/>
              </w:rPr>
              <w:t>0,096</w:t>
            </w:r>
          </w:p>
        </w:tc>
      </w:tr>
      <w:tr w:rsidR="00117F69" w:rsidRPr="0035519F" w14:paraId="48A81BAD" w14:textId="77777777" w:rsidTr="007D6BD4">
        <w:trPr>
          <w:trHeight w:val="288"/>
        </w:trPr>
        <w:tc>
          <w:tcPr>
            <w:tcW w:w="900" w:type="dxa"/>
            <w:tcBorders>
              <w:bottom w:val="single" w:sz="4" w:space="0" w:color="000000"/>
            </w:tcBorders>
            <w:vAlign w:val="center"/>
          </w:tcPr>
          <w:p w14:paraId="276F9D32" w14:textId="77777777" w:rsidR="007D6BD4" w:rsidRPr="0035519F" w:rsidRDefault="007D6BD4" w:rsidP="00B71A29">
            <w:pPr>
              <w:pStyle w:val="TableParagraph"/>
              <w:jc w:val="center"/>
              <w:rPr>
                <w:rFonts w:ascii="Times New Roman"/>
              </w:rPr>
            </w:pPr>
          </w:p>
        </w:tc>
        <w:tc>
          <w:tcPr>
            <w:tcW w:w="3690" w:type="dxa"/>
            <w:vMerge/>
            <w:tcBorders>
              <w:bottom w:val="single" w:sz="4" w:space="0" w:color="000000"/>
            </w:tcBorders>
          </w:tcPr>
          <w:p w14:paraId="769EF9F2" w14:textId="61906026" w:rsidR="007D6BD4" w:rsidRPr="0035519F" w:rsidRDefault="007D6BD4" w:rsidP="007D6BD4">
            <w:pPr>
              <w:pStyle w:val="TableParagraph"/>
              <w:ind w:right="295"/>
              <w:jc w:val="center"/>
              <w:rPr>
                <w:sz w:val="24"/>
              </w:rPr>
            </w:pPr>
          </w:p>
        </w:tc>
        <w:tc>
          <w:tcPr>
            <w:tcW w:w="891" w:type="dxa"/>
            <w:vMerge/>
            <w:tcBorders>
              <w:bottom w:val="single" w:sz="4" w:space="0" w:color="000000"/>
            </w:tcBorders>
            <w:vAlign w:val="center"/>
          </w:tcPr>
          <w:p w14:paraId="141D00FE" w14:textId="46532056" w:rsidR="007D6BD4" w:rsidRPr="0035519F" w:rsidRDefault="007D6BD4" w:rsidP="00B71A29">
            <w:pPr>
              <w:pStyle w:val="TableParagraph"/>
              <w:ind w:right="305"/>
              <w:jc w:val="center"/>
              <w:rPr>
                <w:sz w:val="24"/>
              </w:rPr>
            </w:pPr>
          </w:p>
        </w:tc>
        <w:tc>
          <w:tcPr>
            <w:tcW w:w="1163" w:type="dxa"/>
            <w:vMerge/>
            <w:tcBorders>
              <w:bottom w:val="single" w:sz="4" w:space="0" w:color="000000"/>
            </w:tcBorders>
            <w:vAlign w:val="center"/>
          </w:tcPr>
          <w:p w14:paraId="37BBCF5D" w14:textId="0A3B5DC2" w:rsidR="007D6BD4" w:rsidRPr="0035519F" w:rsidRDefault="007D6BD4" w:rsidP="00B71A29">
            <w:pPr>
              <w:pStyle w:val="TableParagraph"/>
              <w:ind w:right="123"/>
              <w:jc w:val="center"/>
              <w:rPr>
                <w:sz w:val="24"/>
              </w:rPr>
            </w:pPr>
          </w:p>
        </w:tc>
        <w:tc>
          <w:tcPr>
            <w:tcW w:w="1186" w:type="dxa"/>
            <w:vMerge/>
            <w:tcBorders>
              <w:bottom w:val="single" w:sz="4" w:space="0" w:color="000000"/>
            </w:tcBorders>
            <w:vAlign w:val="center"/>
          </w:tcPr>
          <w:p w14:paraId="3B0EFA61" w14:textId="7C26FD91" w:rsidR="007D6BD4" w:rsidRPr="0035519F" w:rsidRDefault="007D6BD4" w:rsidP="00B71A29">
            <w:pPr>
              <w:pStyle w:val="TableParagraph"/>
              <w:jc w:val="center"/>
              <w:rPr>
                <w:sz w:val="24"/>
              </w:rPr>
            </w:pPr>
          </w:p>
        </w:tc>
      </w:tr>
    </w:tbl>
    <w:p w14:paraId="2448A25C" w14:textId="6502C7CC" w:rsidR="00B0389A" w:rsidRPr="0035519F" w:rsidRDefault="007F1E64" w:rsidP="007F1E64">
      <w:pPr>
        <w:pStyle w:val="ListParagraph"/>
        <w:spacing w:line="480" w:lineRule="auto"/>
        <w:ind w:left="0" w:right="18" w:firstLine="270"/>
        <w:jc w:val="both"/>
        <w:rPr>
          <w:rFonts w:ascii="Arial" w:hAnsi="Arial" w:cs="Arial"/>
          <w:i/>
          <w:sz w:val="24"/>
          <w:szCs w:val="24"/>
        </w:rPr>
      </w:pPr>
      <w:r w:rsidRPr="0035519F">
        <w:rPr>
          <w:rFonts w:ascii="Arial" w:hAnsi="Arial" w:cs="Arial"/>
          <w:i/>
          <w:sz w:val="24"/>
          <w:szCs w:val="24"/>
        </w:rPr>
        <w:t>Spearman’s Correlation test</w:t>
      </w:r>
    </w:p>
    <w:p w14:paraId="36B7BE11" w14:textId="77777777" w:rsidR="007F1E64" w:rsidRPr="0035519F" w:rsidRDefault="007F1E64" w:rsidP="007F1E64">
      <w:pPr>
        <w:pStyle w:val="ListParagraph"/>
        <w:spacing w:line="480" w:lineRule="auto"/>
        <w:ind w:left="0" w:right="18" w:firstLine="270"/>
        <w:jc w:val="both"/>
        <w:rPr>
          <w:rFonts w:ascii="Arial" w:hAnsi="Arial" w:cs="Arial"/>
          <w:sz w:val="24"/>
          <w:szCs w:val="24"/>
        </w:rPr>
      </w:pPr>
    </w:p>
    <w:p w14:paraId="50C0F312" w14:textId="25C81DDA" w:rsidR="007F1E64" w:rsidRPr="0035519F" w:rsidRDefault="008C268B" w:rsidP="007F1E64">
      <w:pPr>
        <w:pStyle w:val="ListParagraph"/>
        <w:spacing w:line="480" w:lineRule="auto"/>
        <w:ind w:left="0" w:right="18" w:firstLine="270"/>
        <w:jc w:val="both"/>
        <w:outlineLvl w:val="1"/>
        <w:rPr>
          <w:rFonts w:ascii="Arial" w:hAnsi="Arial" w:cs="Arial"/>
          <w:sz w:val="24"/>
          <w:szCs w:val="24"/>
        </w:rPr>
      </w:pPr>
      <w:r w:rsidRPr="0035519F">
        <w:rPr>
          <w:rFonts w:ascii="Arial" w:hAnsi="Arial" w:cs="Arial"/>
          <w:sz w:val="24"/>
          <w:szCs w:val="24"/>
        </w:rPr>
        <w:t xml:space="preserve">Tabel </w:t>
      </w:r>
      <w:r w:rsidR="00B0389A" w:rsidRPr="0035519F">
        <w:rPr>
          <w:rFonts w:ascii="Arial" w:hAnsi="Arial" w:cs="Arial"/>
          <w:sz w:val="24"/>
          <w:szCs w:val="24"/>
        </w:rPr>
        <w:t>9</w:t>
      </w:r>
      <w:r w:rsidRPr="0035519F">
        <w:rPr>
          <w:rFonts w:ascii="Arial" w:hAnsi="Arial" w:cs="Arial"/>
          <w:sz w:val="24"/>
          <w:szCs w:val="24"/>
        </w:rPr>
        <w:t xml:space="preserve"> menjelaskan korelasi </w:t>
      </w:r>
      <w:r w:rsidR="007F1E64" w:rsidRPr="0035519F">
        <w:rPr>
          <w:rFonts w:ascii="Arial" w:hAnsi="Arial" w:cs="Arial"/>
          <w:sz w:val="24"/>
          <w:szCs w:val="24"/>
        </w:rPr>
        <w:t>HOMA-IR</w:t>
      </w:r>
      <w:r w:rsidRPr="0035519F">
        <w:rPr>
          <w:rFonts w:ascii="Arial" w:hAnsi="Arial" w:cs="Arial"/>
          <w:sz w:val="24"/>
          <w:szCs w:val="24"/>
        </w:rPr>
        <w:t xml:space="preserve"> </w:t>
      </w:r>
      <w:r w:rsidR="007F1E64" w:rsidRPr="0035519F">
        <w:rPr>
          <w:rFonts w:ascii="Arial" w:hAnsi="Arial" w:cs="Arial"/>
          <w:sz w:val="24"/>
          <w:szCs w:val="24"/>
        </w:rPr>
        <w:t xml:space="preserve">dengan </w:t>
      </w:r>
      <w:r w:rsidRPr="0035519F">
        <w:rPr>
          <w:rFonts w:ascii="Arial" w:hAnsi="Arial" w:cs="Arial"/>
          <w:sz w:val="24"/>
          <w:szCs w:val="24"/>
        </w:rPr>
        <w:t xml:space="preserve">IGF-1 serum pada kelompok </w:t>
      </w:r>
      <w:r w:rsidR="007F1E64" w:rsidRPr="0035519F">
        <w:rPr>
          <w:rFonts w:ascii="Arial" w:hAnsi="Arial" w:cs="Arial"/>
          <w:sz w:val="24"/>
          <w:szCs w:val="24"/>
        </w:rPr>
        <w:t xml:space="preserve">dewasa Non DM </w:t>
      </w:r>
      <w:r w:rsidRPr="0035519F">
        <w:rPr>
          <w:rFonts w:ascii="Arial" w:hAnsi="Arial" w:cs="Arial"/>
          <w:sz w:val="24"/>
          <w:szCs w:val="24"/>
        </w:rPr>
        <w:t xml:space="preserve">dengan dan tanpa obesitas sentral. </w:t>
      </w:r>
      <w:r w:rsidR="003F23F5" w:rsidRPr="0035519F">
        <w:rPr>
          <w:rFonts w:ascii="Arial" w:hAnsi="Arial" w:cs="Arial"/>
          <w:sz w:val="24"/>
          <w:szCs w:val="24"/>
        </w:rPr>
        <w:t>Terdapat</w:t>
      </w:r>
      <w:r w:rsidRPr="0035519F">
        <w:rPr>
          <w:rFonts w:ascii="Arial" w:hAnsi="Arial" w:cs="Arial"/>
          <w:sz w:val="24"/>
          <w:szCs w:val="24"/>
        </w:rPr>
        <w:t xml:space="preserve"> korelasi</w:t>
      </w:r>
      <w:r w:rsidR="003F23F5" w:rsidRPr="0035519F">
        <w:rPr>
          <w:rFonts w:ascii="Arial" w:hAnsi="Arial" w:cs="Arial"/>
          <w:sz w:val="24"/>
          <w:szCs w:val="24"/>
        </w:rPr>
        <w:t xml:space="preserve"> namun tidak</w:t>
      </w:r>
      <w:r w:rsidRPr="0035519F">
        <w:rPr>
          <w:rFonts w:ascii="Arial" w:hAnsi="Arial" w:cs="Arial"/>
          <w:sz w:val="24"/>
          <w:szCs w:val="24"/>
        </w:rPr>
        <w:t xml:space="preserve"> signifikan </w:t>
      </w:r>
      <w:r w:rsidR="003F23F5" w:rsidRPr="0035519F">
        <w:rPr>
          <w:rFonts w:ascii="Arial" w:hAnsi="Arial" w:cs="Arial"/>
          <w:sz w:val="24"/>
          <w:szCs w:val="24"/>
        </w:rPr>
        <w:t xml:space="preserve">secara statistik </w:t>
      </w:r>
      <w:r w:rsidRPr="0035519F">
        <w:rPr>
          <w:rFonts w:ascii="Arial" w:hAnsi="Arial" w:cs="Arial"/>
          <w:sz w:val="24"/>
          <w:szCs w:val="24"/>
        </w:rPr>
        <w:t xml:space="preserve">antara </w:t>
      </w:r>
      <w:r w:rsidR="009768AE" w:rsidRPr="0035519F">
        <w:rPr>
          <w:rFonts w:ascii="Arial" w:hAnsi="Arial" w:cs="Arial"/>
          <w:sz w:val="24"/>
          <w:szCs w:val="24"/>
        </w:rPr>
        <w:t>nilai HOMA</w:t>
      </w:r>
      <w:r w:rsidR="007F1E64" w:rsidRPr="0035519F">
        <w:rPr>
          <w:rFonts w:ascii="Arial" w:hAnsi="Arial" w:cs="Arial"/>
          <w:sz w:val="24"/>
          <w:szCs w:val="24"/>
        </w:rPr>
        <w:t xml:space="preserve">-IR </w:t>
      </w:r>
      <w:r w:rsidRPr="0035519F">
        <w:rPr>
          <w:rFonts w:ascii="Arial" w:hAnsi="Arial" w:cs="Arial"/>
          <w:sz w:val="24"/>
          <w:szCs w:val="24"/>
        </w:rPr>
        <w:t xml:space="preserve">dengan </w:t>
      </w:r>
      <w:r w:rsidR="007F1E64" w:rsidRPr="0035519F">
        <w:rPr>
          <w:rFonts w:ascii="Arial" w:hAnsi="Arial" w:cs="Arial"/>
          <w:sz w:val="24"/>
          <w:szCs w:val="24"/>
        </w:rPr>
        <w:t xml:space="preserve">IGF-1 </w:t>
      </w:r>
      <w:r w:rsidRPr="0035519F">
        <w:rPr>
          <w:rFonts w:ascii="Arial" w:hAnsi="Arial" w:cs="Arial"/>
          <w:sz w:val="24"/>
          <w:szCs w:val="24"/>
        </w:rPr>
        <w:t>nilai (p&gt;0,05).</w:t>
      </w:r>
    </w:p>
    <w:p w14:paraId="378DFC4B" w14:textId="4384FAC0" w:rsidR="008C268B" w:rsidRPr="0035519F" w:rsidRDefault="00D56992" w:rsidP="000A18E1">
      <w:pPr>
        <w:pStyle w:val="Caption"/>
        <w:spacing w:line="360" w:lineRule="auto"/>
        <w:rPr>
          <w:rFonts w:ascii="Arial" w:eastAsia="MS Mincho" w:hAnsi="Arial" w:cs="Arial"/>
          <w:i w:val="0"/>
          <w:iCs w:val="0"/>
          <w:color w:val="auto"/>
          <w:sz w:val="24"/>
          <w:szCs w:val="24"/>
        </w:rPr>
      </w:pPr>
      <w:bookmarkStart w:id="82" w:name="_Toc111873681"/>
      <w:r w:rsidRPr="0035519F">
        <w:rPr>
          <w:rFonts w:ascii="Arial" w:eastAsia="MS Mincho" w:hAnsi="Arial" w:cs="Arial"/>
          <w:i w:val="0"/>
          <w:iCs w:val="0"/>
          <w:color w:val="auto"/>
          <w:sz w:val="24"/>
          <w:szCs w:val="24"/>
        </w:rPr>
        <w:t xml:space="preserve">Tabel </w:t>
      </w:r>
      <w:r w:rsidRPr="0035519F">
        <w:rPr>
          <w:rFonts w:ascii="Arial" w:eastAsia="MS Mincho" w:hAnsi="Arial" w:cs="Arial"/>
          <w:i w:val="0"/>
          <w:iCs w:val="0"/>
          <w:color w:val="auto"/>
          <w:sz w:val="24"/>
          <w:szCs w:val="24"/>
        </w:rPr>
        <w:fldChar w:fldCharType="begin"/>
      </w:r>
      <w:r w:rsidRPr="0035519F">
        <w:rPr>
          <w:rFonts w:ascii="Arial" w:eastAsia="MS Mincho" w:hAnsi="Arial" w:cs="Arial"/>
          <w:i w:val="0"/>
          <w:iCs w:val="0"/>
          <w:color w:val="auto"/>
          <w:sz w:val="24"/>
          <w:szCs w:val="24"/>
        </w:rPr>
        <w:instrText xml:space="preserve"> SEQ Tabel \* ARABIC </w:instrText>
      </w:r>
      <w:r w:rsidRPr="0035519F">
        <w:rPr>
          <w:rFonts w:ascii="Arial" w:eastAsia="MS Mincho" w:hAnsi="Arial" w:cs="Arial"/>
          <w:i w:val="0"/>
          <w:iCs w:val="0"/>
          <w:color w:val="auto"/>
          <w:sz w:val="24"/>
          <w:szCs w:val="24"/>
        </w:rPr>
        <w:fldChar w:fldCharType="separate"/>
      </w:r>
      <w:r w:rsidR="005B4074">
        <w:rPr>
          <w:rFonts w:ascii="Arial" w:eastAsia="MS Mincho" w:hAnsi="Arial" w:cs="Arial"/>
          <w:i w:val="0"/>
          <w:iCs w:val="0"/>
          <w:noProof/>
          <w:color w:val="auto"/>
          <w:sz w:val="24"/>
          <w:szCs w:val="24"/>
        </w:rPr>
        <w:t>9</w:t>
      </w:r>
      <w:r w:rsidRPr="0035519F">
        <w:rPr>
          <w:rFonts w:ascii="Arial" w:eastAsia="MS Mincho" w:hAnsi="Arial" w:cs="Arial"/>
          <w:i w:val="0"/>
          <w:iCs w:val="0"/>
          <w:color w:val="auto"/>
          <w:sz w:val="24"/>
          <w:szCs w:val="24"/>
        </w:rPr>
        <w:fldChar w:fldCharType="end"/>
      </w:r>
      <w:r w:rsidR="00140824" w:rsidRPr="0035519F">
        <w:rPr>
          <w:rFonts w:ascii="Arial" w:eastAsia="MS Mincho" w:hAnsi="Arial" w:cs="Arial"/>
          <w:i w:val="0"/>
          <w:iCs w:val="0"/>
          <w:color w:val="auto"/>
          <w:sz w:val="24"/>
          <w:szCs w:val="24"/>
        </w:rPr>
        <w:t>.</w:t>
      </w:r>
      <w:r w:rsidR="008C268B" w:rsidRPr="0035519F">
        <w:rPr>
          <w:rFonts w:ascii="Arial" w:hAnsi="Arial" w:cs="Arial"/>
          <w:i w:val="0"/>
          <w:color w:val="auto"/>
          <w:sz w:val="24"/>
          <w:szCs w:val="24"/>
        </w:rPr>
        <w:t xml:space="preserve"> Korelasi </w:t>
      </w:r>
      <w:r w:rsidR="009768AE" w:rsidRPr="0035519F">
        <w:rPr>
          <w:rFonts w:ascii="Arial" w:hAnsi="Arial" w:cs="Arial"/>
          <w:i w:val="0"/>
          <w:color w:val="auto"/>
          <w:sz w:val="24"/>
          <w:szCs w:val="24"/>
        </w:rPr>
        <w:t>nilai HOMA-</w:t>
      </w:r>
      <w:r w:rsidR="007F1E64" w:rsidRPr="0035519F">
        <w:rPr>
          <w:rFonts w:ascii="Arial" w:hAnsi="Arial" w:cs="Arial"/>
          <w:i w:val="0"/>
          <w:color w:val="auto"/>
          <w:sz w:val="24"/>
          <w:szCs w:val="24"/>
        </w:rPr>
        <w:t xml:space="preserve">IR </w:t>
      </w:r>
      <w:r w:rsidR="008C268B" w:rsidRPr="0035519F">
        <w:rPr>
          <w:rFonts w:ascii="Arial" w:hAnsi="Arial" w:cs="Arial"/>
          <w:i w:val="0"/>
          <w:color w:val="auto"/>
          <w:sz w:val="24"/>
          <w:szCs w:val="24"/>
        </w:rPr>
        <w:t xml:space="preserve">dan </w:t>
      </w:r>
      <w:r w:rsidR="007F1E64" w:rsidRPr="0035519F">
        <w:rPr>
          <w:rFonts w:ascii="Arial" w:hAnsi="Arial" w:cs="Arial"/>
          <w:i w:val="0"/>
          <w:color w:val="auto"/>
          <w:sz w:val="24"/>
          <w:szCs w:val="24"/>
        </w:rPr>
        <w:t xml:space="preserve">IGF-1 </w:t>
      </w:r>
      <w:r w:rsidR="008C268B" w:rsidRPr="0035519F">
        <w:rPr>
          <w:rFonts w:ascii="Arial" w:hAnsi="Arial" w:cs="Arial"/>
          <w:i w:val="0"/>
          <w:color w:val="auto"/>
          <w:sz w:val="24"/>
          <w:szCs w:val="24"/>
        </w:rPr>
        <w:t>pada kelompok</w:t>
      </w:r>
      <w:r w:rsidR="007F1E64" w:rsidRPr="0035519F">
        <w:rPr>
          <w:rFonts w:ascii="Arial" w:hAnsi="Arial" w:cs="Arial"/>
          <w:i w:val="0"/>
          <w:color w:val="auto"/>
          <w:sz w:val="24"/>
          <w:szCs w:val="24"/>
        </w:rPr>
        <w:t xml:space="preserve"> dewasa Non DM</w:t>
      </w:r>
      <w:r w:rsidR="008C268B" w:rsidRPr="0035519F">
        <w:rPr>
          <w:rFonts w:ascii="Arial" w:hAnsi="Arial" w:cs="Arial"/>
          <w:i w:val="0"/>
          <w:color w:val="auto"/>
          <w:sz w:val="24"/>
          <w:szCs w:val="24"/>
        </w:rPr>
        <w:t xml:space="preserve"> dengan dan tanpa obesitas tipe sentral (Data Primer)</w:t>
      </w:r>
      <w:bookmarkEnd w:id="82"/>
    </w:p>
    <w:tbl>
      <w:tblPr>
        <w:tblW w:w="0" w:type="auto"/>
        <w:tblInd w:w="360" w:type="dxa"/>
        <w:tblLayout w:type="fixed"/>
        <w:tblCellMar>
          <w:left w:w="0" w:type="dxa"/>
          <w:right w:w="0" w:type="dxa"/>
        </w:tblCellMar>
        <w:tblLook w:val="01E0" w:firstRow="1" w:lastRow="1" w:firstColumn="1" w:lastColumn="1" w:noHBand="0" w:noVBand="0"/>
      </w:tblPr>
      <w:tblGrid>
        <w:gridCol w:w="1792"/>
        <w:gridCol w:w="2273"/>
        <w:gridCol w:w="891"/>
        <w:gridCol w:w="1163"/>
        <w:gridCol w:w="1394"/>
      </w:tblGrid>
      <w:tr w:rsidR="00117F69" w:rsidRPr="0035519F" w14:paraId="7C5C8DAD" w14:textId="77777777" w:rsidTr="008C268B">
        <w:trPr>
          <w:trHeight w:val="20"/>
        </w:trPr>
        <w:tc>
          <w:tcPr>
            <w:tcW w:w="7513" w:type="dxa"/>
            <w:gridSpan w:val="5"/>
            <w:tcBorders>
              <w:top w:val="double" w:sz="4" w:space="0" w:color="000000"/>
              <w:bottom w:val="single" w:sz="4" w:space="0" w:color="000000"/>
            </w:tcBorders>
            <w:vAlign w:val="center"/>
          </w:tcPr>
          <w:p w14:paraId="5D14A721" w14:textId="77777777" w:rsidR="008C268B" w:rsidRPr="0035519F" w:rsidRDefault="008C268B" w:rsidP="00B71A29">
            <w:pPr>
              <w:pStyle w:val="TableParagraph"/>
              <w:ind w:right="1796"/>
              <w:jc w:val="center"/>
              <w:rPr>
                <w:sz w:val="24"/>
              </w:rPr>
            </w:pPr>
            <w:r w:rsidRPr="0035519F">
              <w:rPr>
                <w:sz w:val="24"/>
              </w:rPr>
              <w:t>HOMA-IR</w:t>
            </w:r>
          </w:p>
        </w:tc>
      </w:tr>
      <w:tr w:rsidR="00117F69" w:rsidRPr="0035519F" w14:paraId="24717D36" w14:textId="77777777" w:rsidTr="008C268B">
        <w:trPr>
          <w:trHeight w:val="20"/>
        </w:trPr>
        <w:tc>
          <w:tcPr>
            <w:tcW w:w="1792" w:type="dxa"/>
            <w:tcBorders>
              <w:top w:val="single" w:sz="4" w:space="0" w:color="000000"/>
            </w:tcBorders>
            <w:vAlign w:val="center"/>
          </w:tcPr>
          <w:p w14:paraId="05B42D3F" w14:textId="77777777" w:rsidR="008C268B" w:rsidRPr="0035519F" w:rsidRDefault="008C268B" w:rsidP="00B71A29">
            <w:pPr>
              <w:pStyle w:val="TableParagraph"/>
              <w:jc w:val="center"/>
              <w:rPr>
                <w:rFonts w:ascii="Times New Roman"/>
              </w:rPr>
            </w:pPr>
          </w:p>
        </w:tc>
        <w:tc>
          <w:tcPr>
            <w:tcW w:w="2273" w:type="dxa"/>
            <w:tcBorders>
              <w:top w:val="single" w:sz="4" w:space="0" w:color="000000"/>
            </w:tcBorders>
            <w:vAlign w:val="center"/>
          </w:tcPr>
          <w:p w14:paraId="6C38860D" w14:textId="77777777" w:rsidR="008C268B" w:rsidRPr="0035519F" w:rsidRDefault="008C268B" w:rsidP="00B71A29">
            <w:pPr>
              <w:pStyle w:val="TableParagraph"/>
              <w:jc w:val="center"/>
              <w:rPr>
                <w:rFonts w:ascii="Times New Roman"/>
              </w:rPr>
            </w:pPr>
          </w:p>
        </w:tc>
        <w:tc>
          <w:tcPr>
            <w:tcW w:w="891" w:type="dxa"/>
            <w:tcBorders>
              <w:top w:val="single" w:sz="4" w:space="0" w:color="000000"/>
            </w:tcBorders>
            <w:vAlign w:val="center"/>
          </w:tcPr>
          <w:p w14:paraId="4F7B9B74" w14:textId="77777777" w:rsidR="008C268B" w:rsidRPr="0035519F" w:rsidRDefault="008C268B" w:rsidP="00B71A29">
            <w:pPr>
              <w:pStyle w:val="TableParagraph"/>
              <w:ind w:right="367"/>
              <w:jc w:val="center"/>
              <w:rPr>
                <w:sz w:val="24"/>
              </w:rPr>
            </w:pPr>
            <w:r w:rsidRPr="0035519F">
              <w:rPr>
                <w:w w:val="99"/>
                <w:sz w:val="24"/>
              </w:rPr>
              <w:t>N</w:t>
            </w:r>
          </w:p>
        </w:tc>
        <w:tc>
          <w:tcPr>
            <w:tcW w:w="1163" w:type="dxa"/>
            <w:tcBorders>
              <w:top w:val="single" w:sz="4" w:space="0" w:color="000000"/>
            </w:tcBorders>
            <w:vAlign w:val="center"/>
          </w:tcPr>
          <w:p w14:paraId="54079F5C" w14:textId="77777777" w:rsidR="008C268B" w:rsidRPr="0035519F" w:rsidRDefault="008C268B" w:rsidP="00B71A29">
            <w:pPr>
              <w:pStyle w:val="TableParagraph"/>
              <w:jc w:val="center"/>
              <w:rPr>
                <w:sz w:val="24"/>
              </w:rPr>
            </w:pPr>
            <w:r w:rsidRPr="0035519F">
              <w:rPr>
                <w:w w:val="99"/>
                <w:sz w:val="24"/>
              </w:rPr>
              <w:t>r</w:t>
            </w:r>
          </w:p>
        </w:tc>
        <w:tc>
          <w:tcPr>
            <w:tcW w:w="1394" w:type="dxa"/>
            <w:tcBorders>
              <w:top w:val="single" w:sz="4" w:space="0" w:color="000000"/>
            </w:tcBorders>
            <w:vAlign w:val="center"/>
          </w:tcPr>
          <w:p w14:paraId="43796DAE" w14:textId="77777777" w:rsidR="008C268B" w:rsidRPr="0035519F" w:rsidRDefault="008C268B" w:rsidP="00B71A29">
            <w:pPr>
              <w:pStyle w:val="TableParagraph"/>
              <w:jc w:val="center"/>
              <w:rPr>
                <w:sz w:val="24"/>
              </w:rPr>
            </w:pPr>
            <w:r w:rsidRPr="0035519F">
              <w:rPr>
                <w:sz w:val="24"/>
              </w:rPr>
              <w:t>p*</w:t>
            </w:r>
          </w:p>
        </w:tc>
      </w:tr>
      <w:tr w:rsidR="00117F69" w:rsidRPr="0035519F" w14:paraId="0B2340EE" w14:textId="77777777" w:rsidTr="008C268B">
        <w:trPr>
          <w:trHeight w:val="20"/>
        </w:trPr>
        <w:tc>
          <w:tcPr>
            <w:tcW w:w="1792" w:type="dxa"/>
            <w:vAlign w:val="center"/>
          </w:tcPr>
          <w:p w14:paraId="30DD41A8" w14:textId="77777777" w:rsidR="008C268B" w:rsidRPr="0035519F" w:rsidRDefault="008C268B" w:rsidP="00B71A29">
            <w:pPr>
              <w:pStyle w:val="TableParagraph"/>
              <w:jc w:val="center"/>
              <w:rPr>
                <w:sz w:val="23"/>
              </w:rPr>
            </w:pPr>
          </w:p>
          <w:p w14:paraId="332C96FC" w14:textId="77777777" w:rsidR="008C268B" w:rsidRPr="0035519F" w:rsidRDefault="008C268B" w:rsidP="00B71A29">
            <w:pPr>
              <w:pStyle w:val="TableParagraph"/>
              <w:jc w:val="center"/>
              <w:rPr>
                <w:i/>
                <w:sz w:val="24"/>
              </w:rPr>
            </w:pPr>
            <w:r w:rsidRPr="0035519F">
              <w:rPr>
                <w:i/>
                <w:sz w:val="24"/>
              </w:rPr>
              <w:t>IGF-1</w:t>
            </w:r>
          </w:p>
        </w:tc>
        <w:tc>
          <w:tcPr>
            <w:tcW w:w="2273" w:type="dxa"/>
            <w:vAlign w:val="center"/>
          </w:tcPr>
          <w:p w14:paraId="50A909ED" w14:textId="77777777" w:rsidR="008C268B" w:rsidRPr="0035519F" w:rsidRDefault="008C268B" w:rsidP="00B71A29">
            <w:pPr>
              <w:pStyle w:val="TableParagraph"/>
              <w:ind w:right="293"/>
              <w:jc w:val="center"/>
              <w:rPr>
                <w:sz w:val="24"/>
              </w:rPr>
            </w:pPr>
            <w:r w:rsidRPr="0035519F">
              <w:rPr>
                <w:sz w:val="24"/>
              </w:rPr>
              <w:t>Obesitas</w:t>
            </w:r>
          </w:p>
          <w:p w14:paraId="7FEEB4C4" w14:textId="77777777" w:rsidR="008C268B" w:rsidRPr="0035519F" w:rsidRDefault="008C268B" w:rsidP="00B71A29">
            <w:pPr>
              <w:pStyle w:val="TableParagraph"/>
              <w:ind w:right="295"/>
              <w:jc w:val="center"/>
              <w:rPr>
                <w:sz w:val="24"/>
              </w:rPr>
            </w:pPr>
            <w:r w:rsidRPr="0035519F">
              <w:rPr>
                <w:sz w:val="24"/>
              </w:rPr>
              <w:t>Sentral</w:t>
            </w:r>
          </w:p>
        </w:tc>
        <w:tc>
          <w:tcPr>
            <w:tcW w:w="891" w:type="dxa"/>
            <w:vAlign w:val="center"/>
          </w:tcPr>
          <w:p w14:paraId="0399C415" w14:textId="77777777" w:rsidR="008C268B" w:rsidRPr="0035519F" w:rsidRDefault="008C268B" w:rsidP="00B71A29">
            <w:pPr>
              <w:pStyle w:val="TableParagraph"/>
              <w:jc w:val="center"/>
              <w:rPr>
                <w:sz w:val="23"/>
              </w:rPr>
            </w:pPr>
          </w:p>
          <w:p w14:paraId="3D041D4A" w14:textId="77777777" w:rsidR="008C268B" w:rsidRPr="0035519F" w:rsidRDefault="008C268B" w:rsidP="00B71A29">
            <w:pPr>
              <w:pStyle w:val="TableParagraph"/>
              <w:ind w:right="305"/>
              <w:jc w:val="center"/>
              <w:rPr>
                <w:sz w:val="24"/>
              </w:rPr>
            </w:pPr>
            <w:r w:rsidRPr="0035519F">
              <w:rPr>
                <w:w w:val="95"/>
                <w:sz w:val="24"/>
              </w:rPr>
              <w:t>44</w:t>
            </w:r>
          </w:p>
        </w:tc>
        <w:tc>
          <w:tcPr>
            <w:tcW w:w="1163" w:type="dxa"/>
            <w:vAlign w:val="center"/>
          </w:tcPr>
          <w:p w14:paraId="61E47A8B" w14:textId="77777777" w:rsidR="008C268B" w:rsidRPr="0035519F" w:rsidRDefault="008C268B" w:rsidP="00B71A29">
            <w:pPr>
              <w:pStyle w:val="TableParagraph"/>
              <w:ind w:right="139"/>
              <w:jc w:val="center"/>
              <w:rPr>
                <w:sz w:val="24"/>
              </w:rPr>
            </w:pPr>
            <w:r w:rsidRPr="0035519F">
              <w:rPr>
                <w:sz w:val="24"/>
              </w:rPr>
              <w:t>-0,013</w:t>
            </w:r>
          </w:p>
        </w:tc>
        <w:tc>
          <w:tcPr>
            <w:tcW w:w="1394" w:type="dxa"/>
            <w:vAlign w:val="center"/>
          </w:tcPr>
          <w:p w14:paraId="153E1E76" w14:textId="77777777" w:rsidR="008C268B" w:rsidRPr="0035519F" w:rsidRDefault="008C268B" w:rsidP="00B71A29">
            <w:pPr>
              <w:pStyle w:val="TableParagraph"/>
              <w:jc w:val="center"/>
              <w:rPr>
                <w:sz w:val="24"/>
              </w:rPr>
            </w:pPr>
            <w:r w:rsidRPr="0035519F">
              <w:rPr>
                <w:sz w:val="24"/>
              </w:rPr>
              <w:t>0,934</w:t>
            </w:r>
          </w:p>
        </w:tc>
      </w:tr>
      <w:tr w:rsidR="00117F69" w:rsidRPr="0035519F" w14:paraId="16F0A5C9" w14:textId="77777777" w:rsidTr="008C268B">
        <w:trPr>
          <w:trHeight w:val="20"/>
        </w:trPr>
        <w:tc>
          <w:tcPr>
            <w:tcW w:w="1792" w:type="dxa"/>
            <w:tcBorders>
              <w:bottom w:val="single" w:sz="4" w:space="0" w:color="000000"/>
            </w:tcBorders>
            <w:vAlign w:val="center"/>
          </w:tcPr>
          <w:p w14:paraId="627E9671" w14:textId="77777777" w:rsidR="008C268B" w:rsidRPr="0035519F" w:rsidRDefault="008C268B" w:rsidP="00B71A29">
            <w:pPr>
              <w:pStyle w:val="TableParagraph"/>
              <w:jc w:val="center"/>
              <w:rPr>
                <w:rFonts w:ascii="Times New Roman"/>
              </w:rPr>
            </w:pPr>
          </w:p>
        </w:tc>
        <w:tc>
          <w:tcPr>
            <w:tcW w:w="2273" w:type="dxa"/>
            <w:tcBorders>
              <w:bottom w:val="single" w:sz="4" w:space="0" w:color="000000"/>
            </w:tcBorders>
            <w:vAlign w:val="center"/>
          </w:tcPr>
          <w:p w14:paraId="2D5E5ECB" w14:textId="77777777" w:rsidR="008C268B" w:rsidRPr="0035519F" w:rsidRDefault="008C268B" w:rsidP="00B71A29">
            <w:pPr>
              <w:pStyle w:val="TableParagraph"/>
              <w:ind w:right="295"/>
              <w:jc w:val="center"/>
              <w:rPr>
                <w:sz w:val="24"/>
              </w:rPr>
            </w:pPr>
            <w:r w:rsidRPr="0035519F">
              <w:rPr>
                <w:sz w:val="24"/>
              </w:rPr>
              <w:t>Tanpa Obesitas</w:t>
            </w:r>
          </w:p>
          <w:p w14:paraId="1867613F" w14:textId="77777777" w:rsidR="008C268B" w:rsidRPr="0035519F" w:rsidRDefault="008C268B" w:rsidP="00B71A29">
            <w:pPr>
              <w:pStyle w:val="TableParagraph"/>
              <w:ind w:right="295"/>
              <w:jc w:val="center"/>
              <w:rPr>
                <w:sz w:val="24"/>
              </w:rPr>
            </w:pPr>
            <w:r w:rsidRPr="0035519F">
              <w:rPr>
                <w:sz w:val="24"/>
              </w:rPr>
              <w:t>Sentral</w:t>
            </w:r>
          </w:p>
        </w:tc>
        <w:tc>
          <w:tcPr>
            <w:tcW w:w="891" w:type="dxa"/>
            <w:tcBorders>
              <w:bottom w:val="single" w:sz="4" w:space="0" w:color="000000"/>
            </w:tcBorders>
            <w:vAlign w:val="center"/>
          </w:tcPr>
          <w:p w14:paraId="510A7D03" w14:textId="77777777" w:rsidR="008C268B" w:rsidRPr="0035519F" w:rsidRDefault="008C268B" w:rsidP="00B71A29">
            <w:pPr>
              <w:pStyle w:val="TableParagraph"/>
              <w:jc w:val="center"/>
              <w:rPr>
                <w:sz w:val="23"/>
              </w:rPr>
            </w:pPr>
          </w:p>
          <w:p w14:paraId="1A6AAEBD" w14:textId="77777777" w:rsidR="008C268B" w:rsidRPr="0035519F" w:rsidRDefault="008C268B" w:rsidP="00B71A29">
            <w:pPr>
              <w:pStyle w:val="TableParagraph"/>
              <w:ind w:right="305"/>
              <w:jc w:val="center"/>
              <w:rPr>
                <w:sz w:val="24"/>
              </w:rPr>
            </w:pPr>
            <w:r w:rsidRPr="0035519F">
              <w:rPr>
                <w:w w:val="95"/>
                <w:sz w:val="24"/>
              </w:rPr>
              <w:t>44</w:t>
            </w:r>
          </w:p>
        </w:tc>
        <w:tc>
          <w:tcPr>
            <w:tcW w:w="1163" w:type="dxa"/>
            <w:tcBorders>
              <w:bottom w:val="single" w:sz="4" w:space="0" w:color="000000"/>
            </w:tcBorders>
            <w:vAlign w:val="center"/>
          </w:tcPr>
          <w:p w14:paraId="09BE498D" w14:textId="77777777" w:rsidR="008C268B" w:rsidRPr="0035519F" w:rsidRDefault="008C268B" w:rsidP="00B71A29">
            <w:pPr>
              <w:pStyle w:val="TableParagraph"/>
              <w:ind w:right="123"/>
              <w:jc w:val="center"/>
              <w:rPr>
                <w:sz w:val="24"/>
              </w:rPr>
            </w:pPr>
            <w:r w:rsidRPr="0035519F">
              <w:rPr>
                <w:sz w:val="24"/>
              </w:rPr>
              <w:t>-0,107</w:t>
            </w:r>
          </w:p>
        </w:tc>
        <w:tc>
          <w:tcPr>
            <w:tcW w:w="1394" w:type="dxa"/>
            <w:tcBorders>
              <w:bottom w:val="single" w:sz="4" w:space="0" w:color="000000"/>
            </w:tcBorders>
            <w:vAlign w:val="center"/>
          </w:tcPr>
          <w:p w14:paraId="6418653C" w14:textId="77777777" w:rsidR="008C268B" w:rsidRPr="0035519F" w:rsidRDefault="008C268B" w:rsidP="00B71A29">
            <w:pPr>
              <w:pStyle w:val="TableParagraph"/>
              <w:jc w:val="center"/>
              <w:rPr>
                <w:sz w:val="24"/>
              </w:rPr>
            </w:pPr>
            <w:r w:rsidRPr="0035519F">
              <w:rPr>
                <w:sz w:val="24"/>
              </w:rPr>
              <w:t>0,488</w:t>
            </w:r>
          </w:p>
        </w:tc>
      </w:tr>
    </w:tbl>
    <w:p w14:paraId="2914D495" w14:textId="77777777" w:rsidR="008C268B" w:rsidRPr="0035519F" w:rsidRDefault="008C268B" w:rsidP="008C268B">
      <w:pPr>
        <w:pStyle w:val="ListParagraph"/>
        <w:spacing w:line="360" w:lineRule="auto"/>
        <w:ind w:left="0" w:right="18"/>
        <w:jc w:val="both"/>
        <w:outlineLvl w:val="1"/>
        <w:rPr>
          <w:rFonts w:ascii="Arial" w:hAnsi="Arial" w:cs="Arial"/>
          <w:sz w:val="24"/>
          <w:szCs w:val="24"/>
        </w:rPr>
      </w:pPr>
      <w:r w:rsidRPr="0035519F">
        <w:rPr>
          <w:rFonts w:ascii="Arial" w:hAnsi="Arial" w:cs="Arial"/>
          <w:sz w:val="24"/>
          <w:szCs w:val="24"/>
        </w:rPr>
        <w:t>*</w:t>
      </w:r>
      <w:r w:rsidRPr="0035519F">
        <w:rPr>
          <w:rFonts w:ascii="Arial" w:hAnsi="Arial" w:cs="Arial"/>
          <w:i/>
          <w:sz w:val="24"/>
          <w:szCs w:val="24"/>
        </w:rPr>
        <w:t>Spearman’s Correlation test</w:t>
      </w:r>
    </w:p>
    <w:p w14:paraId="6634CCF9" w14:textId="77777777" w:rsidR="00FD1C9C" w:rsidRPr="0035519F" w:rsidRDefault="00FD1C9C" w:rsidP="00891FA6">
      <w:pPr>
        <w:pStyle w:val="ListParagraph"/>
        <w:spacing w:line="360" w:lineRule="auto"/>
        <w:ind w:left="0" w:right="18"/>
        <w:jc w:val="both"/>
        <w:rPr>
          <w:rFonts w:ascii="Arial" w:hAnsi="Arial" w:cs="Arial"/>
          <w:sz w:val="24"/>
          <w:szCs w:val="24"/>
        </w:rPr>
      </w:pPr>
    </w:p>
    <w:p w14:paraId="1DA752FF" w14:textId="77777777" w:rsidR="00FD1C9C" w:rsidRPr="0035519F" w:rsidRDefault="00FD1C9C" w:rsidP="00891FA6">
      <w:pPr>
        <w:pStyle w:val="ListParagraph"/>
        <w:spacing w:line="480" w:lineRule="auto"/>
        <w:ind w:left="0" w:right="18"/>
        <w:jc w:val="center"/>
        <w:outlineLvl w:val="1"/>
        <w:rPr>
          <w:rFonts w:ascii="Arial" w:hAnsi="Arial" w:cs="Arial"/>
          <w:b/>
          <w:sz w:val="24"/>
          <w:szCs w:val="24"/>
        </w:rPr>
      </w:pPr>
      <w:bookmarkStart w:id="83" w:name="_Toc111022790"/>
      <w:r w:rsidRPr="0035519F">
        <w:rPr>
          <w:rFonts w:ascii="Arial" w:hAnsi="Arial" w:cs="Arial"/>
          <w:b/>
          <w:sz w:val="24"/>
          <w:szCs w:val="24"/>
        </w:rPr>
        <w:t>B.</w:t>
      </w:r>
      <w:r w:rsidRPr="0035519F">
        <w:rPr>
          <w:rFonts w:ascii="Arial" w:hAnsi="Arial" w:cs="Arial"/>
          <w:b/>
          <w:sz w:val="24"/>
          <w:szCs w:val="24"/>
        </w:rPr>
        <w:tab/>
        <w:t>Pembahasan</w:t>
      </w:r>
      <w:bookmarkEnd w:id="83"/>
    </w:p>
    <w:p w14:paraId="3727B5D6" w14:textId="51EC6B38" w:rsidR="00FD1C9C" w:rsidRPr="0035519F" w:rsidRDefault="00FD1C9C" w:rsidP="00891FA6">
      <w:pPr>
        <w:pStyle w:val="ListParagraph"/>
        <w:spacing w:line="480" w:lineRule="auto"/>
        <w:ind w:left="0" w:right="18" w:firstLine="630"/>
        <w:jc w:val="both"/>
        <w:rPr>
          <w:rFonts w:ascii="Arial" w:hAnsi="Arial" w:cs="Arial"/>
          <w:sz w:val="24"/>
          <w:szCs w:val="24"/>
        </w:rPr>
      </w:pPr>
      <w:r w:rsidRPr="0035519F">
        <w:rPr>
          <w:rFonts w:ascii="Arial" w:hAnsi="Arial" w:cs="Arial"/>
          <w:sz w:val="24"/>
          <w:szCs w:val="24"/>
        </w:rPr>
        <w:t xml:space="preserve">Penelitian ini dilakukan untuk melihat apakah terdapat </w:t>
      </w:r>
      <w:r w:rsidR="00211A1C" w:rsidRPr="0035519F">
        <w:rPr>
          <w:rFonts w:ascii="Arial" w:hAnsi="Arial" w:cs="Arial"/>
          <w:sz w:val="24"/>
          <w:szCs w:val="24"/>
        </w:rPr>
        <w:t>perbedaan</w:t>
      </w:r>
      <w:r w:rsidRPr="0035519F">
        <w:rPr>
          <w:rFonts w:ascii="Arial" w:hAnsi="Arial" w:cs="Arial"/>
          <w:sz w:val="24"/>
          <w:szCs w:val="24"/>
        </w:rPr>
        <w:t xml:space="preserve"> antara kadar IGF-1 dengan indeks HOMA-IR pada subjek dengan dan </w:t>
      </w:r>
      <w:r w:rsidRPr="0035519F">
        <w:rPr>
          <w:rFonts w:ascii="Arial" w:hAnsi="Arial" w:cs="Arial"/>
          <w:sz w:val="24"/>
          <w:szCs w:val="24"/>
        </w:rPr>
        <w:lastRenderedPageBreak/>
        <w:t xml:space="preserve">tanpa obesitas </w:t>
      </w:r>
      <w:r w:rsidR="0005295A" w:rsidRPr="0035519F">
        <w:rPr>
          <w:rFonts w:ascii="Arial" w:hAnsi="Arial" w:cs="Arial"/>
          <w:sz w:val="24"/>
          <w:szCs w:val="24"/>
        </w:rPr>
        <w:t>sentral</w:t>
      </w:r>
      <w:r w:rsidR="00D2336E" w:rsidRPr="0035519F">
        <w:rPr>
          <w:rFonts w:ascii="Arial" w:hAnsi="Arial" w:cs="Arial"/>
          <w:sz w:val="24"/>
          <w:szCs w:val="24"/>
        </w:rPr>
        <w:t>. Penelitian dilakukan pada 88</w:t>
      </w:r>
      <w:r w:rsidRPr="0035519F">
        <w:rPr>
          <w:rFonts w:ascii="Arial" w:hAnsi="Arial" w:cs="Arial"/>
          <w:sz w:val="24"/>
          <w:szCs w:val="24"/>
        </w:rPr>
        <w:t xml:space="preserve"> s</w:t>
      </w:r>
      <w:r w:rsidR="00D2336E" w:rsidRPr="0035519F">
        <w:rPr>
          <w:rFonts w:ascii="Arial" w:hAnsi="Arial" w:cs="Arial"/>
          <w:sz w:val="24"/>
          <w:szCs w:val="24"/>
        </w:rPr>
        <w:t>ubjek dengan subjek laki-laki 4</w:t>
      </w:r>
      <w:r w:rsidR="00DC6426" w:rsidRPr="0035519F">
        <w:rPr>
          <w:rFonts w:ascii="Arial" w:hAnsi="Arial" w:cs="Arial"/>
          <w:sz w:val="24"/>
          <w:szCs w:val="24"/>
        </w:rPr>
        <w:t>1</w:t>
      </w:r>
      <w:r w:rsidR="00D2336E" w:rsidRPr="0035519F">
        <w:rPr>
          <w:rFonts w:ascii="Arial" w:hAnsi="Arial" w:cs="Arial"/>
          <w:sz w:val="24"/>
          <w:szCs w:val="24"/>
        </w:rPr>
        <w:t xml:space="preserve"> orang dan subjek perempuan 4</w:t>
      </w:r>
      <w:r w:rsidR="00DC6426" w:rsidRPr="0035519F">
        <w:rPr>
          <w:rFonts w:ascii="Arial" w:hAnsi="Arial" w:cs="Arial"/>
          <w:sz w:val="24"/>
          <w:szCs w:val="24"/>
        </w:rPr>
        <w:t>7</w:t>
      </w:r>
      <w:r w:rsidRPr="0035519F">
        <w:rPr>
          <w:rFonts w:ascii="Arial" w:hAnsi="Arial" w:cs="Arial"/>
          <w:sz w:val="24"/>
          <w:szCs w:val="24"/>
        </w:rPr>
        <w:t xml:space="preserve"> orang. Subje</w:t>
      </w:r>
      <w:r w:rsidR="00D2336E" w:rsidRPr="0035519F">
        <w:rPr>
          <w:rFonts w:ascii="Arial" w:hAnsi="Arial" w:cs="Arial"/>
          <w:sz w:val="24"/>
          <w:szCs w:val="24"/>
        </w:rPr>
        <w:t>k terbagi menjadi 2 kelompok, 44</w:t>
      </w:r>
      <w:r w:rsidRPr="0035519F">
        <w:rPr>
          <w:rFonts w:ascii="Arial" w:hAnsi="Arial" w:cs="Arial"/>
          <w:sz w:val="24"/>
          <w:szCs w:val="24"/>
        </w:rPr>
        <w:t xml:space="preserve"> subjek den</w:t>
      </w:r>
      <w:r w:rsidR="00D2336E" w:rsidRPr="0035519F">
        <w:rPr>
          <w:rFonts w:ascii="Arial" w:hAnsi="Arial" w:cs="Arial"/>
          <w:sz w:val="24"/>
          <w:szCs w:val="24"/>
        </w:rPr>
        <w:t xml:space="preserve">gan obesitas </w:t>
      </w:r>
      <w:r w:rsidR="0005295A" w:rsidRPr="0035519F">
        <w:rPr>
          <w:rFonts w:ascii="Arial" w:hAnsi="Arial" w:cs="Arial"/>
          <w:sz w:val="24"/>
          <w:szCs w:val="24"/>
        </w:rPr>
        <w:t>sentral</w:t>
      </w:r>
      <w:r w:rsidR="00D2336E" w:rsidRPr="0035519F">
        <w:rPr>
          <w:rFonts w:ascii="Arial" w:hAnsi="Arial" w:cs="Arial"/>
          <w:sz w:val="24"/>
          <w:szCs w:val="24"/>
        </w:rPr>
        <w:t xml:space="preserve"> dan 44</w:t>
      </w:r>
      <w:r w:rsidRPr="0035519F">
        <w:rPr>
          <w:rFonts w:ascii="Arial" w:hAnsi="Arial" w:cs="Arial"/>
          <w:sz w:val="24"/>
          <w:szCs w:val="24"/>
        </w:rPr>
        <w:t xml:space="preserve"> subjek tanpa obesitas </w:t>
      </w:r>
      <w:r w:rsidR="0005295A" w:rsidRPr="0035519F">
        <w:rPr>
          <w:rFonts w:ascii="Arial" w:hAnsi="Arial" w:cs="Arial"/>
          <w:sz w:val="24"/>
          <w:szCs w:val="24"/>
        </w:rPr>
        <w:t>sentral</w:t>
      </w:r>
      <w:r w:rsidR="00075F6C" w:rsidRPr="0035519F">
        <w:rPr>
          <w:rFonts w:ascii="Arial" w:hAnsi="Arial" w:cs="Arial"/>
          <w:sz w:val="24"/>
          <w:szCs w:val="24"/>
        </w:rPr>
        <w:t>. Umur subjek antara 22</w:t>
      </w:r>
      <w:r w:rsidRPr="0035519F">
        <w:rPr>
          <w:rFonts w:ascii="Arial" w:hAnsi="Arial" w:cs="Arial"/>
          <w:sz w:val="24"/>
          <w:szCs w:val="24"/>
        </w:rPr>
        <w:t>-</w:t>
      </w:r>
      <w:r w:rsidR="00075F6C" w:rsidRPr="0035519F">
        <w:rPr>
          <w:rFonts w:ascii="Arial" w:hAnsi="Arial" w:cs="Arial"/>
          <w:sz w:val="24"/>
          <w:szCs w:val="24"/>
        </w:rPr>
        <w:t xml:space="preserve">49 </w:t>
      </w:r>
      <w:r w:rsidR="00DC6426" w:rsidRPr="0035519F">
        <w:rPr>
          <w:rFonts w:ascii="Arial" w:hAnsi="Arial" w:cs="Arial"/>
          <w:sz w:val="24"/>
          <w:szCs w:val="24"/>
        </w:rPr>
        <w:t>tahun dengan rerata 31,39 ± 4,65</w:t>
      </w:r>
      <w:r w:rsidRPr="0035519F">
        <w:rPr>
          <w:rFonts w:ascii="Arial" w:hAnsi="Arial" w:cs="Arial"/>
          <w:sz w:val="24"/>
          <w:szCs w:val="24"/>
        </w:rPr>
        <w:t xml:space="preserve"> tahun. </w:t>
      </w:r>
      <w:r w:rsidR="00BA51F5" w:rsidRPr="0035519F">
        <w:rPr>
          <w:rFonts w:ascii="Arial" w:hAnsi="Arial" w:cs="Arial"/>
          <w:sz w:val="24"/>
          <w:szCs w:val="24"/>
        </w:rPr>
        <w:t xml:space="preserve">Prevalensi obesitas </w:t>
      </w:r>
      <w:r w:rsidR="00E1160D" w:rsidRPr="0035519F">
        <w:rPr>
          <w:rFonts w:ascii="Arial" w:hAnsi="Arial" w:cs="Arial"/>
          <w:sz w:val="24"/>
          <w:szCs w:val="24"/>
        </w:rPr>
        <w:t xml:space="preserve">secara global </w:t>
      </w:r>
      <w:r w:rsidR="00A364B3" w:rsidRPr="0035519F">
        <w:rPr>
          <w:rFonts w:ascii="Arial" w:hAnsi="Arial" w:cs="Arial"/>
          <w:sz w:val="24"/>
          <w:szCs w:val="24"/>
        </w:rPr>
        <w:t xml:space="preserve">meningkat sebanyak 13% pada dewasa ≥ 18 tahun pada tahun 2016 </w:t>
      </w:r>
      <w:r w:rsidR="00E1160D" w:rsidRPr="0035519F">
        <w:rPr>
          <w:rFonts w:ascii="Arial" w:hAnsi="Arial" w:cs="Arial"/>
          <w:sz w:val="24"/>
          <w:szCs w:val="24"/>
        </w:rPr>
        <w:fldChar w:fldCharType="begin" w:fldLock="1"/>
      </w:r>
      <w:r w:rsidR="00185A17" w:rsidRPr="0035519F">
        <w:rPr>
          <w:rFonts w:ascii="Arial" w:hAnsi="Arial" w:cs="Arial"/>
          <w:sz w:val="24"/>
          <w:szCs w:val="24"/>
        </w:rPr>
        <w:instrText>ADDIN CSL_CITATION {"citationItems":[{"id":"ITEM-1","itemData":{"URL":"https://www.who.int/news-room/fact-sheets/detail/obesity-and-overweight","abstract":"Worldwide obesity has nearly tripled since 1975. In 2016, more than 1.9 billion adults, 18 years and older, were overweight. Of these over 650 million were obese. 39% of adults aged 18 years and over were overweight in 2016, and 13% were obese. Most of the world's population live in countries where overweight and obesity kills more people than underweight. 39 million children under the age of 5 were overweight or obese in 2020. Over 340 million children and adolescents aged 5-19 were overweight or obese in 2016. Obesity is preventable.","accessed":{"date-parts":[["2021","12","15"]]},"author":[{"dropping-particle":"","family":"WHO","given":"","non-dropping-particle":"","parse-names":false,"suffix":""}],"id":"ITEM-1","issued":{"date-parts":[["2021"]]},"page":"1","title":"Obesity and Overweight","type":"webpage"},"uris":["http://www.mendeley.com/documents/?uuid=88a16d3a-e4cd-37c9-8707-89df6e17496a"]}],"mendeley":{"formattedCitation":"(WHO, 2021)","plainTextFormattedCitation":"(WHO, 2021)","previouslyFormattedCitation":"(WHO, 2021)"},"properties":{"noteIndex":0},"schema":"https://github.com/citation-style-language/schema/raw/master/csl-citation.json"}</w:instrText>
      </w:r>
      <w:r w:rsidR="00E1160D" w:rsidRPr="0035519F">
        <w:rPr>
          <w:rFonts w:ascii="Arial" w:hAnsi="Arial" w:cs="Arial"/>
          <w:sz w:val="24"/>
          <w:szCs w:val="24"/>
        </w:rPr>
        <w:fldChar w:fldCharType="separate"/>
      </w:r>
      <w:r w:rsidR="00E1160D" w:rsidRPr="0035519F">
        <w:rPr>
          <w:rFonts w:ascii="Arial" w:hAnsi="Arial" w:cs="Arial"/>
          <w:noProof/>
          <w:sz w:val="24"/>
          <w:szCs w:val="24"/>
        </w:rPr>
        <w:t>(WHO, 2021)</w:t>
      </w:r>
      <w:r w:rsidR="00E1160D" w:rsidRPr="0035519F">
        <w:rPr>
          <w:rFonts w:ascii="Arial" w:hAnsi="Arial" w:cs="Arial"/>
          <w:sz w:val="24"/>
          <w:szCs w:val="24"/>
        </w:rPr>
        <w:fldChar w:fldCharType="end"/>
      </w:r>
      <w:r w:rsidR="00E1160D" w:rsidRPr="0035519F">
        <w:rPr>
          <w:rFonts w:ascii="Arial" w:hAnsi="Arial" w:cs="Arial"/>
          <w:sz w:val="24"/>
          <w:szCs w:val="24"/>
        </w:rPr>
        <w:t>. Sementara itu, di Indonesia p</w:t>
      </w:r>
      <w:r w:rsidRPr="0035519F">
        <w:rPr>
          <w:rFonts w:ascii="Arial" w:hAnsi="Arial" w:cs="Arial"/>
          <w:sz w:val="24"/>
          <w:szCs w:val="24"/>
        </w:rPr>
        <w:t xml:space="preserve">eningkatan </w:t>
      </w:r>
      <w:r w:rsidR="00E1160D" w:rsidRPr="0035519F">
        <w:rPr>
          <w:rFonts w:ascii="Arial" w:hAnsi="Arial" w:cs="Arial"/>
          <w:sz w:val="24"/>
          <w:szCs w:val="24"/>
        </w:rPr>
        <w:t xml:space="preserve">prevalensi </w:t>
      </w:r>
      <w:r w:rsidRPr="0035519F">
        <w:rPr>
          <w:rFonts w:ascii="Arial" w:hAnsi="Arial" w:cs="Arial"/>
          <w:sz w:val="24"/>
          <w:szCs w:val="24"/>
        </w:rPr>
        <w:t>obesitas sentral pada dewasa berumur &gt; 15 tahun pada tahun 2007 sebesar 18,8 % meningkat menjadi 26,6 % tahun 2013 dan</w:t>
      </w:r>
      <w:r w:rsidR="00075F6C" w:rsidRPr="0035519F">
        <w:rPr>
          <w:rFonts w:ascii="Arial" w:hAnsi="Arial" w:cs="Arial"/>
          <w:sz w:val="24"/>
          <w:szCs w:val="24"/>
        </w:rPr>
        <w:t xml:space="preserve"> </w:t>
      </w:r>
      <w:r w:rsidRPr="0035519F">
        <w:rPr>
          <w:rFonts w:ascii="Arial" w:hAnsi="Arial" w:cs="Arial"/>
          <w:sz w:val="24"/>
          <w:szCs w:val="24"/>
        </w:rPr>
        <w:t>meningkat menjadi 31 % (Riskesdas, 2018).</w:t>
      </w:r>
    </w:p>
    <w:p w14:paraId="0977AB3C" w14:textId="351A0F1A" w:rsidR="00FD1C9C" w:rsidRPr="0035519F" w:rsidRDefault="00033106" w:rsidP="00891FA6">
      <w:pPr>
        <w:pStyle w:val="ListParagraph"/>
        <w:spacing w:line="480" w:lineRule="auto"/>
        <w:ind w:left="0" w:right="18" w:firstLine="630"/>
        <w:jc w:val="both"/>
        <w:rPr>
          <w:rFonts w:ascii="Arial" w:hAnsi="Arial" w:cs="Arial"/>
          <w:sz w:val="24"/>
          <w:szCs w:val="24"/>
        </w:rPr>
      </w:pPr>
      <w:r w:rsidRPr="0035519F">
        <w:rPr>
          <w:rFonts w:ascii="Arial" w:hAnsi="Arial" w:cs="Arial"/>
          <w:sz w:val="24"/>
          <w:szCs w:val="24"/>
        </w:rPr>
        <w:t>Survey oleh CDC 2018-2020 pada 50 negara bagian Amerika Serikat menunjukkan dewasa muda telah memiliki kemungkinan mengalami obesitas setengah kali lipat dibanding dewasa tua. Dewasa muda berusia 18-24 tahun memiliki prevalensi obesitas sebesar 19,5%, sedangkan pada dewasa berusia 45-54 tahun yang memiliki prevalensi tertinggi yaitu sebesar 38,1%</w:t>
      </w:r>
      <w:r w:rsidR="00185A17" w:rsidRPr="0035519F">
        <w:rPr>
          <w:rFonts w:ascii="Arial" w:hAnsi="Arial" w:cs="Arial"/>
          <w:sz w:val="24"/>
          <w:szCs w:val="24"/>
        </w:rPr>
        <w:fldChar w:fldCharType="begin" w:fldLock="1"/>
      </w:r>
      <w:r w:rsidR="001500DE" w:rsidRPr="0035519F">
        <w:rPr>
          <w:rFonts w:ascii="Arial" w:hAnsi="Arial" w:cs="Arial"/>
          <w:sz w:val="24"/>
          <w:szCs w:val="24"/>
        </w:rPr>
        <w:instrText>ADDIN CSL_CITATION {"citationItems":[{"id":"ITEM-1","itemData":{"author":[{"dropping-particle":"","family":"CDC","given":"","non-dropping-particle":"","parse-names":false,"suffix":""},{"dropping-particle":"","family":"DNPAO","given":"","non-dropping-particle":"","parse-names":false,"suffix":""}],"container-title":"Overweight and Obesity","id":"ITEM-1","issued":{"date-parts":[["2017"]]},"title":"Adult Obesity Prevalence Maps | Overweight &amp; Obesity | CDC","type":"article"},"uris":["http://www.mendeley.com/documents/?uuid=4646496a-e1d6-3595-97c8-a2abc00c2971"]}],"mendeley":{"formattedCitation":"(CDC and DNPAO, 2017)","plainTextFormattedCitation":"(CDC and DNPAO, 2017)","previouslyFormattedCitation":"(CDC and DNPAO, 2017)"},"properties":{"noteIndex":0},"schema":"https://github.com/citation-style-language/schema/raw/master/csl-citation.json"}</w:instrText>
      </w:r>
      <w:r w:rsidR="00185A17" w:rsidRPr="0035519F">
        <w:rPr>
          <w:rFonts w:ascii="Arial" w:hAnsi="Arial" w:cs="Arial"/>
          <w:sz w:val="24"/>
          <w:szCs w:val="24"/>
        </w:rPr>
        <w:fldChar w:fldCharType="separate"/>
      </w:r>
      <w:r w:rsidR="00185A17" w:rsidRPr="0035519F">
        <w:rPr>
          <w:rFonts w:ascii="Arial" w:hAnsi="Arial" w:cs="Arial"/>
          <w:noProof/>
          <w:sz w:val="24"/>
          <w:szCs w:val="24"/>
        </w:rPr>
        <w:t>(CDC and DNPAO, 2017)</w:t>
      </w:r>
      <w:r w:rsidR="00185A17" w:rsidRPr="0035519F">
        <w:rPr>
          <w:rFonts w:ascii="Arial" w:hAnsi="Arial" w:cs="Arial"/>
          <w:sz w:val="24"/>
          <w:szCs w:val="24"/>
        </w:rPr>
        <w:fldChar w:fldCharType="end"/>
      </w:r>
      <w:r w:rsidRPr="0035519F">
        <w:rPr>
          <w:rFonts w:ascii="Arial" w:hAnsi="Arial" w:cs="Arial"/>
          <w:sz w:val="24"/>
          <w:szCs w:val="24"/>
        </w:rPr>
        <w:t>.</w:t>
      </w:r>
    </w:p>
    <w:p w14:paraId="43C21AAF" w14:textId="77777777" w:rsidR="007F1E64" w:rsidRPr="0035519F" w:rsidRDefault="007F1E64" w:rsidP="00891FA6">
      <w:pPr>
        <w:pStyle w:val="ListParagraph"/>
        <w:spacing w:line="480" w:lineRule="auto"/>
        <w:ind w:left="0" w:right="18" w:firstLine="630"/>
        <w:jc w:val="both"/>
        <w:rPr>
          <w:rFonts w:ascii="Arial" w:hAnsi="Arial" w:cs="Arial"/>
          <w:sz w:val="24"/>
          <w:szCs w:val="24"/>
        </w:rPr>
      </w:pPr>
    </w:p>
    <w:p w14:paraId="28416A20" w14:textId="77777777" w:rsidR="00B861DE" w:rsidRPr="0035519F" w:rsidRDefault="00B861DE" w:rsidP="002C5221">
      <w:pPr>
        <w:pStyle w:val="ListParagraph"/>
        <w:numPr>
          <w:ilvl w:val="0"/>
          <w:numId w:val="38"/>
        </w:numPr>
        <w:spacing w:line="480" w:lineRule="auto"/>
        <w:ind w:left="270" w:right="18"/>
        <w:jc w:val="both"/>
        <w:rPr>
          <w:rFonts w:ascii="Arial" w:hAnsi="Arial" w:cs="Arial"/>
          <w:b/>
          <w:sz w:val="24"/>
          <w:szCs w:val="24"/>
        </w:rPr>
      </w:pPr>
      <w:r w:rsidRPr="0035519F">
        <w:rPr>
          <w:rFonts w:ascii="Arial" w:hAnsi="Arial" w:cs="Arial"/>
          <w:b/>
          <w:sz w:val="24"/>
          <w:szCs w:val="24"/>
        </w:rPr>
        <w:t>Perbandingan HOMA-IR pada Kelompok dengan dan tanpa Obesitas Sentral.</w:t>
      </w:r>
    </w:p>
    <w:p w14:paraId="70910E36" w14:textId="5DB6F3F9" w:rsidR="00B861DE" w:rsidRPr="0035519F" w:rsidRDefault="00B861DE" w:rsidP="00B861DE">
      <w:pPr>
        <w:pStyle w:val="ListParagraph"/>
        <w:spacing w:line="480" w:lineRule="auto"/>
        <w:ind w:left="270" w:right="18" w:firstLine="450"/>
        <w:jc w:val="both"/>
        <w:rPr>
          <w:rFonts w:ascii="Arial" w:hAnsi="Arial" w:cs="Arial"/>
          <w:sz w:val="24"/>
          <w:szCs w:val="24"/>
        </w:rPr>
      </w:pPr>
      <w:r w:rsidRPr="0035519F">
        <w:rPr>
          <w:rFonts w:ascii="Arial" w:hAnsi="Arial" w:cs="Arial"/>
          <w:sz w:val="24"/>
          <w:szCs w:val="24"/>
        </w:rPr>
        <w:t>Terdapat perbedaan rerata nilai HOMA</w:t>
      </w:r>
      <w:r w:rsidR="009768AE" w:rsidRPr="0035519F">
        <w:rPr>
          <w:rFonts w:ascii="Arial" w:hAnsi="Arial" w:cs="Arial"/>
          <w:sz w:val="24"/>
          <w:szCs w:val="24"/>
        </w:rPr>
        <w:t>-</w:t>
      </w:r>
      <w:r w:rsidRPr="0035519F">
        <w:rPr>
          <w:rFonts w:ascii="Arial" w:hAnsi="Arial" w:cs="Arial"/>
          <w:sz w:val="24"/>
          <w:szCs w:val="24"/>
        </w:rPr>
        <w:t xml:space="preserve">IR pada kelompok dengan obesitas sentral dibandingkan dengan kelompok tanpa obesitas sentral. Rerata nilai HOMA-IR pada kelompok obesitas sentral 3,24 lebih tinggi dibandingkan dengan rerata nilai HOMA-IR pada kelompok tanpa obesitas sentral yaitu 1,47 dan secara statistik menunjukkan perbedaan </w:t>
      </w:r>
      <w:r w:rsidRPr="0035519F">
        <w:rPr>
          <w:rFonts w:ascii="Arial" w:hAnsi="Arial" w:cs="Arial"/>
          <w:sz w:val="24"/>
          <w:szCs w:val="24"/>
        </w:rPr>
        <w:lastRenderedPageBreak/>
        <w:t>yang signifikan (p&lt;0.001). Hasil ini sejalan dengan penelitian yang dilakukan oleh Kurniawan et al, melaporkan bahwa indeks HOMA-IR pada pria dengan obesitas sentral lebih tinggi dibandingkan tanpa obesitas sentral (Kurniawan, Adnan and Mulyono, 2020).</w:t>
      </w:r>
    </w:p>
    <w:p w14:paraId="07DB1D7D" w14:textId="77777777" w:rsidR="00B861DE" w:rsidRPr="0035519F" w:rsidRDefault="00B861DE" w:rsidP="00B861DE">
      <w:pPr>
        <w:pStyle w:val="ListParagraph"/>
        <w:spacing w:line="480" w:lineRule="auto"/>
        <w:ind w:left="270" w:right="18"/>
        <w:jc w:val="both"/>
        <w:rPr>
          <w:rFonts w:ascii="Arial" w:hAnsi="Arial" w:cs="Arial"/>
          <w:sz w:val="24"/>
          <w:szCs w:val="24"/>
        </w:rPr>
      </w:pPr>
      <w:r w:rsidRPr="0035519F">
        <w:rPr>
          <w:rFonts w:ascii="Arial" w:hAnsi="Arial" w:cs="Arial"/>
          <w:sz w:val="24"/>
          <w:szCs w:val="24"/>
        </w:rPr>
        <w:t xml:space="preserve"> </w:t>
      </w:r>
      <w:r w:rsidRPr="0035519F">
        <w:rPr>
          <w:rFonts w:ascii="Arial" w:hAnsi="Arial" w:cs="Arial"/>
          <w:sz w:val="24"/>
          <w:szCs w:val="24"/>
        </w:rPr>
        <w:tab/>
        <w:t xml:space="preserve">Penelitian oleh Tabata et al, juga menemukan bahwa HOMA-IR lebih tinggi pada subjek seiring peningkatan lingkar pinggang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{"citationItems":[{"id":"ITEM-1","itemData":{"DOI":"10.1186/1472-6823-9-1","abstract":"BACKGROUND: Visceral obesity is positively related to insulin resistance. The nature of the relationship between waist circumference and insulin resistance has not been known in Japanese populations. This study examined the relationship between waist circumference and insulin resistance and evaluated the optimal cutoff point for waist circumference in relation to insulin resistance in middle-aged Japanese men. METHODS: Study subjects included 4800 Japanese men aged 39 to 60 years. Insulin resistance was evaluated by the homeostasis model assessment of insulin resistance (HOMA-IR). The relationship of waist circumference with HOMA-IR was assessed by use of adjusted means of HOMA-IR and odds ratios of elevated HOMA-IR defined as the highest quintile (&gt;or=2.00). Receiver operating characteristics (ROC) curve analysis using Youden index and the area under curve (AUC) was employed to determine optimal cutoffs of waist circumference in relation to HOMA-IR. RESULTS: Adjusted geometric means of HOMA-IR and prevalence odds of elevated HOMA-IR were progressively higher with increasing levels of waist circumference. In the ROC curve analysis, the highest value of Youden index was obtained for a cutoff point of 85 cm in waist circumference across different values of HOMA-IR. Multiple logistic regression analysis also indicated that the AUC was consistently the largest for a waist circumference of 85 cm. CONCLUSION: Waist circumference is linearly related to insulin resistance, and 85 cm in waist circumference is an optimal cutoff in predicting insulin resistance in middle-aged Japanese men.","author":[{"dropping-particle":"","family":"Tabata","given":"Shinji","non-dropping-particle":"","parse-names":false,"suffix":""},{"dropping-particle":"","family":"Yoshimitsu","given":"Shinichiro","non-dropping-particle":"","parse-names":false,"suffix":""},{"dropping-particle":"","family":"Hamachi","given":"Tadamichi","non-dropping-particle":"","parse-names":false,"suffix":""},{"dropping-particle":"","family":"Abe","given":"Hiroshi","non-dropping-particle":"","parse-names":false,"suffix":""},{"dropping-particle":"","family":"Ohnaka","given":"Keizo","non-dropping-particle":"","parse-names":false,"suffix":""},{"dropping-particle":"","family":"Kono","given":"Suminori","non-dropping-particle":"","parse-names":false,"suffix":""}],"container-title":"BMC Endocrine Disorders","id":"ITEM-1","issue":"1","issued":{"date-parts":[["2009","12"]]},"publisher":"Springer Nature","title":"Waist circumference and insulin resistance: a cross-sectional study of Japanese men","type":"article-journal","volume":"9"},"uris":["http://www.mendeley.com/documents/?uuid=e4f9416f-f7a0-3480-8ea6-886ad0e1fae0"]}],"mendeley":{"formattedCitation":"(Tabata &lt;i&gt;et al.&lt;/i&gt;, 2009)","plainTextFormattedCitation":"(Tabata et al., 2009)","previouslyFormattedCitation":"(Tabata &lt;i&gt;et al.&lt;/i&gt;, 2009)"},"properties":{"noteIndex":0},"schema":"https://github.com/citation-style-language/schema/raw/master/csl-citation.json"}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(Tabata </w:t>
      </w:r>
      <w:r w:rsidRPr="0035519F">
        <w:rPr>
          <w:rFonts w:ascii="Arial" w:hAnsi="Arial" w:cs="Arial"/>
          <w:i/>
          <w:noProof/>
          <w:sz w:val="24"/>
          <w:szCs w:val="24"/>
        </w:rPr>
        <w:t>et al.</w:t>
      </w:r>
      <w:r w:rsidRPr="0035519F">
        <w:rPr>
          <w:rFonts w:ascii="Arial" w:hAnsi="Arial" w:cs="Arial"/>
          <w:noProof/>
          <w:sz w:val="24"/>
          <w:szCs w:val="24"/>
        </w:rPr>
        <w:t>, 2009)</w:t>
      </w:r>
      <w:r w:rsidRPr="0035519F">
        <w:rPr>
          <w:rFonts w:ascii="Arial" w:hAnsi="Arial" w:cs="Arial"/>
          <w:sz w:val="24"/>
          <w:szCs w:val="24"/>
        </w:rPr>
        <w:fldChar w:fldCharType="end"/>
      </w:r>
      <w:r w:rsidRPr="0035519F">
        <w:rPr>
          <w:rFonts w:ascii="Arial" w:hAnsi="Arial" w:cs="Arial"/>
          <w:sz w:val="24"/>
          <w:szCs w:val="24"/>
        </w:rPr>
        <w:t xml:space="preserve">. Penelitian oleh Cho et al juga menyatakan bahwa terjadi peningkatan nilai HOMA-IR pada subjek dengan obesitas sentral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{"citationItems":[{"id":"ITEM-1","itemData":{"DOI":"10.1155/2015/158758","ISSN":"16878345","abstract":"Background. To evaluate insulin resistance of normal weight central obese 13-18-year-old male and female adolescents stratified by waist to height ratio (WHR). Methods. Data were obtained from the Korea National Health and Nutrition Examination Survey (K-NHANES) conducted during 2008-2010. Central obesity was defined as that in the upper quartile of age and sex specific WHR. Subjects were classified into no central obesity normal weight (NW), central obesity normal weight (CONW), no central obesity overweight (OW), and central obesity overweight (COOW). Results. The prevalence of CONW was 9.6% (83/832) in female and 7.0% (61/909) in male. CONW showed higher levels of insulin (P&lt;0.006), HOMA-IR (P&lt;0.006), and ALT (P&lt;0.001) than NW in female. CONW had higher levels of insulin (P&lt;0.0001), HOMA-IR (P&lt;0.0001), and WBC count (P&lt;0.021) and lower level of HDL (P&lt;0.0001) than NW in male. WHR and BMI had similar significant correlations with MS components. CONW showed 2.5 times (95% confidence interval, 1.21-5.00) more likelihood to have high insulin resistance than NW in male. Conclusions. Screening for central obesity using WHR in clinical setting is recommended.","author":[{"dropping-particle":"","family":"Cho","given":"Won Kyoung","non-dropping-particle":"","parse-names":false,"suffix":""},{"dropping-particle":"","family":"Kim","given":"Hyojin","non-dropping-particle":"","parse-names":false,"suffix":""},{"dropping-particle":"","family":"Lee","given":"Hyun Young","non-dropping-particle":"","parse-names":false,"suffix":""},{"dropping-particle":"Do","family":"Han","given":"Kyung","non-dropping-particle":"","parse-names":false,"suffix":""},{"dropping-particle":"","family":"Jeon","given":"Yeon Jin","non-dropping-particle":"","parse-names":false,"suffix":""},{"dropping-particle":"","family":"Jung","given":"In Ah","non-dropping-particle":"","parse-names":false,"suffix":""},{"dropping-particle":"","family":"Kim","given":"Shin Hee","non-dropping-particle":"","parse-names":false,"suffix":""},{"dropping-particle":"","family":"Cho","given":"Kyoung Soon","non-dropping-particle":"","parse-names":false,"suffix":""},{"dropping-particle":"","family":"Park","given":"So Hyun","non-dropping-particle":"","parse-names":false,"suffix":""},{"dropping-particle":"","family":"Jung","given":"Min Ho","non-dropping-particle":"","parse-names":false,"suffix":""},{"dropping-particle":"","family":"Suh","given":"Byung Kyu","non-dropping-particle":"","parse-names":false,"suffix":""}],"container-title":"International Journal of Endocrinology","id":"ITEM-1","issued":{"date-parts":[["2015"]]},"publisher":"Hindawi Publishing Corporation","title":"Insulin Resistance of Normal Weight Central Obese Adolescents in Korea Stratified by Waist to Height Ratio: Results from the Korea National Health and Nutrition Examination Surveys 2008-2010","type":"article-journal","volume":"2015"},"uris":["http://www.mendeley.com/documents/?uuid=e9584874-3dfd-3c56-8623-b19f27c47642"]}],"mendeley":{"formattedCitation":"(Cho &lt;i&gt;et al.&lt;/i&gt;, 2015)","plainTextFormattedCitation":"(Cho et al., 2015)","previouslyFormattedCitation":"(Cho &lt;i&gt;et al.&lt;/i&gt;, 2015)"},"properties":{"noteIndex":0},"schema":"https://github.com/citation-style-language/schema/raw/master/csl-citation.json"}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(Cho </w:t>
      </w:r>
      <w:r w:rsidRPr="0035519F">
        <w:rPr>
          <w:rFonts w:ascii="Arial" w:hAnsi="Arial" w:cs="Arial"/>
          <w:i/>
          <w:noProof/>
          <w:sz w:val="24"/>
          <w:szCs w:val="24"/>
        </w:rPr>
        <w:t>et al.</w:t>
      </w:r>
      <w:r w:rsidRPr="0035519F">
        <w:rPr>
          <w:rFonts w:ascii="Arial" w:hAnsi="Arial" w:cs="Arial"/>
          <w:noProof/>
          <w:sz w:val="24"/>
          <w:szCs w:val="24"/>
        </w:rPr>
        <w:t>, 2015)</w:t>
      </w:r>
      <w:r w:rsidRPr="0035519F">
        <w:rPr>
          <w:rFonts w:ascii="Arial" w:hAnsi="Arial" w:cs="Arial"/>
          <w:sz w:val="24"/>
          <w:szCs w:val="24"/>
        </w:rPr>
        <w:fldChar w:fldCharType="end"/>
      </w:r>
      <w:r w:rsidRPr="0035519F">
        <w:rPr>
          <w:rFonts w:ascii="Arial" w:hAnsi="Arial" w:cs="Arial"/>
          <w:sz w:val="24"/>
          <w:szCs w:val="24"/>
        </w:rPr>
        <w:t xml:space="preserve">. </w:t>
      </w:r>
    </w:p>
    <w:p w14:paraId="7C06FF3A" w14:textId="63989039" w:rsidR="00B861DE" w:rsidRPr="0035519F" w:rsidRDefault="00B861DE" w:rsidP="00B861DE">
      <w:pPr>
        <w:pStyle w:val="ListParagraph"/>
        <w:spacing w:line="480" w:lineRule="auto"/>
        <w:ind w:left="270" w:right="18" w:firstLine="450"/>
        <w:jc w:val="both"/>
        <w:rPr>
          <w:rFonts w:ascii="Arial" w:hAnsi="Arial" w:cs="Arial"/>
          <w:sz w:val="24"/>
          <w:szCs w:val="24"/>
        </w:rPr>
      </w:pPr>
      <w:r w:rsidRPr="0035519F">
        <w:rPr>
          <w:rFonts w:ascii="Arial" w:hAnsi="Arial" w:cs="Arial"/>
          <w:sz w:val="24"/>
          <w:szCs w:val="24"/>
        </w:rPr>
        <w:t>Selama lebih dari dua dekade, obesitas sentral telah berulang kali dikaitkan dengan resistensi insulin dan DM tipe 2. Obesitas terjadi akibat surplus kalori pada sel</w:t>
      </w:r>
      <w:r w:rsidR="00C64EDA" w:rsidRPr="0035519F">
        <w:rPr>
          <w:rFonts w:ascii="Arial" w:hAnsi="Arial" w:cs="Arial"/>
          <w:sz w:val="24"/>
          <w:szCs w:val="24"/>
        </w:rPr>
        <w:t xml:space="preserve"> yang</w:t>
      </w:r>
      <w:r w:rsidRPr="0035519F">
        <w:rPr>
          <w:rFonts w:ascii="Arial" w:hAnsi="Arial" w:cs="Arial"/>
          <w:sz w:val="24"/>
          <w:szCs w:val="24"/>
        </w:rPr>
        <w:t xml:space="preserve"> menyebabkan terjadinya resistensi insulin</w:t>
      </w:r>
      <w:r w:rsidR="00502F4D" w:rsidRPr="0035519F">
        <w:rPr>
          <w:rFonts w:ascii="Arial" w:hAnsi="Arial" w:cs="Arial"/>
          <w:sz w:val="24"/>
          <w:szCs w:val="24"/>
        </w:rPr>
        <w:t xml:space="preserve">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{"citationItems":[{"id":"ITEM-1","itemData":{"DOI":"10.1152/physrev.00033.2011","ISSN":"00319333","PMID":"23303913","abstract":"Excess intra-abdominal adipose tissue accumulation, often termed visceral obesity, is part of a phenotype including dysfunctional subcutaneous adipose tissue expansion and ectopic triglyceride storage closely related to clustering cardiometabolic risk factors. Hypertri-glyceridemia; increased free fatty acid availability; adipose tissue release of proinflammatory cyto-kines; liver insulin resistance and inflammation; increased liver VLDL synthesis and secretion; reduced clearance of triglyceride-rich lipoproteins; presence of small, dense LDL particles; and reduced HDL cholesterol levels are among the many metabolic alterations closely related to this condition. Age, gender, genetics, and ethnicity are broad etiological factors contributing to varia-tion in visceral adipose tissue accumulation. Specific mechanisms responsible for proportionally increased visceral fat storage when facing positive energy balance and weight gain may involve sex hormones, local cortisol production in abdominal adipose tissues, endocannabinoids, growth hormone, and dietary fructose. Physiological characteristics of abdominal adipose tissues such as adipocyte size and number, lipolytic responsiveness, lipid storage capacity, and inflammatory cytokine production are significant correlates and even possible determinants of the increased cardiometabolic risk associated with visceral obesity. Thiazolidinediones, estrogen replacement in postmenopausal women, and testosterone replacement in androgen-deficient men have been shown to favorably modulate body fat distribution and cardiometabolic risk to various degrees. However, some of these therapies must now be considered in the context of their serious side effects. Lifestyle interventions leading to weight loss generally induce preferential mobilization of visceral fat. In clinical practice, measuring waist circumference in addition to the body mass index could be helpful for the identification and management of a subgroup of overweight or obese patients at high cardiometabolic risk. © 2013 the American Physiological Society.","author":[{"dropping-particle":"","family":"Tchernof","given":"André","non-dropping-particle":"","parse-names":false,"suffix":""},{"dropping-particle":"","family":"Després","given":"Jean Pierre","non-dropping-particle":"","parse-names":false,"suffix":""}],"container-title":"Physiological Reviews","id":"ITEM-1","issue":"1","issued":{"date-parts":[["2013","1","1"]]},"page":"359-404","publisher":"Physiol Rev","title":"Pathophysiology of human visceral obesity: An update","type":"article-journal","volume":"93"},"uris":["http://www.mendeley.com/documents/?uuid=ff6fec5e-f736-38aa-b699-8bf799fe1902"]}],"mendeley":{"formattedCitation":"(Tchernof and J. P. Després, 2013)","plainTextFormattedCitation":"(Tchernof and J. P. Després, 2013)","previouslyFormattedCitation":"(Tchernof and J. P. Després, 2013)"},"properties":{"noteIndex":0},"schema":"https://github.com/citation-style-language/schema/raw/master/csl-citation.json"}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(Tchernof and J. P. Després, 2013)</w:t>
      </w:r>
      <w:r w:rsidRPr="0035519F">
        <w:rPr>
          <w:rFonts w:ascii="Arial" w:hAnsi="Arial" w:cs="Arial"/>
          <w:sz w:val="24"/>
          <w:szCs w:val="24"/>
        </w:rPr>
        <w:fldChar w:fldCharType="end"/>
      </w:r>
      <w:r w:rsidRPr="0035519F">
        <w:rPr>
          <w:rFonts w:ascii="Arial" w:hAnsi="Arial" w:cs="Arial"/>
          <w:sz w:val="24"/>
          <w:szCs w:val="24"/>
        </w:rPr>
        <w:t xml:space="preserve">. Istilah resistensi insulin menyiratkan adanya resistensi insulin metabolik yang mencerminkan efek insulin yang tidak adekuat dalam memetabolisme glukosa. Resistensi insulin dapat terjadi akibat penghambatan jalur pensinyalan insulin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{"citationItems":[{"id":"ITEM-1","itemData":{"DOI":"10.2337/diabetes.53.11.2735","ISSN":"00121797","PMID":"15504952","abstract":"Insulin resistance is concomitant with type 2 diabetes, obesity, hypertension, and other features of the metabolic syndrome. Because insulin resistance is associated with cardiovascular disease, both scientists and physicians have taken great interest in this disorder. Insulin resistance is associated with compensatory hyperinsulinemia, but individual contributions of either of these two conditions remain incompletely understood and a subject of intense investigation. One possibility is that in an attempt to overcome the inhibition within the metabolic insulin-signaling pathway, hyperinsulinemia may continue to stimulate the mitogenic insulin-signaling pathway, thus exerting its detrimental influence. Here we discuss some of the effects of insulin resistance and mechanisms of potentially detrimental influence of hyperinsulinemia in the presence of metabolic insulin resistance.","author":[{"dropping-particle":"","family":"Wang","given":"Cecilia C.Low","non-dropping-particle":"","parse-names":false,"suffix":""},{"dropping-particle":"","family":"Goalstone","given":"Marc L.","non-dropping-particle":"","parse-names":false,"suffix":""},{"dropping-particle":"","family":"Draznin","given":"Boris","non-dropping-particle":"","parse-names":false,"suffix":""}],"container-title":"Diabetes","id":"ITEM-1","issue":"11","issued":{"date-parts":[["2004","11","1"]]},"page":"2735-2740","publisher":"American Diabetes Association","title":"Molecular mechanisms of insulin resistance that impact cardiovascular biology","type":"article","volume":"53"},"uris":["http://www.mendeley.com/documents/?uuid=18d1feb5-6bb4-321c-90c9-deae4a1df7ec"]}],"mendeley":{"formattedCitation":"(Wang, Goalstone and Draznin, 2004)","plainTextFormattedCitation":"(Wang, Goalstone and Draznin, 2004)","previouslyFormattedCitation":"(Wang, Goalstone and Draznin, 2004)"},"properties":{"noteIndex":0},"schema":"https://github.com/citation-style-language/schema/raw/master/csl-citation.json"}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(Wang, Goalstone and Draznin, 2004)</w:t>
      </w:r>
      <w:r w:rsidRPr="0035519F">
        <w:rPr>
          <w:rFonts w:ascii="Arial" w:hAnsi="Arial" w:cs="Arial"/>
          <w:sz w:val="24"/>
          <w:szCs w:val="24"/>
        </w:rPr>
        <w:fldChar w:fldCharType="end"/>
      </w:r>
      <w:r w:rsidRPr="0035519F">
        <w:rPr>
          <w:rFonts w:ascii="Arial" w:hAnsi="Arial" w:cs="Arial"/>
          <w:sz w:val="24"/>
          <w:szCs w:val="24"/>
        </w:rPr>
        <w:t xml:space="preserve">. Adiposit yang mengalami hipertrofi akan menyebabkan hipoksia lokal pada Retikulum Endoplasma (RE) sel, kematian adiposit, dan infiltrasi makrofag. Sekresi sitokin pro inflamasi mengakibatkan terjadinya inflamasi lokal maupun sistemik yang dapat mengganggu pensinyalan insulin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{"citationItems":[{"id":"ITEM-1","itemData":{"DOI":"10.1111/j.1467-789X.2012.01035.x","ISSN":"14677881","PMID":"23107257","abstract":"Abdominal (central) obesity strongly correlates with (hepatic) insulin resistance and type 2 diabetes. Among several hypotheses that have been formulated, the 'portal theory' proposes that the liver is directly exposed to increasing amounts of free fatty acids and pro-inflammatory factors released from visceral fat into the portal vein of obese patients, promoting the development of hepatic insulin resistance and liver steatosis. Thus, visceral obesity may be particularly hazardous in the pathogenesis of insulin resistance and type 2 diabetes. Herein, we will critically review existing evidence for a potential contribution of portally drained free fatty acids and/or cytokines to the development of hepatic insulin resistance. © 2012 International Association for the Study of Obesity.","author":[{"dropping-particle":"","family":"Item","given":"F.","non-dropping-particle":"","parse-names":false,"suffix":""},{"dropping-particle":"","family":"Konrad","given":"D.","non-dropping-particle":"","parse-names":false,"suffix":""}],"container-title":"Obesity Reviews","id":"ITEM-1","issue":"SUPPL.2","issued":{"date-parts":[["2012","12"]]},"page":"30-39","publisher":"Obes Rev","title":"Visceral fat and metabolic inflammation: The portal theory revisited","type":"article-journal","volume":"13"},"uris":["http://www.mendeley.com/documents/?uuid=04925163-f337-3ce9-bf9b-7852485a0813"]}],"mendeley":{"formattedCitation":"(Item and Konrad, 2012)","plainTextFormattedCitation":"(Item and Konrad, 2012)","previouslyFormattedCitation":"(Item and Konrad, 2012)"},"properties":{"noteIndex":0},"schema":"https://github.com/citation-style-language/schema/raw/master/csl-citation.json"}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(Item and Konrad, 2012)</w:t>
      </w:r>
      <w:r w:rsidRPr="0035519F">
        <w:rPr>
          <w:rFonts w:ascii="Arial" w:hAnsi="Arial" w:cs="Arial"/>
          <w:sz w:val="24"/>
          <w:szCs w:val="24"/>
        </w:rPr>
        <w:fldChar w:fldCharType="end"/>
      </w:r>
      <w:r w:rsidRPr="0035519F">
        <w:rPr>
          <w:rFonts w:ascii="Arial" w:hAnsi="Arial" w:cs="Arial"/>
          <w:sz w:val="24"/>
          <w:szCs w:val="24"/>
        </w:rPr>
        <w:t>.</w:t>
      </w:r>
    </w:p>
    <w:p w14:paraId="337A4477" w14:textId="77777777" w:rsidR="00B861DE" w:rsidRPr="0035519F" w:rsidRDefault="00B861DE" w:rsidP="00B861DE">
      <w:pPr>
        <w:pStyle w:val="ListParagraph"/>
        <w:spacing w:line="480" w:lineRule="auto"/>
        <w:ind w:left="270" w:right="18" w:firstLine="450"/>
        <w:jc w:val="both"/>
        <w:rPr>
          <w:rFonts w:ascii="Arial" w:hAnsi="Arial" w:cs="Arial"/>
          <w:sz w:val="24"/>
          <w:szCs w:val="24"/>
        </w:rPr>
      </w:pPr>
      <w:r w:rsidRPr="0035519F">
        <w:rPr>
          <w:rFonts w:ascii="Arial" w:hAnsi="Arial" w:cs="Arial"/>
          <w:sz w:val="24"/>
          <w:szCs w:val="24"/>
        </w:rPr>
        <w:t xml:space="preserve">Jaringan adiposa sangat rentan terhadap peradangan akibat obesitas. respon inflamasi di jaringan adiposa dimediasi oleh amplifikasi </w:t>
      </w:r>
      <w:r w:rsidRPr="0035519F">
        <w:rPr>
          <w:rFonts w:ascii="Arial" w:hAnsi="Arial" w:cs="Arial"/>
          <w:sz w:val="24"/>
          <w:szCs w:val="24"/>
        </w:rPr>
        <w:lastRenderedPageBreak/>
        <w:t xml:space="preserve">jalur pensinyalan inflamasi yang diinduksi stres seluler pada manusia. Hiperlipidemia dan hiperglikemia yang disebabkan oleh kelebihan nutrisi, lipolisis, hipoksia retikulum endoplasma dan stres oksidatif, menghasilkan aktivasi jalur pensinyalan yang responsif terhadap stres seperti JNK, protein kinase C (PKC), protein kinase R (PKR), dan penghambat NF-κB kinase (IKKβ). Selain itu fosforilasi serin pada  akan menekan pensinyalan insulin, JNK, dan PKC dan meningkatkan ekspresi gen inflamasi di jaringan target, menghasilkan peradangan dan resistensi insulin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{"citationItems":[{"id":"ITEM-1","itemData":{"DOI":"10.1007/978-3-319-89506-2_9","abstract":"Obesity is associated with a chronic low grade inflammatory state. The serum concentrations of a number of inflammatory markers, such as CRP, fibrinogen or serum amyloid A are increased. More importantly, the levels of several pro-inflammatory cytokines, including TNFα, IL-6 and leptin are significantly higher in the plasma of obese patients whereas others, such as adiponectin are reduced. The authors review here the possible role of adipose tissue, by the production of adipocyte-derived cytokines, in this inflammatory state. The observed increase in the concentrations of TNFα, IL-6 and leptin associated with the reduced concentration of adiponectin is now suspected to play a determinant role in the development of most of the complications of obesity.","author":[{"dropping-particle":"","family":"Kwon","given":"Hyokjoon","non-dropping-particle":"","parse-names":false,"suffix":""},{"dropping-particle":"","family":"Pessin","given":"Jeffrey E.","non-dropping-particle":"","parse-names":false,"suffix":""}],"container-title":"Textbook of Energy Balance, Neuropeptide Hormones, and Neuroendocrine Function","id":"ITEM-1","issued":{"date-parts":[["2018"]]},"page":"225-252","publisher":"Springer, Cham","title":"Adipokines, Inflammation, and Insulin Resistance in Obesity","type":"chapter"},"uris":["http://www.mendeley.com/documents/?uuid=861e73e4-88c1-31c8-b095-1c953691dcf1"]}],"mendeley":{"formattedCitation":"(Kwon and Pessin, 2018)","plainTextFormattedCitation":"(Kwon and Pessin, 2018)","previouslyFormattedCitation":"(Kwon and Pessin, 2018)"},"properties":{"noteIndex":0},"schema":"https://github.com/citation-style-language/schema/raw/master/csl-citation.json"}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(Kwon and Pessin, 2018)</w:t>
      </w:r>
      <w:r w:rsidRPr="0035519F">
        <w:rPr>
          <w:rFonts w:ascii="Arial" w:hAnsi="Arial" w:cs="Arial"/>
          <w:sz w:val="24"/>
          <w:szCs w:val="24"/>
        </w:rPr>
        <w:fldChar w:fldCharType="end"/>
      </w:r>
      <w:r w:rsidRPr="0035519F">
        <w:rPr>
          <w:rFonts w:ascii="Arial" w:hAnsi="Arial" w:cs="Arial"/>
          <w:sz w:val="24"/>
          <w:szCs w:val="24"/>
        </w:rPr>
        <w:t>.</w:t>
      </w:r>
    </w:p>
    <w:p w14:paraId="74A14E63" w14:textId="79F8EFFB" w:rsidR="00B861DE" w:rsidRPr="0035519F" w:rsidRDefault="00B861DE" w:rsidP="00B861DE">
      <w:pPr>
        <w:pStyle w:val="ListParagraph"/>
        <w:spacing w:line="480" w:lineRule="auto"/>
        <w:ind w:left="270" w:right="18" w:firstLine="450"/>
        <w:jc w:val="both"/>
        <w:rPr>
          <w:rFonts w:ascii="Arial" w:hAnsi="Arial" w:cs="Arial"/>
          <w:sz w:val="24"/>
          <w:szCs w:val="24"/>
          <w:shd w:val="clear" w:color="auto" w:fill="FFFFFF"/>
        </w:rPr>
      </w:pPr>
      <w:r w:rsidRPr="0035519F">
        <w:rPr>
          <w:rFonts w:ascii="Arial" w:hAnsi="Arial" w:cs="Arial"/>
          <w:sz w:val="24"/>
          <w:szCs w:val="24"/>
          <w:shd w:val="clear" w:color="auto" w:fill="FFFFFF"/>
        </w:rPr>
        <w:t xml:space="preserve">Resistensi insulin di seluruh tubuh erat hubungannya dengan </w:t>
      </w:r>
      <w:r w:rsidR="005254ED" w:rsidRPr="0035519F">
        <w:rPr>
          <w:rFonts w:ascii="Arial" w:hAnsi="Arial" w:cs="Arial"/>
          <w:sz w:val="24"/>
          <w:szCs w:val="24"/>
          <w:shd w:val="clear" w:color="auto" w:fill="FFFFFF"/>
        </w:rPr>
        <w:t xml:space="preserve">peningkatan ekspresi penanda </w:t>
      </w:r>
      <w:r w:rsidRPr="0035519F">
        <w:rPr>
          <w:rFonts w:ascii="Arial" w:hAnsi="Arial" w:cs="Arial"/>
          <w:sz w:val="24"/>
          <w:szCs w:val="24"/>
          <w:shd w:val="clear" w:color="auto" w:fill="FFFFFF"/>
        </w:rPr>
        <w:t>makrofag</w:t>
      </w:r>
      <w:r w:rsidRPr="0035519F">
        <w:rPr>
          <w:rFonts w:ascii="Arial" w:hAnsi="Arial" w:cs="Arial"/>
          <w:sz w:val="17"/>
          <w:szCs w:val="17"/>
          <w:shd w:val="clear" w:color="auto" w:fill="FFFFFF"/>
        </w:rPr>
        <w:t xml:space="preserve">. </w:t>
      </w:r>
      <w:r w:rsidRPr="0035519F">
        <w:rPr>
          <w:rFonts w:ascii="Arial" w:hAnsi="Arial" w:cs="Arial"/>
          <w:sz w:val="24"/>
          <w:szCs w:val="24"/>
          <w:shd w:val="clear" w:color="auto" w:fill="FFFFFF"/>
        </w:rPr>
        <w:t xml:space="preserve">Akumulasi makrofag pada jaringan adiposa manusia dengan obesitas apabila teraktivasi mensekresikan beragam sitokindan kemokin inflamasi yang akan mengganggu sinyal insulin dan mengakibatkan resistensi insulin. Peningkatan asam lemak bebas seperti terjadi pada  obesitas  dilaporkan  menginduksi  inflamasi  selmononuklear </w:t>
      </w:r>
      <w:r w:rsidRPr="0035519F">
        <w:rPr>
          <w:rFonts w:ascii="Arial" w:hAnsi="Arial" w:cs="Arial"/>
          <w:sz w:val="24"/>
          <w:szCs w:val="24"/>
          <w:shd w:val="clear" w:color="auto" w:fill="FFFFFF"/>
        </w:rPr>
        <w:fldChar w:fldCharType="begin" w:fldLock="1"/>
      </w:r>
      <w:r w:rsidRPr="0035519F">
        <w:rPr>
          <w:rFonts w:ascii="Arial" w:hAnsi="Arial" w:cs="Arial"/>
          <w:sz w:val="24"/>
          <w:szCs w:val="24"/>
          <w:shd w:val="clear" w:color="auto" w:fill="FFFFFF"/>
        </w:rPr>
        <w:instrText>ADDIN CSL_CITATION {"citationItems":[{"id":"ITEM-1","itemData":{"DOI":"10.2337/db07-1344","ISSN":"00121797","PMID":"18835938","abstract":"OBJECTIVE-We sought to evaluate the entire picture of all monocyte chemotactic factors that potentially contribute to adipose tissue macrophage accumulation in obesity. RESEARCH DESIGN AND METHODS-Expression and regulation of members in the entire chemokine superfamily were evaluated in adipose tissue and isolated adipocytes of obese versus lean mice. Kinetics of adipose tissue macrophage infiltration was characterized by fluorescence-activated cell sorting. The effects of fatty acids on stimulation of chemokine expression in adipocytes and underlying mechanisms were investigated. RESULTS-Six monocyte chemotactic factors were found to be predominantly upregulated in isolated adipocytes versus stromal vascular cells in obese mice for the first time, although most of them were previously reported to be upregulated in whole adipose tissue. In diet-induced obese mice, adipose tissue enlargement, increase of adipocyte number, and elevation of multiple chemokine expression precede the initiation of macrophage infiltration. Free fatty acids (FFAs) are found to be inducers for upregulating these chemokines in 3T3-L1 adipocytes, and this effect can be partially blunted by reducing Toll-like receptor 4 expression. FFAs induce expression of monocyte chemotactic factors in adipocytes via both transcription-dependent and -independent mechanisms. In contrast to the reported role of JNK as the exclusive mediator of FFA-induced monocyte chemoattrac-tant protein-1 (MCP-1) expression in macrophages, we show a novel role of inhibitor of κB kinase-β (IKKβ) in mediating FFA-induced upregulation of all six chemokines and a role of JNK in FFA-induced upregulation of MCP-1 and MCP-3. CONCLUSIONS-Multiple chemokines derived from adipocytes might contribute to obesity-related WAT macrophage infiltration with FFAs as potential triggers and involvement of both IKKβ and JNK pathways. © 2009 by the American Diabetes Association.","author":[{"dropping-particle":"","family":"Jiao","given":"Ping","non-dropping-particle":"","parse-names":false,"suffix":""},{"dropping-particle":"","family":"Chen","given":"Qiu","non-dropping-particle":"","parse-names":false,"suffix":""},{"dropping-particle":"","family":"Shah","given":"Suketu","non-dropping-particle":"","parse-names":false,"suffix":""},{"dropping-particle":"","family":"Du","given":"Jing","non-dropping-particle":"","parse-names":false,"suffix":""},{"dropping-particle":"","family":"Tao","given":"Bo","non-dropping-particle":"","parse-names":false,"suffix":""},{"dropping-particle":"","family":"Tzameli","given":"Iphigenia","non-dropping-particle":"","parse-names":false,"suffix":""},{"dropping-particle":"","family":"Yan","given":"Weiqun","non-dropping-particle":"","parse-names":false,"suffix":""},{"dropping-particle":"","family":"Xu","given":"Haiyan","non-dropping-particle":"","parse-names":false,"suffix":""}],"container-title":"Diabetes","id":"ITEM-1","issue":"1","issued":{"date-parts":[["2009","1"]]},"page":"104-115","publisher":"American Diabetes Association","title":"Obesity-related upregulation of monocyte chemotactic factors in adipocytes: Involvement of nuclear factor-κB and c-Jun NH 2-terminal kinase pathways","type":"article-journal","volume":"58"},"uris":["http://www.mendeley.com/documents/?uuid=52f8f36b-e443-36db-8e5d-2629276d1b9f"]}],"mendeley":{"formattedCitation":"(Jiao &lt;i&gt;et al.&lt;/i&gt;, 2009)","plainTextFormattedCitation":"(Jiao et al., 2009)","previouslyFormattedCitation":"(Jiao &lt;i&gt;et al.&lt;/i&gt;, 2009)"},"properties":{"noteIndex":0},"schema":"https://github.com/citation-style-language/schema/raw/master/csl-citation.json"}</w:instrText>
      </w:r>
      <w:r w:rsidRPr="0035519F">
        <w:rPr>
          <w:rFonts w:ascii="Arial" w:hAnsi="Arial" w:cs="Arial"/>
          <w:sz w:val="24"/>
          <w:szCs w:val="24"/>
          <w:shd w:val="clear" w:color="auto" w:fill="FFFFFF"/>
        </w:rPr>
        <w:fldChar w:fldCharType="separate"/>
      </w:r>
      <w:r w:rsidRPr="0035519F">
        <w:rPr>
          <w:rFonts w:ascii="Arial" w:hAnsi="Arial" w:cs="Arial"/>
          <w:noProof/>
          <w:sz w:val="24"/>
          <w:szCs w:val="24"/>
          <w:shd w:val="clear" w:color="auto" w:fill="FFFFFF"/>
        </w:rPr>
        <w:t xml:space="preserve">(Jiao </w:t>
      </w:r>
      <w:r w:rsidRPr="0035519F">
        <w:rPr>
          <w:rFonts w:ascii="Arial" w:hAnsi="Arial" w:cs="Arial"/>
          <w:i/>
          <w:noProof/>
          <w:sz w:val="24"/>
          <w:szCs w:val="24"/>
          <w:shd w:val="clear" w:color="auto" w:fill="FFFFFF"/>
        </w:rPr>
        <w:t>et al.</w:t>
      </w:r>
      <w:r w:rsidRPr="0035519F">
        <w:rPr>
          <w:rFonts w:ascii="Arial" w:hAnsi="Arial" w:cs="Arial"/>
          <w:noProof/>
          <w:sz w:val="24"/>
          <w:szCs w:val="24"/>
          <w:shd w:val="clear" w:color="auto" w:fill="FFFFFF"/>
        </w:rPr>
        <w:t>, 2009)</w:t>
      </w:r>
      <w:r w:rsidRPr="0035519F">
        <w:rPr>
          <w:rFonts w:ascii="Arial" w:hAnsi="Arial" w:cs="Arial"/>
          <w:sz w:val="24"/>
          <w:szCs w:val="24"/>
          <w:shd w:val="clear" w:color="auto" w:fill="FFFFFF"/>
        </w:rPr>
        <w:fldChar w:fldCharType="end"/>
      </w:r>
      <w:r w:rsidRPr="0035519F">
        <w:rPr>
          <w:rFonts w:ascii="Arial" w:hAnsi="Arial" w:cs="Arial"/>
          <w:sz w:val="24"/>
          <w:szCs w:val="24"/>
          <w:shd w:val="clear" w:color="auto" w:fill="FFFFFF"/>
        </w:rPr>
        <w:t xml:space="preserve">. </w:t>
      </w:r>
    </w:p>
    <w:p w14:paraId="6B491EE7" w14:textId="098FFDBD" w:rsidR="00B861DE" w:rsidRPr="0035519F" w:rsidRDefault="00B861DE" w:rsidP="00B861DE">
      <w:pPr>
        <w:pStyle w:val="ListParagraph"/>
        <w:spacing w:line="480" w:lineRule="auto"/>
        <w:ind w:left="270" w:right="18" w:firstLine="450"/>
        <w:jc w:val="both"/>
        <w:rPr>
          <w:rFonts w:ascii="Arial" w:hAnsi="Arial" w:cs="Arial"/>
          <w:sz w:val="24"/>
          <w:szCs w:val="24"/>
        </w:rPr>
      </w:pPr>
      <w:r w:rsidRPr="0035519F">
        <w:rPr>
          <w:rFonts w:ascii="Arial" w:hAnsi="Arial" w:cs="Arial"/>
          <w:sz w:val="24"/>
          <w:szCs w:val="24"/>
        </w:rPr>
        <w:t xml:space="preserve">Obesitas akan meningkatkan </w:t>
      </w:r>
      <w:r w:rsidRPr="0035519F">
        <w:rPr>
          <w:rFonts w:ascii="Arial" w:hAnsi="Arial" w:cs="Arial"/>
          <w:i/>
          <w:sz w:val="24"/>
          <w:szCs w:val="24"/>
        </w:rPr>
        <w:t>turnover</w:t>
      </w:r>
      <w:r w:rsidRPr="0035519F">
        <w:rPr>
          <w:rFonts w:ascii="Arial" w:hAnsi="Arial" w:cs="Arial"/>
          <w:sz w:val="24"/>
          <w:szCs w:val="24"/>
        </w:rPr>
        <w:t xml:space="preserve"> adiposit. Proses apoptosis yang terjadi pada obesitas juga berperan dalam akan memicu inflamasi lokal dengan adanya makrofag jaringan adiposa yang pada gilirannya juga akan berperan pada kejadian reisitensi insulin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{"citationItems":[{"id":"ITEM-1","itemData":{"DOI":"10.1038/s41419-021-03872-9","ISSN":"20414889","PMID":"34091595","abstract":"A chronic low-grade inflammation within adipose tissue (AT) seems to be the link between obesity and some of its associated diseases. One hallmark of this AT inflammation is the accumulation of AT macrophages (ATMs) around dead or dying adipocytes, forming so-called crown-like structures (CLS). To investigate the dynamics of CLS and their direct impact on the activation state of ATMs, we established a laser injury model to deplete individual adipocytes in living AT from double reporter mice (GFP-labeled ATMs and tdTomato-labeled adipocytes). Hence, we were able to detect early ATM-adipocyte interactions by live imaging and to determine a precise timeline for CLS formation after adipocyte death. Further, our data indicate metabolic activation and increased lipid metabolism in ATMs upon forming CLS. Most importantly, adipocyte death, even in lean animals under homeostatic conditions, leads to a locally confined inflammation, which is in sharp contrast to other tissues. We identified cell size as cause for the described pro-inflammatory response, as the size of adipocytes is above a critical threshold size for efferocytosis, a process for anti-inflammatory removal of dead cells during tissue homeostasis. Finally, experiments on parabiotic mice verified that adipocyte death leads to a pro-inflammatory response of resident ATMs in vivo, without significant recruitment of blood monocytes. Our data indicate that adipocyte death triggers a unique degradation process and locally induces a metabolically activated ATM phenotype that is globally observed with obesity.","author":[{"dropping-particle":"","family":"Lindhorst","given":"Andreas","non-dropping-particle":"","parse-names":false,"suffix":""},{"dropping-particle":"","family":"Raulien","given":"Nora","non-dropping-particle":"","parse-names":false,"suffix":""},{"dropping-particle":"","family":"Wieghofer","given":"Peter","non-dropping-particle":"","parse-names":false,"suffix":""},{"dropping-particle":"","family":"Eilers","given":"Jens","non-dropping-particle":"","parse-names":false,"suffix":""},{"dropping-particle":"","family":"Rossi","given":"Fabio M.V.","non-dropping-particle":"","parse-names":false,"suffix":""},{"dropping-particle":"","family":"Bechmann","given":"Ingo","non-dropping-particle":"","parse-names":false,"suffix":""},{"dropping-particle":"","family":"Gericke","given":"Martin","non-dropping-particle":"","parse-names":false,"suffix":""}],"container-title":"Cell Death and Disease","id":"ITEM-1","issue":"6","issued":{"date-parts":[["2021","6","5"]]},"page":"1-15","publisher":"Nature Publishing Group","title":"Adipocyte death triggers a pro-inflammatory response and induces metabolic activation of resident macrophages","type":"article-journal","volume":"12"},"uris":["http://www.mendeley.com/documents/?uuid=b913b0de-5bba-3938-beaf-0842c699f9b3"]}],"mendeley":{"formattedCitation":"(Lindhorst &lt;i&gt;et al.&lt;/i&gt;, 2021)","plainTextFormattedCitation":"(Lindhorst et al., 2021)","previouslyFormattedCitation":"(Lindhorst &lt;i&gt;et al.&lt;/i&gt;, 2021)"},"properties":{"noteIndex":0},"schema":"https://github.com/citation-style-language/schema/raw/master/csl-citation.json"}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(Lindhorst </w:t>
      </w:r>
      <w:r w:rsidRPr="0035519F">
        <w:rPr>
          <w:rFonts w:ascii="Arial" w:hAnsi="Arial" w:cs="Arial"/>
          <w:i/>
          <w:noProof/>
          <w:sz w:val="24"/>
          <w:szCs w:val="24"/>
        </w:rPr>
        <w:t>et al.</w:t>
      </w:r>
      <w:r w:rsidRPr="0035519F">
        <w:rPr>
          <w:rFonts w:ascii="Arial" w:hAnsi="Arial" w:cs="Arial"/>
          <w:noProof/>
          <w:sz w:val="24"/>
          <w:szCs w:val="24"/>
        </w:rPr>
        <w:t>, 2021)</w:t>
      </w:r>
      <w:r w:rsidRPr="0035519F">
        <w:rPr>
          <w:rFonts w:ascii="Arial" w:hAnsi="Arial" w:cs="Arial"/>
          <w:sz w:val="24"/>
          <w:szCs w:val="24"/>
        </w:rPr>
        <w:fldChar w:fldCharType="end"/>
      </w:r>
      <w:r w:rsidRPr="0035519F">
        <w:rPr>
          <w:rFonts w:ascii="Arial" w:hAnsi="Arial" w:cs="Arial"/>
          <w:sz w:val="24"/>
          <w:szCs w:val="24"/>
        </w:rPr>
        <w:t xml:space="preserve">. </w:t>
      </w:r>
    </w:p>
    <w:p w14:paraId="7405F32E" w14:textId="77777777" w:rsidR="008C268B" w:rsidRPr="0035519F" w:rsidRDefault="008C268B" w:rsidP="00B861DE">
      <w:pPr>
        <w:pStyle w:val="ListParagraph"/>
        <w:spacing w:line="480" w:lineRule="auto"/>
        <w:ind w:left="270" w:right="18" w:firstLine="450"/>
        <w:jc w:val="both"/>
        <w:rPr>
          <w:rFonts w:ascii="Arial" w:hAnsi="Arial" w:cs="Arial"/>
          <w:sz w:val="24"/>
          <w:szCs w:val="24"/>
        </w:rPr>
      </w:pPr>
    </w:p>
    <w:p w14:paraId="4EF0E421" w14:textId="7B8DD5BD" w:rsidR="00FD1C9C" w:rsidRPr="0035519F" w:rsidRDefault="00CC2211" w:rsidP="002C5221">
      <w:pPr>
        <w:pStyle w:val="ListParagraph"/>
        <w:numPr>
          <w:ilvl w:val="0"/>
          <w:numId w:val="38"/>
        </w:numPr>
        <w:spacing w:line="480" w:lineRule="auto"/>
        <w:ind w:left="270" w:right="18"/>
        <w:jc w:val="both"/>
        <w:rPr>
          <w:rFonts w:ascii="Arial" w:hAnsi="Arial" w:cs="Arial"/>
          <w:b/>
          <w:sz w:val="24"/>
          <w:szCs w:val="24"/>
        </w:rPr>
      </w:pPr>
      <w:r w:rsidRPr="0035519F">
        <w:rPr>
          <w:rFonts w:ascii="Arial" w:hAnsi="Arial" w:cs="Arial"/>
          <w:b/>
          <w:sz w:val="24"/>
          <w:szCs w:val="24"/>
        </w:rPr>
        <w:lastRenderedPageBreak/>
        <w:t>Perbandingan k</w:t>
      </w:r>
      <w:r w:rsidR="00FD1C9C" w:rsidRPr="0035519F">
        <w:rPr>
          <w:rFonts w:ascii="Arial" w:hAnsi="Arial" w:cs="Arial"/>
          <w:b/>
          <w:sz w:val="24"/>
          <w:szCs w:val="24"/>
        </w:rPr>
        <w:t xml:space="preserve">adar IGF-1 pada Kelompok dengan dan tanpa Obesitas </w:t>
      </w:r>
      <w:r w:rsidR="0005295A" w:rsidRPr="0035519F">
        <w:rPr>
          <w:rFonts w:ascii="Arial" w:hAnsi="Arial" w:cs="Arial"/>
          <w:b/>
          <w:sz w:val="24"/>
          <w:szCs w:val="24"/>
        </w:rPr>
        <w:t>Sentral</w:t>
      </w:r>
      <w:r w:rsidR="00FD1C9C" w:rsidRPr="0035519F">
        <w:rPr>
          <w:rFonts w:ascii="Arial" w:hAnsi="Arial" w:cs="Arial"/>
          <w:b/>
          <w:sz w:val="24"/>
          <w:szCs w:val="24"/>
        </w:rPr>
        <w:t>.</w:t>
      </w:r>
    </w:p>
    <w:p w14:paraId="0A6C9CD5" w14:textId="7C741968" w:rsidR="00FD1C9C" w:rsidRPr="0035519F" w:rsidRDefault="00FD1C9C" w:rsidP="00891FA6">
      <w:pPr>
        <w:pStyle w:val="ListParagraph"/>
        <w:spacing w:line="480" w:lineRule="auto"/>
        <w:ind w:left="270" w:right="18" w:firstLine="270"/>
        <w:jc w:val="both"/>
        <w:rPr>
          <w:rFonts w:ascii="Arial" w:hAnsi="Arial" w:cs="Arial"/>
          <w:sz w:val="24"/>
          <w:szCs w:val="24"/>
        </w:rPr>
      </w:pPr>
      <w:r w:rsidRPr="0035519F">
        <w:rPr>
          <w:rFonts w:ascii="Arial" w:hAnsi="Arial" w:cs="Arial"/>
          <w:sz w:val="24"/>
          <w:szCs w:val="24"/>
        </w:rPr>
        <w:t xml:space="preserve">Terdapat perbedaan rerata kadar IGF-1 pada kelompok dengan obesitas </w:t>
      </w:r>
      <w:r w:rsidR="0005295A" w:rsidRPr="0035519F">
        <w:rPr>
          <w:rFonts w:ascii="Arial" w:hAnsi="Arial" w:cs="Arial"/>
          <w:sz w:val="24"/>
          <w:szCs w:val="24"/>
        </w:rPr>
        <w:t>sentral</w:t>
      </w:r>
      <w:r w:rsidRPr="0035519F">
        <w:rPr>
          <w:rFonts w:ascii="Arial" w:hAnsi="Arial" w:cs="Arial"/>
          <w:sz w:val="24"/>
          <w:szCs w:val="24"/>
        </w:rPr>
        <w:t xml:space="preserve"> dibandingkan dengan kelompok tanpa obesitas </w:t>
      </w:r>
      <w:r w:rsidR="0005295A" w:rsidRPr="0035519F">
        <w:rPr>
          <w:rFonts w:ascii="Arial" w:hAnsi="Arial" w:cs="Arial"/>
          <w:sz w:val="24"/>
          <w:szCs w:val="24"/>
        </w:rPr>
        <w:t>sentral</w:t>
      </w:r>
      <w:r w:rsidRPr="0035519F">
        <w:rPr>
          <w:rFonts w:ascii="Arial" w:hAnsi="Arial" w:cs="Arial"/>
          <w:sz w:val="24"/>
          <w:szCs w:val="24"/>
        </w:rPr>
        <w:t>. Rerata kadar IGF-1 pada kelompok den</w:t>
      </w:r>
      <w:r w:rsidR="007A6002" w:rsidRPr="0035519F">
        <w:rPr>
          <w:rFonts w:ascii="Arial" w:hAnsi="Arial" w:cs="Arial"/>
          <w:sz w:val="24"/>
          <w:szCs w:val="24"/>
        </w:rPr>
        <w:t xml:space="preserve">gan obesitas </w:t>
      </w:r>
      <w:r w:rsidR="0005295A" w:rsidRPr="0035519F">
        <w:rPr>
          <w:rFonts w:ascii="Arial" w:hAnsi="Arial" w:cs="Arial"/>
          <w:sz w:val="24"/>
          <w:szCs w:val="24"/>
        </w:rPr>
        <w:t>sentral</w:t>
      </w:r>
      <w:r w:rsidR="007A6002" w:rsidRPr="0035519F">
        <w:rPr>
          <w:rFonts w:ascii="Arial" w:hAnsi="Arial" w:cs="Arial"/>
          <w:sz w:val="24"/>
          <w:szCs w:val="24"/>
        </w:rPr>
        <w:t xml:space="preserve"> 32</w:t>
      </w:r>
      <w:r w:rsidR="00DC6426" w:rsidRPr="0035519F">
        <w:rPr>
          <w:rFonts w:ascii="Arial" w:hAnsi="Arial" w:cs="Arial"/>
          <w:sz w:val="24"/>
          <w:szCs w:val="24"/>
        </w:rPr>
        <w:t xml:space="preserve">9,85 </w:t>
      </w:r>
      <w:r w:rsidR="000A18E1" w:rsidRPr="0035519F">
        <w:rPr>
          <w:rFonts w:ascii="Arial" w:hAnsi="Arial" w:cs="Arial"/>
          <w:sz w:val="24"/>
          <w:szCs w:val="24"/>
        </w:rPr>
        <w:t>ng/mL</w:t>
      </w:r>
      <w:r w:rsidR="00DC6426" w:rsidRPr="0035519F">
        <w:rPr>
          <w:rFonts w:ascii="Arial" w:hAnsi="Arial" w:cs="Arial"/>
          <w:sz w:val="24"/>
          <w:szCs w:val="24"/>
        </w:rPr>
        <w:t xml:space="preserve"> lebih rendah</w:t>
      </w:r>
      <w:r w:rsidRPr="0035519F">
        <w:rPr>
          <w:rFonts w:ascii="Arial" w:hAnsi="Arial" w:cs="Arial"/>
          <w:sz w:val="24"/>
          <w:szCs w:val="24"/>
        </w:rPr>
        <w:t xml:space="preserve"> dibandingkan dengan rerata kadar IGF-1 pada kelompok tanpa obesitas </w:t>
      </w:r>
      <w:r w:rsidR="0005295A" w:rsidRPr="0035519F">
        <w:rPr>
          <w:rFonts w:ascii="Arial" w:hAnsi="Arial" w:cs="Arial"/>
          <w:sz w:val="24"/>
          <w:szCs w:val="24"/>
        </w:rPr>
        <w:t>sentral</w:t>
      </w:r>
      <w:r w:rsidRPr="0035519F">
        <w:rPr>
          <w:rFonts w:ascii="Arial" w:hAnsi="Arial" w:cs="Arial"/>
          <w:sz w:val="24"/>
          <w:szCs w:val="24"/>
        </w:rPr>
        <w:t xml:space="preserve"> </w:t>
      </w:r>
      <w:r w:rsidR="007A6002" w:rsidRPr="0035519F">
        <w:rPr>
          <w:rFonts w:ascii="Arial" w:hAnsi="Arial" w:cs="Arial"/>
          <w:sz w:val="24"/>
          <w:szCs w:val="24"/>
        </w:rPr>
        <w:t>473,33</w:t>
      </w:r>
      <w:r w:rsidRPr="0035519F">
        <w:rPr>
          <w:rFonts w:ascii="Arial" w:hAnsi="Arial" w:cs="Arial"/>
          <w:sz w:val="24"/>
          <w:szCs w:val="24"/>
        </w:rPr>
        <w:t xml:space="preserve"> </w:t>
      </w:r>
      <w:r w:rsidR="000A18E1" w:rsidRPr="0035519F">
        <w:rPr>
          <w:rFonts w:ascii="Arial" w:hAnsi="Arial" w:cs="Arial"/>
          <w:sz w:val="24"/>
          <w:szCs w:val="24"/>
        </w:rPr>
        <w:t>ng/mL</w:t>
      </w:r>
      <w:r w:rsidRPr="0035519F">
        <w:rPr>
          <w:rFonts w:ascii="Arial" w:hAnsi="Arial" w:cs="Arial"/>
          <w:sz w:val="24"/>
          <w:szCs w:val="24"/>
        </w:rPr>
        <w:t xml:space="preserve"> dan secara statistik menunjukkan perbedaan yang signifikan (p&lt;0.05).</w:t>
      </w:r>
    </w:p>
    <w:p w14:paraId="03C95EDD" w14:textId="7C5E986B" w:rsidR="00C27091" w:rsidRPr="0035519F" w:rsidRDefault="00FD1C9C" w:rsidP="00891FA6">
      <w:pPr>
        <w:pStyle w:val="ListParagraph"/>
        <w:spacing w:line="480" w:lineRule="auto"/>
        <w:ind w:left="270" w:right="18" w:firstLine="270"/>
        <w:jc w:val="both"/>
        <w:rPr>
          <w:rFonts w:ascii="Arial" w:hAnsi="Arial" w:cs="Arial"/>
          <w:sz w:val="24"/>
          <w:szCs w:val="24"/>
        </w:rPr>
      </w:pPr>
      <w:r w:rsidRPr="0035519F">
        <w:rPr>
          <w:rFonts w:ascii="Arial" w:hAnsi="Arial" w:cs="Arial"/>
          <w:sz w:val="24"/>
          <w:szCs w:val="24"/>
        </w:rPr>
        <w:t xml:space="preserve">Hasil penelitian ini sejalan dengan penelitian oleh </w:t>
      </w:r>
      <w:r w:rsidR="001500DE" w:rsidRPr="0035519F">
        <w:rPr>
          <w:rFonts w:ascii="Arial" w:hAnsi="Arial" w:cs="Arial"/>
          <w:sz w:val="24"/>
          <w:szCs w:val="24"/>
        </w:rPr>
        <w:t xml:space="preserve">Muscogiuri </w:t>
      </w:r>
      <w:r w:rsidR="001500DE" w:rsidRPr="0035519F">
        <w:rPr>
          <w:rFonts w:ascii="Arial" w:hAnsi="Arial" w:cs="Arial"/>
          <w:i/>
          <w:sz w:val="24"/>
          <w:szCs w:val="24"/>
        </w:rPr>
        <w:t>et al</w:t>
      </w:r>
      <w:r w:rsidRPr="0035519F">
        <w:rPr>
          <w:rFonts w:ascii="Arial" w:hAnsi="Arial" w:cs="Arial"/>
          <w:sz w:val="24"/>
          <w:szCs w:val="24"/>
        </w:rPr>
        <w:t xml:space="preserve">, yang juga menemukan rerata kadar IGF-1 signifikan lebih </w:t>
      </w:r>
      <w:r w:rsidR="001500DE" w:rsidRPr="0035519F">
        <w:rPr>
          <w:rFonts w:ascii="Arial" w:hAnsi="Arial" w:cs="Arial"/>
          <w:sz w:val="24"/>
          <w:szCs w:val="24"/>
        </w:rPr>
        <w:t>rendah</w:t>
      </w:r>
      <w:r w:rsidRPr="0035519F">
        <w:rPr>
          <w:rFonts w:ascii="Arial" w:hAnsi="Arial" w:cs="Arial"/>
          <w:sz w:val="24"/>
          <w:szCs w:val="24"/>
        </w:rPr>
        <w:t xml:space="preserve"> pada kelompok obesitas</w:t>
      </w:r>
      <w:r w:rsidR="001500DE" w:rsidRPr="0035519F">
        <w:rPr>
          <w:rFonts w:ascii="Arial" w:hAnsi="Arial" w:cs="Arial"/>
          <w:sz w:val="24"/>
          <w:szCs w:val="24"/>
        </w:rPr>
        <w:t xml:space="preserve"> </w:t>
      </w:r>
      <w:r w:rsidR="001500DE" w:rsidRPr="0035519F">
        <w:rPr>
          <w:rFonts w:ascii="Arial" w:hAnsi="Arial" w:cs="Arial"/>
          <w:sz w:val="24"/>
          <w:szCs w:val="24"/>
        </w:rPr>
        <w:fldChar w:fldCharType="begin" w:fldLock="1"/>
      </w:r>
      <w:r w:rsidR="00C93532" w:rsidRPr="0035519F">
        <w:rPr>
          <w:rFonts w:ascii="Arial" w:hAnsi="Arial" w:cs="Arial"/>
          <w:sz w:val="24"/>
          <w:szCs w:val="24"/>
        </w:rPr>
        <w:instrText>ADDIN CSL_CITATION {"citationItems":[{"id":"ITEM-1","itemData":{"DOI":"10.3390/nu11092228","ISSN":"20726643","PMID":"31527400","abstract":"Obesity is associated with reduced spontaneous and stimulated growth hormone (GH) secretion and basal insulin-like growth factor I (IGF-1) levels—which in turn is associated with increased prevalence of cardiovascular risk factors. The aim of this study was to investigate: (1) the association of somatotropic axis with cardiometabolic status; (2) the association of somatotropic axis with the Mediterranean diet and nutritional pattern in people with obesity. Cross-sectional observational study was carried out in 200 adult women, aged 36.98 ± 11.10 years with severe obesity (body mass index—BMI of 45.19 ± 6.30 kg/m2). The adherence to the Mediterranean diet and the total calorie intake was assessed. Anthropometric measurements, body composition and biochemical profile were determined along with Growth Hormone (GH)/Insulin like Growth Factor 1 (IGF-1) axis and insulin resistance (homeostatic model assessment for insulin resistance—HoMA-IR). The enrolled subjects were compared after being divided according to GH peak response and according to IGF-1 standard deviation scores (SDS). Derangements of GH peak were detected in 61.5% of studied patients while IGF-1 deficiency was detected in 71% of the population. Both blunted GH peak response and IGF-1 SDS were indicators of derangements of somatotropic axis and were associated with comparable results in terms of cardiometabolic sequelae. Both GH peak and IGF-1 levels were inversely associated with anthropometric and metabolic parameters. The adherence to the Mediterranean diet predicts GH peak response. Fatty liver index (FLI), fat mass (FM) and phase angle (PhA) were predictive factors of GH peak response as well. In conclusion derangements of somatotropic axis is associated with a worse cardiometabolic profile in people with obesity. A high adherence to the Mediterranean diet—and in particular protein intake—was associated with a better GH status.","author":[{"dropping-particle":"","family":"Muscogiuri","given":"Giovanna","non-dropping-particle":"","parse-names":false,"suffix":""},{"dropping-particle":"","family":"Barrea","given":"Luigi","non-dropping-particle":"","parse-names":false,"suffix":""},{"dropping-particle":"","family":"Laudisio","given":"Daniela","non-dropping-particle":"","parse-names":false,"suffix":""},{"dropping-particle":"","family":"Somma","given":"Carolina","non-dropping-particle":"Di","parse-names":false,"suffix":""},{"dropping-particle":"","family":"Pugliese","given":"Gabriella","non-dropping-particle":"","parse-names":false,"suffix":""},{"dropping-particle":"","family":"Salzano","given":"Ciro","non-dropping-particle":"","parse-names":false,"suffix":""},{"dropping-particle":"","family":"Colao","given":"Annamaria","non-dropping-particle":"","parse-names":false,"suffix":""},{"dropping-particle":"","family":"Savastano","given":"Silvia","non-dropping-particle":"","parse-names":false,"suffix":""}],"container-title":"Nutrients","id":"ITEM-1","issue":"9","issued":{"date-parts":[["2019","9","16"]]},"page":"2228","publisher":"Multidisciplinary Digital Publishing Institute","title":"Somatotropic axis and obesity: Is there any role for the Mediterranean diet?","type":"article-journal","volume":"11"},"uris":["http://www.mendeley.com/documents/?uuid=de614cb3-85c0-301f-95c9-06720a9432f7"]}],"mendeley":{"formattedCitation":"(Muscogiuri &lt;i&gt;et al.&lt;/i&gt;, 2019)","plainTextFormattedCitation":"(Muscogiuri et al., 2019)","previouslyFormattedCitation":"(Muscogiuri &lt;i&gt;et al.&lt;/i&gt;, 2019)"},"properties":{"noteIndex":0},"schema":"https://github.com/citation-style-language/schema/raw/master/csl-citation.json"}</w:instrText>
      </w:r>
      <w:r w:rsidR="001500DE" w:rsidRPr="0035519F">
        <w:rPr>
          <w:rFonts w:ascii="Arial" w:hAnsi="Arial" w:cs="Arial"/>
          <w:sz w:val="24"/>
          <w:szCs w:val="24"/>
        </w:rPr>
        <w:fldChar w:fldCharType="separate"/>
      </w:r>
      <w:r w:rsidR="001500DE" w:rsidRPr="0035519F">
        <w:rPr>
          <w:rFonts w:ascii="Arial" w:hAnsi="Arial" w:cs="Arial"/>
          <w:noProof/>
          <w:sz w:val="24"/>
          <w:szCs w:val="24"/>
        </w:rPr>
        <w:t xml:space="preserve">(Muscogiuri </w:t>
      </w:r>
      <w:r w:rsidR="001500DE" w:rsidRPr="0035519F">
        <w:rPr>
          <w:rFonts w:ascii="Arial" w:hAnsi="Arial" w:cs="Arial"/>
          <w:i/>
          <w:noProof/>
          <w:sz w:val="24"/>
          <w:szCs w:val="24"/>
        </w:rPr>
        <w:t>et al.</w:t>
      </w:r>
      <w:r w:rsidR="001500DE" w:rsidRPr="0035519F">
        <w:rPr>
          <w:rFonts w:ascii="Arial" w:hAnsi="Arial" w:cs="Arial"/>
          <w:noProof/>
          <w:sz w:val="24"/>
          <w:szCs w:val="24"/>
        </w:rPr>
        <w:t>, 2019)</w:t>
      </w:r>
      <w:r w:rsidR="001500DE" w:rsidRPr="0035519F">
        <w:rPr>
          <w:rFonts w:ascii="Arial" w:hAnsi="Arial" w:cs="Arial"/>
          <w:sz w:val="24"/>
          <w:szCs w:val="24"/>
        </w:rPr>
        <w:fldChar w:fldCharType="end"/>
      </w:r>
      <w:r w:rsidR="001500DE" w:rsidRPr="0035519F">
        <w:rPr>
          <w:rFonts w:ascii="Arial" w:hAnsi="Arial" w:cs="Arial"/>
          <w:sz w:val="24"/>
          <w:szCs w:val="24"/>
        </w:rPr>
        <w:t xml:space="preserve">. Engstrom </w:t>
      </w:r>
      <w:r w:rsidR="001500DE" w:rsidRPr="0035519F">
        <w:rPr>
          <w:rFonts w:ascii="Arial" w:hAnsi="Arial" w:cs="Arial"/>
          <w:i/>
          <w:sz w:val="24"/>
          <w:szCs w:val="24"/>
        </w:rPr>
        <w:t xml:space="preserve">et </w:t>
      </w:r>
      <w:r w:rsidRPr="0035519F">
        <w:rPr>
          <w:rFonts w:ascii="Arial" w:hAnsi="Arial" w:cs="Arial"/>
          <w:i/>
          <w:sz w:val="24"/>
          <w:szCs w:val="24"/>
        </w:rPr>
        <w:t>al</w:t>
      </w:r>
      <w:r w:rsidRPr="0035519F">
        <w:rPr>
          <w:rFonts w:ascii="Arial" w:hAnsi="Arial" w:cs="Arial"/>
          <w:sz w:val="24"/>
          <w:szCs w:val="24"/>
        </w:rPr>
        <w:t>, juga me</w:t>
      </w:r>
      <w:r w:rsidR="001500DE" w:rsidRPr="0035519F">
        <w:rPr>
          <w:rFonts w:ascii="Arial" w:hAnsi="Arial" w:cs="Arial"/>
          <w:sz w:val="24"/>
          <w:szCs w:val="24"/>
        </w:rPr>
        <w:t xml:space="preserve">laporakan </w:t>
      </w:r>
      <w:r w:rsidRPr="0035519F">
        <w:rPr>
          <w:rFonts w:ascii="Arial" w:hAnsi="Arial" w:cs="Arial"/>
          <w:sz w:val="24"/>
          <w:szCs w:val="24"/>
        </w:rPr>
        <w:t>bahwa kadar IG</w:t>
      </w:r>
      <w:r w:rsidR="001500DE" w:rsidRPr="0035519F">
        <w:rPr>
          <w:rFonts w:ascii="Arial" w:hAnsi="Arial" w:cs="Arial"/>
          <w:sz w:val="24"/>
          <w:szCs w:val="24"/>
        </w:rPr>
        <w:t>F-1 serum ditemukan lebih rendah</w:t>
      </w:r>
      <w:r w:rsidRPr="0035519F">
        <w:rPr>
          <w:rFonts w:ascii="Arial" w:hAnsi="Arial" w:cs="Arial"/>
          <w:sz w:val="24"/>
          <w:szCs w:val="24"/>
        </w:rPr>
        <w:t xml:space="preserve"> pada </w:t>
      </w:r>
      <w:r w:rsidR="00C93532" w:rsidRPr="0035519F">
        <w:rPr>
          <w:rFonts w:ascii="Arial" w:hAnsi="Arial" w:cs="Arial"/>
          <w:sz w:val="24"/>
          <w:szCs w:val="24"/>
        </w:rPr>
        <w:t xml:space="preserve">63 </w:t>
      </w:r>
      <w:r w:rsidRPr="0035519F">
        <w:rPr>
          <w:rFonts w:ascii="Arial" w:hAnsi="Arial" w:cs="Arial"/>
          <w:sz w:val="24"/>
          <w:szCs w:val="24"/>
        </w:rPr>
        <w:t xml:space="preserve">subjek obesitas </w:t>
      </w:r>
      <w:r w:rsidR="001500DE" w:rsidRPr="0035519F">
        <w:rPr>
          <w:rFonts w:ascii="Arial" w:hAnsi="Arial" w:cs="Arial"/>
          <w:sz w:val="24"/>
          <w:szCs w:val="24"/>
        </w:rPr>
        <w:t xml:space="preserve">yang telah menjalani </w:t>
      </w:r>
      <w:r w:rsidR="00C93532" w:rsidRPr="0035519F">
        <w:rPr>
          <w:rFonts w:ascii="Arial" w:hAnsi="Arial" w:cs="Arial"/>
          <w:sz w:val="24"/>
          <w:szCs w:val="24"/>
        </w:rPr>
        <w:t xml:space="preserve">prosedur </w:t>
      </w:r>
      <w:r w:rsidR="00C93532" w:rsidRPr="0035519F">
        <w:rPr>
          <w:rFonts w:ascii="Arial" w:hAnsi="Arial" w:cs="Arial"/>
          <w:i/>
          <w:sz w:val="24"/>
          <w:szCs w:val="24"/>
        </w:rPr>
        <w:t>gastric bypass</w:t>
      </w:r>
      <w:r w:rsidR="00B861DE" w:rsidRPr="0035519F">
        <w:rPr>
          <w:rFonts w:ascii="Arial" w:hAnsi="Arial" w:cs="Arial"/>
          <w:i/>
          <w:sz w:val="24"/>
          <w:szCs w:val="24"/>
        </w:rPr>
        <w:t xml:space="preserve"> </w:t>
      </w:r>
      <w:r w:rsidR="00C93532" w:rsidRPr="0035519F">
        <w:rPr>
          <w:rFonts w:ascii="Arial" w:hAnsi="Arial" w:cs="Arial"/>
          <w:i/>
          <w:sz w:val="24"/>
          <w:szCs w:val="24"/>
        </w:rPr>
        <w:fldChar w:fldCharType="begin" w:fldLock="1"/>
      </w:r>
      <w:r w:rsidR="00D140C2" w:rsidRPr="0035519F">
        <w:rPr>
          <w:rFonts w:ascii="Arial" w:hAnsi="Arial" w:cs="Arial"/>
          <w:i/>
          <w:sz w:val="24"/>
          <w:szCs w:val="24"/>
        </w:rPr>
        <w:instrText>ADDIN CSL_CITATION {"citationItems":[{"id":"ITEM-1","itemData":{"DOI":"10.1530/eje.1.02069","ISSN":"08044643","PMID":"16381991","abstract":"Objective: Overfeeding suppresses GH secretion and makes evaluation of a suspected GH deficiency (GHD) difficult. In normal weight subjects, gender is known to influence GH concentrations, which is most apparent in the ambulatory, morning-fasted state. In this study, we examined the GH/IGF-I axis in obese men and women and the effect of surgically induced weight loss. Design: Sixty-three subjects (body mass index (BMI) 45±6 kg/m2; 54 women, 9 men) were studied prior to, and 6 and 12 months following Roux-en-Y gastric bypass (RYGBP) surgery. Fifty-four patients with classic GHD (BMI 27±6 kg/m2; 35 men, 19 women) were included for comparison. Methods: Hormones were analysed in fasting morning serum samples. Results: RYGBP resulted in a decreased BMI to 35±kg/m2 at 6 months and 32±6 kg/m2 at 12 months. GH and IGF-I increased at 6 months in the women and at 12 months in both sexes by ≥300 and 11% respectively. Prior to RYGBP, GH concentrations were low in the obese men and similar to those of GHD men (mean 0.09 mU/l). Obese women had tenfold higher values than obese men and sevenfold higher than GHD women. IGF-I levels were in the low reference range in the obese and below - 2 S.D. for age in 13%. Conclusions: Surgically induced weight loss partially restores GH secretion. Despite a marked suppression of GH values, a gender influence is maintained in severe obesity. In obese women, single morning GH and IGF-I values seem sufficient to exclude a suspicion of classic GHD. © 2006 Society of the European Journal of Endocrinology.","author":[{"dropping-particle":"","family":"Engström","given":"Britt Edén","non-dropping-particle":"","parse-names":false,"suffix":""},{"dropping-particle":"","family":"Burman","given":"Pia","non-dropping-particle":"","parse-names":false,"suffix":""},{"dropping-particle":"","family":"Holdstock","given":"Camilla","non-dropping-particle":"","parse-names":false,"suffix":""},{"dropping-particle":"","family":"Öhrvall","given":"Margareta","non-dropping-particle":"","parse-names":false,"suffix":""},{"dropping-particle":"","family":"Sundbom","given":"Magnus","non-dropping-particle":"","parse-names":false,"suffix":""},{"dropping-particle":"","family":"Karlsson","given":"F. Anders","non-dropping-particle":"","parse-names":false,"suffix":""}],"container-title":"European Journal of Endocrinology","id":"ITEM-1","issue":"1","issued":{"date-parts":[["2006","1"]]},"page":"53-59","publisher":"Eur J Endocrinol","title":"Effects of gastric bypass on the GH/IGF-I axis in severe obesity - And a comparison with GH deficiency","type":"article-journal","volume":"154"},"uris":["http://www.mendeley.com/documents/?uuid=c4da6e4b-87cd-303f-b2bb-339132e6e2a3"]}],"mendeley":{"formattedCitation":"(Engström &lt;i&gt;et al.&lt;/i&gt;, 2006)","plainTextFormattedCitation":"(Engström et al., 2006)","previouslyFormattedCitation":"(Engström &lt;i&gt;et al.&lt;/i&gt;, 2006)"},"properties":{"noteIndex":0},"schema":"https://github.com/citation-style-language/schema/raw/master/csl-citation.json"}</w:instrText>
      </w:r>
      <w:r w:rsidR="00C93532" w:rsidRPr="0035519F">
        <w:rPr>
          <w:rFonts w:ascii="Arial" w:hAnsi="Arial" w:cs="Arial"/>
          <w:i/>
          <w:sz w:val="24"/>
          <w:szCs w:val="24"/>
        </w:rPr>
        <w:fldChar w:fldCharType="separate"/>
      </w:r>
      <w:r w:rsidR="00C93532" w:rsidRPr="0035519F">
        <w:rPr>
          <w:rFonts w:ascii="Arial" w:hAnsi="Arial" w:cs="Arial"/>
          <w:noProof/>
          <w:sz w:val="24"/>
          <w:szCs w:val="24"/>
        </w:rPr>
        <w:t xml:space="preserve">(Engström </w:t>
      </w:r>
      <w:r w:rsidR="00C93532" w:rsidRPr="0035519F">
        <w:rPr>
          <w:rFonts w:ascii="Arial" w:hAnsi="Arial" w:cs="Arial"/>
          <w:i/>
          <w:noProof/>
          <w:sz w:val="24"/>
          <w:szCs w:val="24"/>
        </w:rPr>
        <w:t>et al.</w:t>
      </w:r>
      <w:r w:rsidR="00C93532" w:rsidRPr="0035519F">
        <w:rPr>
          <w:rFonts w:ascii="Arial" w:hAnsi="Arial" w:cs="Arial"/>
          <w:noProof/>
          <w:sz w:val="24"/>
          <w:szCs w:val="24"/>
        </w:rPr>
        <w:t>, 2006)</w:t>
      </w:r>
      <w:r w:rsidR="00C93532" w:rsidRPr="0035519F">
        <w:rPr>
          <w:rFonts w:ascii="Arial" w:hAnsi="Arial" w:cs="Arial"/>
          <w:i/>
          <w:sz w:val="24"/>
          <w:szCs w:val="24"/>
        </w:rPr>
        <w:fldChar w:fldCharType="end"/>
      </w:r>
      <w:r w:rsidRPr="0035519F">
        <w:rPr>
          <w:rFonts w:ascii="Arial" w:hAnsi="Arial" w:cs="Arial"/>
          <w:sz w:val="24"/>
          <w:szCs w:val="24"/>
        </w:rPr>
        <w:t xml:space="preserve">. </w:t>
      </w:r>
      <w:r w:rsidR="00D140C2" w:rsidRPr="0035519F">
        <w:rPr>
          <w:rFonts w:ascii="Arial" w:hAnsi="Arial" w:cs="Arial"/>
          <w:sz w:val="24"/>
          <w:szCs w:val="24"/>
        </w:rPr>
        <w:t xml:space="preserve">Kadar serum IGF-1 yang rendah dapat berarti terjadi penurunan produksi dan terutama pada pasien obesitas akan menunjukkan penurunan sekresi GH </w:t>
      </w:r>
      <w:r w:rsidR="00D140C2" w:rsidRPr="0035519F">
        <w:rPr>
          <w:rFonts w:ascii="Arial" w:hAnsi="Arial" w:cs="Arial"/>
          <w:sz w:val="24"/>
          <w:szCs w:val="24"/>
        </w:rPr>
        <w:fldChar w:fldCharType="begin" w:fldLock="1"/>
      </w:r>
      <w:r w:rsidR="00C27091" w:rsidRPr="0035519F">
        <w:rPr>
          <w:rFonts w:ascii="Arial" w:hAnsi="Arial" w:cs="Arial"/>
          <w:sz w:val="24"/>
          <w:szCs w:val="24"/>
        </w:rPr>
        <w:instrText>ADDIN CSL_CITATION {"citationItems":[{"id":"ITEM-1","itemData":{"DOI":"10.1371/journal.pone.0154451","ISSN":"19326203","PMID":"27138941","abstract":"Introduction: IGF-1 (insulin-like growth factor-1) is a hormone involved in cell growth and other important processes. In the kidney, IGF-1 has a stimulating effect, increasing the blood flow and glomerular filtration rate. Although many experimental animal studies regarding the role of IGF-1 in the kidney have been conducted, few human studies are available in the literature. Obesity is a cause of renal failure, and several glomerular lesions associated with obesity have been described. However, no studies regarding the levels of IGF-1 in morbidly obese patients with renal injury associated with obesity have been conducted. Aim: To determine the serum IGF-1 concentrations in morbidly obese patients with normal renal function but with different types of early obesity-related glomerular lesions and to evaluate the possible relationship between IGF-1 and the presence of renal lesions. Methods: Eighty morbidly obese patients with renal biopsy, including 11 patients with no evidence of renal lesion, 17 patients with single glomerulomegaly, 21 patients with single podocyte hypertrophy, 10 patients with glomerulomegaly and podocyte hypertrophy, 5 patients with focal segmental hyalinosis, and 16 patients with increased mesangial matrix and/or mesangial proliferation, participated in this study. Biological parameters, including serum IGF-1 concentrations with the standard deviation score for age (SDS-IGF-1), were determined for all patients. Results: Eighty patients (50 women and 30 men) with a mean BMI of 52.63 ± 8.71 and a mean age of 42.40 ± 9.45 years were included in this study. IGF-1, IGF-1 SDS and IGF-1BP3 levels according to the renal injury were compared (normal glomeruli: IGF-1 = 190.17 ± 72.46; glomerulomegaly: IGF-1 = 122.3 ± 50.05; podocyte hypertrophy: IGF-1 = 119.81 ± 60.34; focal segmental hyalinosis: IGF-1 170.98 ± 100.83, increased mesangial matrix and/or mesangial proliferation: IGF-1 117.73 ± 63.87). Statistically significant differences were observed between serum levels of IGF-1 and between the levels of SDS-IGF-1 by comparing the group without glomerular lesion with the group formed by patients with any type of glomerular injury. Logistic regression analysis was performed, with the dependent variable defined as the glomerular injury. In the multivariate analysis, only SDS-IGF-1 was associated with glomerular injury, and low levels of IGF-1 SDS were a risk factor for kidney injury. Conclusions: Our study demonstrates that low IGF-1 serum l…","author":[{"dropping-particle":"","family":"Bancu","given":"Ioana","non-dropping-particle":"","parse-names":false,"suffix":""},{"dropping-particle":"","family":"Navarro Díaz","given":"Maruja","non-dropping-particle":"","parse-names":false,"suffix":""},{"dropping-particle":"","family":"Serra","given":"Assumpta","non-dropping-particle":"","parse-names":false,"suffix":""},{"dropping-particle":"","family":"Granada","given":"Marisa","non-dropping-particle":"","parse-names":false,"suffix":""},{"dropping-particle":"","family":"Lopez","given":"Dolores","non-dropping-particle":"","parse-names":false,"suffix":""},{"dropping-particle":"","family":"Romero","given":"Ramon","non-dropping-particle":"","parse-names":false,"suffix":""},{"dropping-particle":"","family":"Bonet","given":"Josep","non-dropping-particle":"","parse-names":false,"suffix":""}],"container-title":"PLoS ONE","id":"ITEM-1","issue":"5","issued":{"date-parts":[["2016","5","1"]]},"page":"e0154451","publisher":"Public Library of Science","title":"Low insulin-like growth factor-1 level in obesity nephropathy: A new risk factor?","type":"article-journal","volume":"11"},"uris":["http://www.mendeley.com/documents/?uuid=ec47f506-cded-3dda-b5ac-0c8e903a6e68"]}],"mendeley":{"formattedCitation":"(Bancu &lt;i&gt;et al.&lt;/i&gt;, 2016)","plainTextFormattedCitation":"(Bancu et al., 2016)","previouslyFormattedCitation":"(Bancu &lt;i&gt;et al.&lt;/i&gt;, 2016)"},"properties":{"noteIndex":0},"schema":"https://github.com/citation-style-language/schema/raw/master/csl-citation.json"}</w:instrText>
      </w:r>
      <w:r w:rsidR="00D140C2" w:rsidRPr="0035519F">
        <w:rPr>
          <w:rFonts w:ascii="Arial" w:hAnsi="Arial" w:cs="Arial"/>
          <w:sz w:val="24"/>
          <w:szCs w:val="24"/>
        </w:rPr>
        <w:fldChar w:fldCharType="separate"/>
      </w:r>
      <w:r w:rsidR="00D140C2" w:rsidRPr="0035519F">
        <w:rPr>
          <w:rFonts w:ascii="Arial" w:hAnsi="Arial" w:cs="Arial"/>
          <w:noProof/>
          <w:sz w:val="24"/>
          <w:szCs w:val="24"/>
        </w:rPr>
        <w:t xml:space="preserve">(Bancu </w:t>
      </w:r>
      <w:r w:rsidR="00D140C2" w:rsidRPr="0035519F">
        <w:rPr>
          <w:rFonts w:ascii="Arial" w:hAnsi="Arial" w:cs="Arial"/>
          <w:i/>
          <w:noProof/>
          <w:sz w:val="24"/>
          <w:szCs w:val="24"/>
        </w:rPr>
        <w:t>et al.</w:t>
      </w:r>
      <w:r w:rsidR="00D140C2" w:rsidRPr="0035519F">
        <w:rPr>
          <w:rFonts w:ascii="Arial" w:hAnsi="Arial" w:cs="Arial"/>
          <w:noProof/>
          <w:sz w:val="24"/>
          <w:szCs w:val="24"/>
        </w:rPr>
        <w:t>, 2016)</w:t>
      </w:r>
      <w:r w:rsidR="00D140C2" w:rsidRPr="0035519F">
        <w:rPr>
          <w:rFonts w:ascii="Arial" w:hAnsi="Arial" w:cs="Arial"/>
          <w:sz w:val="24"/>
          <w:szCs w:val="24"/>
        </w:rPr>
        <w:fldChar w:fldCharType="end"/>
      </w:r>
      <w:r w:rsidR="00D140C2" w:rsidRPr="0035519F">
        <w:rPr>
          <w:rFonts w:ascii="Arial" w:hAnsi="Arial" w:cs="Arial"/>
          <w:sz w:val="24"/>
          <w:szCs w:val="24"/>
        </w:rPr>
        <w:t xml:space="preserve">. </w:t>
      </w:r>
      <w:r w:rsidR="00892332" w:rsidRPr="0035519F">
        <w:rPr>
          <w:rFonts w:ascii="Arial" w:hAnsi="Arial" w:cs="Arial"/>
          <w:sz w:val="24"/>
          <w:szCs w:val="24"/>
        </w:rPr>
        <w:t>Akumulasi adiposit berlebih pada perut terutama VAT merupakan determinan kuat terjadinya penurunan sekresi GH dibandingkan usia, jenis kelamin atau obesitas berdasarkan BMI</w:t>
      </w:r>
      <w:r w:rsidR="00C27091" w:rsidRPr="0035519F">
        <w:rPr>
          <w:rFonts w:ascii="Arial" w:hAnsi="Arial" w:cs="Arial"/>
          <w:sz w:val="24"/>
          <w:szCs w:val="24"/>
        </w:rPr>
        <w:t xml:space="preserve"> </w:t>
      </w:r>
      <w:r w:rsidR="00C27091" w:rsidRPr="0035519F">
        <w:rPr>
          <w:rFonts w:ascii="Arial" w:hAnsi="Arial" w:cs="Arial"/>
          <w:sz w:val="24"/>
          <w:szCs w:val="24"/>
        </w:rPr>
        <w:fldChar w:fldCharType="begin" w:fldLock="1"/>
      </w:r>
      <w:r w:rsidR="009A0FF6" w:rsidRPr="0035519F">
        <w:rPr>
          <w:rFonts w:ascii="Arial" w:hAnsi="Arial" w:cs="Arial"/>
          <w:sz w:val="24"/>
          <w:szCs w:val="24"/>
        </w:rPr>
        <w:instrText>ADDIN CSL_CITATION {"citationItems":[{"id":"ITEM-1","itemData":{"DOI":"10.1210/jcem.86.8.7731","ISSN":"0021972X","PMID":"11502822","abstract":"Numerous physiological factors modulate GH secretion, but these variables are not independent of one another. We studied 40 younger (20-29 yr.; 21 men and 19 women) and 62 older (57-80 yr.; 35 men and 27 women) adults to determine the contributions of several demographic and physiological factors to the variability in integrated 24-h GH concentrations. Serum GH was measured every 10 min for 24 h in an enhanced sensitivity chemiluminescence assay. The predictor variables included: age group (young or old), gender, abdominal visceral fat (by computed tomography), total body fat mass and percentage body fat by dual-energy x-ray absorptiometry, serum IGF-I, fasting serum insulin, 24-h mean estradiol and testosterone, and peak oxygen uptake by graded exercise (treadmill) testing. Multiple ordinary least squares regression analysis was used to quantitatively assess the individual contribution that each predictive measure made to explain the variability among values of integrated 24-h GH concentrations while in the presence of the remaining predictors. The model explained 65% of the variance in integrated 24-h GH concentrations. Abdominal visceral fat (P &lt; 0.002) and fasting insulin (P &lt; 0.008) were consistently important predictors of integrated 24-h GH concentrations independent of age group, gender, and all other predictor variables. Although serum IGF-I was an important overall predictor of integrated 24-h GH concentrations (P = 0.002), this relationship was present only in the young subjects and was modulated by gender. The remaining variables failed to contribute significantly to the model. We conclude that abdominal visceral fat and fasting insulin are important predictors of integrated 24-h GH concentrations in healthy adults, independent of age and gender. Serum IGF-I is an important predictor of integrated 24-h GH concentrations in young but not older subjects. Bidirectional feedback between each of these three factors and GH secretion may account for the strong relationships observed.","author":[{"dropping-particle":"","family":"Clasey","given":"Jody L.","non-dropping-particle":"","parse-names":false,"suffix":""},{"dropping-particle":"","family":"Weltman","given":"Arthur","non-dropping-particle":"","parse-names":false,"suffix":""},{"dropping-particle":"","family":"Patrie","given":"Jim","non-dropping-particle":"","parse-names":false,"suffix":""},{"dropping-particle":"","family":"Weltman","given":"Judy Y.","non-dropping-particle":"","parse-names":false,"suffix":""},{"dropping-particle":"","family":"Pezzoli","given":"Suzan","non-dropping-particle":"","parse-names":false,"suffix":""},{"dropping-particle":"","family":"Bouchard","given":"Claude","non-dropping-particle":"","parse-names":false,"suffix":""},{"dropping-particle":"","family":"Thorner","given":"Michael O.","non-dropping-particle":"","parse-names":false,"suffix":""},{"dropping-particle":"","family":"Hartman","given":"Mark L.","non-dropping-particle":"","parse-names":false,"suffix":""}],"container-title":"Journal of Clinical Endocrinology and Metabolism","id":"ITEM-1","issue":"8","issued":{"date-parts":[["2001"]]},"page":"3845-3852","publisher":"J Clin Endocrinol Metab","title":"Abdominal visceral fat and fasting insulin are important predictors of 24-hour GH release independent of age, gender, and other physiological factors","type":"article-journal","volume":"86"},"uris":["http://www.mendeley.com/documents/?uuid=0f608341-35ae-3a81-913a-c3f2768169d4"]}],"mendeley":{"formattedCitation":"(Clasey &lt;i&gt;et al.&lt;/i&gt;, 2001)","plainTextFormattedCitation":"(Clasey et al., 2001)","previouslyFormattedCitation":"(Clasey &lt;i&gt;et al.&lt;/i&gt;, 2001)"},"properties":{"noteIndex":0},"schema":"https://github.com/citation-style-language/schema/raw/master/csl-citation.json"}</w:instrText>
      </w:r>
      <w:r w:rsidR="00C27091" w:rsidRPr="0035519F">
        <w:rPr>
          <w:rFonts w:ascii="Arial" w:hAnsi="Arial" w:cs="Arial"/>
          <w:sz w:val="24"/>
          <w:szCs w:val="24"/>
        </w:rPr>
        <w:fldChar w:fldCharType="separate"/>
      </w:r>
      <w:r w:rsidR="00C27091" w:rsidRPr="0035519F">
        <w:rPr>
          <w:rFonts w:ascii="Arial" w:hAnsi="Arial" w:cs="Arial"/>
          <w:noProof/>
          <w:sz w:val="24"/>
          <w:szCs w:val="24"/>
        </w:rPr>
        <w:t xml:space="preserve">(Clasey </w:t>
      </w:r>
      <w:r w:rsidR="00C27091" w:rsidRPr="0035519F">
        <w:rPr>
          <w:rFonts w:ascii="Arial" w:hAnsi="Arial" w:cs="Arial"/>
          <w:i/>
          <w:noProof/>
          <w:sz w:val="24"/>
          <w:szCs w:val="24"/>
        </w:rPr>
        <w:t>et al.</w:t>
      </w:r>
      <w:r w:rsidR="00C27091" w:rsidRPr="0035519F">
        <w:rPr>
          <w:rFonts w:ascii="Arial" w:hAnsi="Arial" w:cs="Arial"/>
          <w:noProof/>
          <w:sz w:val="24"/>
          <w:szCs w:val="24"/>
        </w:rPr>
        <w:t>, 2001)</w:t>
      </w:r>
      <w:r w:rsidR="00C27091" w:rsidRPr="0035519F">
        <w:rPr>
          <w:rFonts w:ascii="Arial" w:hAnsi="Arial" w:cs="Arial"/>
          <w:sz w:val="24"/>
          <w:szCs w:val="24"/>
        </w:rPr>
        <w:fldChar w:fldCharType="end"/>
      </w:r>
      <w:r w:rsidR="00892332" w:rsidRPr="0035519F">
        <w:rPr>
          <w:rFonts w:ascii="Arial" w:hAnsi="Arial" w:cs="Arial"/>
          <w:sz w:val="24"/>
          <w:szCs w:val="24"/>
        </w:rPr>
        <w:t>.</w:t>
      </w:r>
    </w:p>
    <w:p w14:paraId="56442E3D" w14:textId="3BF53FF6" w:rsidR="008C268B" w:rsidRPr="0035519F" w:rsidRDefault="009A0FF6" w:rsidP="008C268B">
      <w:pPr>
        <w:pStyle w:val="ListParagraph"/>
        <w:spacing w:line="480" w:lineRule="auto"/>
        <w:ind w:left="270" w:right="18" w:firstLine="270"/>
        <w:jc w:val="both"/>
        <w:rPr>
          <w:rFonts w:ascii="Arial" w:hAnsi="Arial" w:cs="Arial"/>
          <w:sz w:val="24"/>
          <w:szCs w:val="24"/>
        </w:rPr>
      </w:pPr>
      <w:r w:rsidRPr="0035519F">
        <w:rPr>
          <w:rFonts w:ascii="Arial" w:hAnsi="Arial" w:cs="Arial"/>
          <w:sz w:val="24"/>
          <w:szCs w:val="24"/>
        </w:rPr>
        <w:t>Peningkatan VAT pada obesitas sentral dikaitkan dengan peningkatan FFA, dimana VAT</w:t>
      </w:r>
      <w:r w:rsidR="003D5B39" w:rsidRPr="0035519F">
        <w:rPr>
          <w:rFonts w:ascii="Arial" w:hAnsi="Arial" w:cs="Arial"/>
          <w:sz w:val="24"/>
          <w:szCs w:val="24"/>
        </w:rPr>
        <w:t xml:space="preserve"> dikenal sebagai penanda pelepasan FFA yang berlebih</w:t>
      </w:r>
      <w:r w:rsidRPr="0035519F">
        <w:rPr>
          <w:rFonts w:ascii="Arial" w:hAnsi="Arial" w:cs="Arial"/>
          <w:sz w:val="24"/>
          <w:szCs w:val="24"/>
        </w:rPr>
        <w:t xml:space="preserve">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{"citationItems":[{"id":"ITEM-1","itemData":{"DOI":"10.3390/nu5020498","ISSN":"20726643","PMID":"23434905","abstract":"Body fat deposition and excess free fatty acid (FFA) metabolism contribute to dyslipidemia and the adverse health consequences of obesity. Individuals with upper body obesity have impaired functioning of adipocytes, the primary fatty acid storage site. Excess visceral fat is strongly associated with impaired suppression of FFA release in response to insulin, as well as with hypertriglyceridemia and low concentrations of high density lipoprotein (HDL) cholesterol. High FFA concentrations can induce insulin resistance in muscle and liver. Furthermore, failure of hyperinsulinemia to normally suppress FFA is associated with impaired carbohydrate oxidation and muscle glucose storage, reduced hepatic insulin clearance and elevated triglycerides. Understanding the impact of body fat distribution on FFA metabolism and dyslipidemia is critical for determining the link between overweight and obesity and cardiovascular disease risk. In the current review, we will explore the relationship between adipose tissue, body fat depots, and FFA metabolism. © 2013 by the authors; licensee MDPI, Basel, Switzerland.","author":[{"dropping-particle":"","family":"Ebbert","given":"Jon O.","non-dropping-particle":"","parse-names":false,"suffix":""},{"dropping-particle":"","family":"Jensen","given":"Michael D.","non-dropping-particle":"","parse-names":false,"suffix":""}],"container-title":"Nutrients","id":"ITEM-1","issue":"2","issued":{"date-parts":[["2013","2","7"]]},"page":"495-508","publisher":"Multidisciplinary Digital Publishing Institute (MDPI)","title":"Fat depots, free fatty acids, and dyslipidemia","type":"article","volume":"5"},"uris":["http://www.mendeley.com/documents/?uuid=cff7fe48-7da6-3909-bde4-0391be8e99e4"]}],"mendeley":{"formattedCitation":"(Ebbert and Jensen, 2013)","plainTextFormattedCitation":"(Ebbert and Jensen, 2013)","previouslyFormattedCitation":"(Ebbert and Jensen, 2013)"},"properties":{"noteIndex":0},"schema":"https://github.com/citation-style-language/schema/raw/master/csl-citation.json"}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(Ebbert and Jensen, 2013)</w:t>
      </w:r>
      <w:r w:rsidRPr="0035519F">
        <w:rPr>
          <w:rFonts w:ascii="Arial" w:hAnsi="Arial" w:cs="Arial"/>
          <w:sz w:val="24"/>
          <w:szCs w:val="24"/>
        </w:rPr>
        <w:fldChar w:fldCharType="end"/>
      </w:r>
      <w:r w:rsidR="003D5B39" w:rsidRPr="0035519F">
        <w:rPr>
          <w:rFonts w:ascii="Arial" w:hAnsi="Arial" w:cs="Arial"/>
          <w:sz w:val="24"/>
          <w:szCs w:val="24"/>
        </w:rPr>
        <w:t xml:space="preserve">. </w:t>
      </w:r>
      <w:r w:rsidRPr="0035519F">
        <w:rPr>
          <w:rFonts w:ascii="Arial" w:eastAsia="Times New Roman" w:hAnsi="Arial" w:cs="Arial"/>
          <w:sz w:val="24"/>
          <w:szCs w:val="24"/>
        </w:rPr>
        <w:t xml:space="preserve">Tingginya kadar FFA pada obesitas memberi umpan balik negatif ke kelenjar pituitari untuk menurunkan </w:t>
      </w:r>
      <w:r w:rsidRPr="0035519F">
        <w:rPr>
          <w:rFonts w:ascii="Arial" w:eastAsia="Times New Roman" w:hAnsi="Arial" w:cs="Arial"/>
          <w:sz w:val="24"/>
          <w:szCs w:val="24"/>
        </w:rPr>
        <w:lastRenderedPageBreak/>
        <w:t>sintesis GH yang diikuti dengan penurunan konsentrasi IGF-1 plasma</w:t>
      </w:r>
      <w:r w:rsidR="00FD1C9C" w:rsidRPr="0035519F">
        <w:rPr>
          <w:rFonts w:ascii="Arial" w:hAnsi="Arial" w:cs="Arial"/>
          <w:sz w:val="24"/>
          <w:szCs w:val="24"/>
        </w:rPr>
        <w:t>.</w:t>
      </w:r>
      <w:r w:rsidR="00A10EDA" w:rsidRPr="0035519F">
        <w:rPr>
          <w:rFonts w:ascii="Arial" w:hAnsi="Arial" w:cs="Arial"/>
          <w:sz w:val="24"/>
          <w:szCs w:val="24"/>
        </w:rPr>
        <w:t xml:space="preserve"> </w:t>
      </w:r>
      <w:r w:rsidR="00FD1C9C" w:rsidRPr="0035519F">
        <w:rPr>
          <w:rFonts w:ascii="Arial" w:hAnsi="Arial" w:cs="Arial"/>
          <w:sz w:val="24"/>
          <w:szCs w:val="24"/>
        </w:rPr>
        <w:t xml:space="preserve">Hal inilah yang dapat menjelaskan </w:t>
      </w:r>
      <w:r w:rsidR="00A10EDA" w:rsidRPr="0035519F">
        <w:rPr>
          <w:rFonts w:ascii="Arial" w:hAnsi="Arial" w:cs="Arial"/>
          <w:sz w:val="24"/>
          <w:szCs w:val="24"/>
        </w:rPr>
        <w:t>menurunnya</w:t>
      </w:r>
      <w:r w:rsidR="00FD1C9C" w:rsidRPr="0035519F">
        <w:rPr>
          <w:rFonts w:ascii="Arial" w:hAnsi="Arial" w:cs="Arial"/>
          <w:sz w:val="24"/>
          <w:szCs w:val="24"/>
        </w:rPr>
        <w:t xml:space="preserve"> kadar IGF-1 pada individu obes</w:t>
      </w:r>
      <w:r w:rsidR="00A10EDA" w:rsidRPr="0035519F">
        <w:rPr>
          <w:rFonts w:ascii="Arial" w:hAnsi="Arial" w:cs="Arial"/>
          <w:sz w:val="24"/>
          <w:szCs w:val="24"/>
        </w:rPr>
        <w:t>itas</w:t>
      </w:r>
      <w:r w:rsidR="00A10EDA" w:rsidRPr="0035519F">
        <w:rPr>
          <w:rFonts w:ascii="Arial" w:eastAsia="Times New Roman" w:hAnsi="Arial" w:cs="Arial"/>
          <w:sz w:val="24"/>
          <w:szCs w:val="24"/>
        </w:rPr>
        <w:fldChar w:fldCharType="begin" w:fldLock="1"/>
      </w:r>
      <w:r w:rsidR="00862184" w:rsidRPr="0035519F">
        <w:rPr>
          <w:rFonts w:ascii="Arial" w:eastAsia="Times New Roman" w:hAnsi="Arial" w:cs="Arial"/>
          <w:sz w:val="24"/>
          <w:szCs w:val="24"/>
        </w:rPr>
        <w:instrText>ADDIN CSL_CITATION {"citationItems":[{"id":"ITEM-1","itemData":{"DOI":"10.1371/journal.pone.0154451","ISSN":"19326203","PMID":"27138941","abstract":"Introduction: IGF-1 (insulin-like growth factor-1) is a hormone involved in cell growth and other important processes. In the kidney, IGF-1 has a stimulating effect, increasing the blood flow and glomerular filtration rate. Although many experimental animal studies regarding the role of IGF-1 in the kidney have been conducted, few human studies are available in the literature. Obesity is a cause of renal failure, and several glomerular lesions associated with obesity have been described. However, no studies regarding the levels of IGF-1 in morbidly obese patients with renal injury associated with obesity have been conducted. Aim: To determine the serum IGF-1 concentrations in morbidly obese patients with normal renal function but with different types of early obesity-related glomerular lesions and to evaluate the possible relationship between IGF-1 and the presence of renal lesions. Methods: Eighty morbidly obese patients with renal biopsy, including 11 patients with no evidence of renal lesion, 17 patients with single glomerulomegaly, 21 patients with single podocyte hypertrophy, 10 patients with glomerulomegaly and podocyte hypertrophy, 5 patients with focal segmental hyalinosis, and 16 patients with increased mesangial matrix and/or mesangial proliferation, participated in this study. Biological parameters, including serum IGF-1 concentrations with the standard deviation score for age (SDS-IGF-1), were determined for all patients. Results: Eighty patients (50 women and 30 men) with a mean BMI of 52.63 ± 8.71 and a mean age of 42.40 ± 9.45 years were included in this study. IGF-1, IGF-1 SDS and IGF-1BP3 levels according to the renal injury were compared (normal glomeruli: IGF-1 = 190.17 ± 72.46; glomerulomegaly: IGF-1 = 122.3 ± 50.05; podocyte hypertrophy: IGF-1 = 119.81 ± 60.34; focal segmental hyalinosis: IGF-1 170.98 ± 100.83, increased mesangial matrix and/or mesangial proliferation: IGF-1 117.73 ± 63.87). Statistically significant differences were observed between serum levels of IGF-1 and between the levels of SDS-IGF-1 by comparing the group without glomerular lesion with the group formed by patients with any type of glomerular injury. Logistic regression analysis was performed, with the dependent variable defined as the glomerular injury. In the multivariate analysis, only SDS-IGF-1 was associated with glomerular injury, and low levels of IGF-1 SDS were a risk factor for kidney injury. Conclusions: Our study demonstrates that low IGF-1 serum l…","author":[{"dropping-particle":"","family":"Bancu","given":"Ioana","non-dropping-particle":"","parse-names":false,"suffix":""},{"dropping-particle":"","family":"Navarro Díaz","given":"Maruja","non-dropping-particle":"","parse-names":false,"suffix":""},{"dropping-particle":"","family":"Serra","given":"Assumpta","non-dropping-particle":"","parse-names":false,"suffix":""},{"dropping-particle":"","family":"Granada","given":"Marisa","non-dropping-particle":"","parse-names":false,"suffix":""},{"dropping-particle":"","family":"Lopez","given":"Dolores","non-dropping-particle":"","parse-names":false,"suffix":""},{"dropping-particle":"","family":"Romero","given":"Ramon","non-dropping-particle":"","parse-names":false,"suffix":""},{"dropping-particle":"","family":"Bonet","given":"Josep","non-dropping-particle":"","parse-names":false,"suffix":""}],"container-title":"PLoS ONE","id":"ITEM-1","issue":"5","issued":{"date-parts":[["2016","5","1"]]},"page":"e0154451","publisher":"Public Library of Science","title":"Low insulin-like growth factor-1 level in obesity nephropathy: A new risk factor?","type":"article-journal","volume":"11"},"uris":["http://www.mendeley.com/documents/?uuid=ec47f506-cded-3dda-b5ac-0c8e903a6e68"]}],"mendeley":{"formattedCitation":"(Bancu &lt;i&gt;et al.&lt;/i&gt;, 2016)","plainTextFormattedCitation":"(Bancu et al., 2016)","previouslyFormattedCitation":"(Bancu &lt;i&gt;et al.&lt;/i&gt;, 2016)"},"properties":{"noteIndex":0},"schema":"https://github.com/citation-style-language/schema/raw/master/csl-citation.json"}</w:instrText>
      </w:r>
      <w:r w:rsidR="00A10EDA" w:rsidRPr="0035519F">
        <w:rPr>
          <w:rFonts w:ascii="Arial" w:eastAsia="Times New Roman" w:hAnsi="Arial" w:cs="Arial"/>
          <w:sz w:val="24"/>
          <w:szCs w:val="24"/>
        </w:rPr>
        <w:fldChar w:fldCharType="separate"/>
      </w:r>
      <w:r w:rsidR="00A10EDA" w:rsidRPr="0035519F">
        <w:rPr>
          <w:rFonts w:ascii="Arial" w:eastAsia="Times New Roman" w:hAnsi="Arial" w:cs="Arial"/>
          <w:noProof/>
          <w:sz w:val="24"/>
          <w:szCs w:val="24"/>
        </w:rPr>
        <w:t xml:space="preserve">(Bancu </w:t>
      </w:r>
      <w:r w:rsidR="00A10EDA" w:rsidRPr="0035519F">
        <w:rPr>
          <w:rFonts w:ascii="Arial" w:eastAsia="Times New Roman" w:hAnsi="Arial" w:cs="Arial"/>
          <w:i/>
          <w:noProof/>
          <w:sz w:val="24"/>
          <w:szCs w:val="24"/>
        </w:rPr>
        <w:t>et al.</w:t>
      </w:r>
      <w:r w:rsidR="00A10EDA" w:rsidRPr="0035519F">
        <w:rPr>
          <w:rFonts w:ascii="Arial" w:eastAsia="Times New Roman" w:hAnsi="Arial" w:cs="Arial"/>
          <w:noProof/>
          <w:sz w:val="24"/>
          <w:szCs w:val="24"/>
        </w:rPr>
        <w:t>, 2016)</w:t>
      </w:r>
      <w:r w:rsidR="00A10EDA" w:rsidRPr="0035519F">
        <w:rPr>
          <w:rFonts w:ascii="Arial" w:eastAsia="Times New Roman" w:hAnsi="Arial" w:cs="Arial"/>
          <w:sz w:val="24"/>
          <w:szCs w:val="24"/>
        </w:rPr>
        <w:fldChar w:fldCharType="end"/>
      </w:r>
      <w:r w:rsidR="008C268B" w:rsidRPr="0035519F">
        <w:rPr>
          <w:rFonts w:ascii="Arial" w:hAnsi="Arial" w:cs="Arial"/>
          <w:sz w:val="24"/>
          <w:szCs w:val="24"/>
        </w:rPr>
        <w:t>.</w:t>
      </w:r>
    </w:p>
    <w:p w14:paraId="4AA39470" w14:textId="77777777" w:rsidR="008C268B" w:rsidRPr="0035519F" w:rsidRDefault="008C268B" w:rsidP="008C268B">
      <w:pPr>
        <w:pStyle w:val="ListParagraph"/>
        <w:spacing w:line="480" w:lineRule="auto"/>
        <w:ind w:left="270" w:right="18" w:firstLine="270"/>
        <w:jc w:val="both"/>
        <w:rPr>
          <w:rFonts w:ascii="Arial" w:hAnsi="Arial" w:cs="Arial"/>
          <w:sz w:val="24"/>
          <w:szCs w:val="24"/>
        </w:rPr>
      </w:pPr>
    </w:p>
    <w:p w14:paraId="6EB5DA4F" w14:textId="128B83C1" w:rsidR="008C268B" w:rsidRPr="0035519F" w:rsidRDefault="008C268B" w:rsidP="008C268B">
      <w:pPr>
        <w:pStyle w:val="ListParagraph"/>
        <w:numPr>
          <w:ilvl w:val="0"/>
          <w:numId w:val="38"/>
        </w:numPr>
        <w:spacing w:line="480" w:lineRule="auto"/>
        <w:ind w:left="270" w:right="18"/>
        <w:jc w:val="both"/>
        <w:outlineLvl w:val="1"/>
        <w:rPr>
          <w:rFonts w:ascii="Arial" w:hAnsi="Arial" w:cs="Arial"/>
          <w:b/>
          <w:sz w:val="24"/>
          <w:szCs w:val="24"/>
        </w:rPr>
      </w:pPr>
      <w:r w:rsidRPr="0035519F">
        <w:rPr>
          <w:rFonts w:ascii="Arial" w:hAnsi="Arial" w:cs="Arial"/>
          <w:b/>
          <w:sz w:val="24"/>
          <w:szCs w:val="24"/>
        </w:rPr>
        <w:t xml:space="preserve">Korelasi </w:t>
      </w:r>
      <w:r w:rsidR="009768AE" w:rsidRPr="0035519F">
        <w:rPr>
          <w:rFonts w:ascii="Arial" w:hAnsi="Arial" w:cs="Arial"/>
          <w:b/>
          <w:sz w:val="24"/>
          <w:szCs w:val="24"/>
        </w:rPr>
        <w:t>Nilai HOMA</w:t>
      </w:r>
      <w:r w:rsidR="007F1E64" w:rsidRPr="0035519F">
        <w:rPr>
          <w:rFonts w:ascii="Arial" w:hAnsi="Arial" w:cs="Arial"/>
          <w:b/>
          <w:sz w:val="24"/>
          <w:szCs w:val="24"/>
        </w:rPr>
        <w:t xml:space="preserve">-IR </w:t>
      </w:r>
      <w:r w:rsidRPr="0035519F">
        <w:rPr>
          <w:rFonts w:ascii="Arial" w:hAnsi="Arial" w:cs="Arial"/>
          <w:b/>
          <w:sz w:val="24"/>
          <w:szCs w:val="24"/>
        </w:rPr>
        <w:t xml:space="preserve">dan </w:t>
      </w:r>
      <w:r w:rsidR="007F1E64" w:rsidRPr="0035519F">
        <w:rPr>
          <w:rFonts w:ascii="Arial" w:hAnsi="Arial" w:cs="Arial"/>
          <w:b/>
          <w:sz w:val="24"/>
          <w:szCs w:val="24"/>
        </w:rPr>
        <w:t xml:space="preserve">IGF-1 </w:t>
      </w:r>
      <w:r w:rsidRPr="0035519F">
        <w:rPr>
          <w:rFonts w:ascii="Arial" w:hAnsi="Arial" w:cs="Arial"/>
          <w:b/>
          <w:sz w:val="24"/>
          <w:szCs w:val="24"/>
        </w:rPr>
        <w:t>pada</w:t>
      </w:r>
      <w:r w:rsidR="006C1D84" w:rsidRPr="0035519F">
        <w:rPr>
          <w:rFonts w:ascii="Arial" w:hAnsi="Arial" w:cs="Arial"/>
          <w:b/>
          <w:sz w:val="24"/>
          <w:szCs w:val="24"/>
        </w:rPr>
        <w:t xml:space="preserve"> seluruh </w:t>
      </w:r>
      <w:r w:rsidR="00CC2211" w:rsidRPr="0035519F">
        <w:rPr>
          <w:rFonts w:ascii="Arial" w:hAnsi="Arial" w:cs="Arial"/>
          <w:b/>
          <w:sz w:val="24"/>
          <w:szCs w:val="24"/>
        </w:rPr>
        <w:t>k</w:t>
      </w:r>
      <w:r w:rsidRPr="0035519F">
        <w:rPr>
          <w:rFonts w:ascii="Arial" w:hAnsi="Arial" w:cs="Arial"/>
          <w:b/>
          <w:sz w:val="24"/>
          <w:szCs w:val="24"/>
        </w:rPr>
        <w:t>elompok</w:t>
      </w:r>
      <w:r w:rsidR="007F1E64" w:rsidRPr="0035519F">
        <w:rPr>
          <w:rFonts w:ascii="Arial" w:hAnsi="Arial" w:cs="Arial"/>
          <w:b/>
          <w:sz w:val="24"/>
          <w:szCs w:val="24"/>
        </w:rPr>
        <w:t xml:space="preserve"> </w:t>
      </w:r>
      <w:r w:rsidR="00CC2211" w:rsidRPr="0035519F">
        <w:rPr>
          <w:rFonts w:ascii="Arial" w:hAnsi="Arial" w:cs="Arial"/>
          <w:b/>
          <w:sz w:val="24"/>
          <w:szCs w:val="24"/>
        </w:rPr>
        <w:t>d</w:t>
      </w:r>
      <w:r w:rsidR="007F1E64" w:rsidRPr="0035519F">
        <w:rPr>
          <w:rFonts w:ascii="Arial" w:hAnsi="Arial" w:cs="Arial"/>
          <w:b/>
          <w:sz w:val="24"/>
          <w:szCs w:val="24"/>
        </w:rPr>
        <w:t xml:space="preserve">ewasa Non DM serta </w:t>
      </w:r>
      <w:r w:rsidR="00CC2211" w:rsidRPr="0035519F">
        <w:rPr>
          <w:rFonts w:ascii="Arial" w:hAnsi="Arial" w:cs="Arial"/>
          <w:b/>
          <w:sz w:val="24"/>
          <w:szCs w:val="24"/>
        </w:rPr>
        <w:t>d</w:t>
      </w:r>
      <w:r w:rsidR="007F1E64" w:rsidRPr="0035519F">
        <w:rPr>
          <w:rFonts w:ascii="Arial" w:hAnsi="Arial" w:cs="Arial"/>
          <w:b/>
          <w:sz w:val="24"/>
          <w:szCs w:val="24"/>
        </w:rPr>
        <w:t>ewasa Non DM</w:t>
      </w:r>
      <w:r w:rsidR="00CC2211" w:rsidRPr="0035519F">
        <w:rPr>
          <w:rFonts w:ascii="Arial" w:hAnsi="Arial" w:cs="Arial"/>
          <w:b/>
          <w:sz w:val="24"/>
          <w:szCs w:val="24"/>
        </w:rPr>
        <w:t xml:space="preserve"> dengan dan tanpa o</w:t>
      </w:r>
      <w:r w:rsidRPr="0035519F">
        <w:rPr>
          <w:rFonts w:ascii="Arial" w:hAnsi="Arial" w:cs="Arial"/>
          <w:b/>
          <w:sz w:val="24"/>
          <w:szCs w:val="24"/>
        </w:rPr>
        <w:t xml:space="preserve">besitas </w:t>
      </w:r>
      <w:r w:rsidR="00CC2211" w:rsidRPr="0035519F">
        <w:rPr>
          <w:rFonts w:ascii="Arial" w:hAnsi="Arial" w:cs="Arial"/>
          <w:b/>
          <w:sz w:val="24"/>
          <w:szCs w:val="24"/>
        </w:rPr>
        <w:t>s</w:t>
      </w:r>
      <w:r w:rsidRPr="0035519F">
        <w:rPr>
          <w:rFonts w:ascii="Arial" w:hAnsi="Arial" w:cs="Arial"/>
          <w:b/>
          <w:sz w:val="24"/>
          <w:szCs w:val="24"/>
        </w:rPr>
        <w:t>entral.</w:t>
      </w:r>
    </w:p>
    <w:p w14:paraId="518502E8" w14:textId="75A6B34C" w:rsidR="008C268B" w:rsidRPr="0035519F" w:rsidRDefault="008C268B" w:rsidP="008C268B">
      <w:pPr>
        <w:pStyle w:val="ListParagraph"/>
        <w:spacing w:line="480" w:lineRule="auto"/>
        <w:ind w:left="270" w:right="18" w:firstLine="450"/>
        <w:jc w:val="both"/>
        <w:outlineLvl w:val="1"/>
        <w:rPr>
          <w:rFonts w:ascii="Arial" w:hAnsi="Arial" w:cs="Arial"/>
          <w:sz w:val="24"/>
          <w:szCs w:val="24"/>
        </w:rPr>
      </w:pPr>
      <w:r w:rsidRPr="0035519F">
        <w:rPr>
          <w:rFonts w:ascii="Arial" w:hAnsi="Arial" w:cs="Arial"/>
          <w:sz w:val="24"/>
          <w:szCs w:val="24"/>
        </w:rPr>
        <w:t xml:space="preserve">Hasil penelitian ini memperlihatkan antara </w:t>
      </w:r>
      <w:r w:rsidR="009768AE" w:rsidRPr="0035519F">
        <w:rPr>
          <w:rFonts w:ascii="Arial" w:hAnsi="Arial" w:cs="Arial"/>
          <w:sz w:val="24"/>
          <w:szCs w:val="24"/>
        </w:rPr>
        <w:t>nilai HOMA</w:t>
      </w:r>
      <w:r w:rsidR="006C1D84" w:rsidRPr="0035519F">
        <w:rPr>
          <w:rFonts w:ascii="Arial" w:hAnsi="Arial" w:cs="Arial"/>
          <w:sz w:val="24"/>
          <w:szCs w:val="24"/>
        </w:rPr>
        <w:t>-IR dan IGF-1</w:t>
      </w:r>
      <w:r w:rsidRPr="0035519F">
        <w:rPr>
          <w:rFonts w:ascii="Arial" w:hAnsi="Arial" w:cs="Arial"/>
          <w:sz w:val="24"/>
          <w:szCs w:val="24"/>
        </w:rPr>
        <w:t xml:space="preserve"> pada </w:t>
      </w:r>
      <w:r w:rsidR="006C1D84" w:rsidRPr="0035519F">
        <w:rPr>
          <w:rFonts w:ascii="Arial" w:hAnsi="Arial" w:cs="Arial"/>
          <w:sz w:val="24"/>
          <w:szCs w:val="24"/>
        </w:rPr>
        <w:t xml:space="preserve">seluruh </w:t>
      </w:r>
      <w:r w:rsidRPr="0035519F">
        <w:rPr>
          <w:rFonts w:ascii="Arial" w:hAnsi="Arial" w:cs="Arial"/>
          <w:sz w:val="24"/>
          <w:szCs w:val="24"/>
        </w:rPr>
        <w:t xml:space="preserve">kelompok </w:t>
      </w:r>
      <w:r w:rsidR="00B0389A" w:rsidRPr="0035519F">
        <w:rPr>
          <w:rFonts w:ascii="Arial" w:hAnsi="Arial" w:cs="Arial"/>
          <w:sz w:val="24"/>
          <w:szCs w:val="24"/>
        </w:rPr>
        <w:t>dewasa Non DM</w:t>
      </w:r>
      <w:r w:rsidR="006C1D84" w:rsidRPr="0035519F">
        <w:rPr>
          <w:rFonts w:ascii="Arial" w:hAnsi="Arial" w:cs="Arial"/>
          <w:sz w:val="24"/>
          <w:szCs w:val="24"/>
        </w:rPr>
        <w:t xml:space="preserve"> serta dewasa Non DM</w:t>
      </w:r>
      <w:r w:rsidR="00B0389A" w:rsidRPr="0035519F">
        <w:rPr>
          <w:rFonts w:ascii="Arial" w:hAnsi="Arial" w:cs="Arial"/>
          <w:sz w:val="24"/>
          <w:szCs w:val="24"/>
        </w:rPr>
        <w:t xml:space="preserve"> </w:t>
      </w:r>
      <w:r w:rsidRPr="0035519F">
        <w:rPr>
          <w:rFonts w:ascii="Arial" w:hAnsi="Arial" w:cs="Arial"/>
          <w:sz w:val="24"/>
          <w:szCs w:val="24"/>
        </w:rPr>
        <w:t>dengan dan tanpa obesitas tipe sentral ditemukan adanya korelasi</w:t>
      </w:r>
      <w:r w:rsidR="003F23F5" w:rsidRPr="0035519F">
        <w:rPr>
          <w:rFonts w:ascii="Arial" w:hAnsi="Arial" w:cs="Arial"/>
          <w:sz w:val="24"/>
          <w:szCs w:val="24"/>
        </w:rPr>
        <w:t xml:space="preserve"> namun tidak </w:t>
      </w:r>
      <w:r w:rsidRPr="0035519F">
        <w:rPr>
          <w:rFonts w:ascii="Arial" w:hAnsi="Arial" w:cs="Arial"/>
          <w:sz w:val="24"/>
          <w:szCs w:val="24"/>
        </w:rPr>
        <w:t>signifikan</w:t>
      </w:r>
      <w:r w:rsidR="003F23F5" w:rsidRPr="0035519F">
        <w:rPr>
          <w:rFonts w:ascii="Arial" w:hAnsi="Arial" w:cs="Arial"/>
          <w:sz w:val="24"/>
          <w:szCs w:val="24"/>
        </w:rPr>
        <w:t xml:space="preserve"> secara statistik</w:t>
      </w:r>
      <w:r w:rsidRPr="0035519F">
        <w:rPr>
          <w:rFonts w:ascii="Arial" w:hAnsi="Arial" w:cs="Arial"/>
          <w:sz w:val="24"/>
          <w:szCs w:val="24"/>
        </w:rPr>
        <w:t xml:space="preserve"> (p&gt;0,05). </w:t>
      </w:r>
    </w:p>
    <w:p w14:paraId="76CD6202" w14:textId="7EBE58BE" w:rsidR="008C268B" w:rsidRPr="0035519F" w:rsidRDefault="008C268B" w:rsidP="008C268B">
      <w:pPr>
        <w:pStyle w:val="ListParagraph"/>
        <w:spacing w:line="480" w:lineRule="auto"/>
        <w:ind w:left="270" w:right="18" w:firstLine="450"/>
        <w:jc w:val="both"/>
        <w:outlineLvl w:val="1"/>
        <w:rPr>
          <w:rFonts w:ascii="Arial" w:hAnsi="Arial" w:cs="Arial"/>
          <w:sz w:val="24"/>
          <w:szCs w:val="24"/>
        </w:rPr>
      </w:pPr>
      <w:r w:rsidRPr="0035519F">
        <w:rPr>
          <w:rFonts w:ascii="Arial" w:hAnsi="Arial" w:cs="Arial"/>
          <w:sz w:val="24"/>
          <w:szCs w:val="24"/>
        </w:rPr>
        <w:t xml:space="preserve">Telah diketahui bahwa IGF-I berperan memberikan efek hipoglikemik dan meningkatkan sensitivitas insulin pada subjek manusia. Namun sebaliknya belum diketahui secara jelas seberapa rendah kadar IGF-I </w:t>
      </w:r>
      <w:r w:rsidR="00CC2211" w:rsidRPr="0035519F">
        <w:rPr>
          <w:rFonts w:ascii="Arial" w:hAnsi="Arial" w:cs="Arial"/>
          <w:sz w:val="24"/>
          <w:szCs w:val="24"/>
        </w:rPr>
        <w:t>yang berkorelasi dengan</w:t>
      </w:r>
      <w:r w:rsidRPr="0035519F">
        <w:rPr>
          <w:rFonts w:ascii="Arial" w:hAnsi="Arial" w:cs="Arial"/>
          <w:sz w:val="24"/>
          <w:szCs w:val="24"/>
        </w:rPr>
        <w:t xml:space="preserve"> resistensi insulin. Reseptor insulin tersebar luas di jaringan manusia dan diketahui dapat lebih bertidak sebagai sebagai homoreseptor IGF-I dibanding homoreseptor insulin. Sebagian besar IGF-I yang bersirkulasi berasal dari sintesisnya di hati, diatur oleh hormon pertumbuhan (GH), insulin, dan asupan nutrisi. Rendahnya tingkat IGF-I yang bersirkulasi mungkin karena umpan balik negatif yang tidak memadai pada tingkat hipotalamus dan/atau hipofisis </w:t>
      </w:r>
      <w:r w:rsidRPr="0035519F">
        <w:rPr>
          <w:rFonts w:ascii="Arial" w:hAnsi="Arial" w:cs="Arial"/>
          <w:sz w:val="24"/>
          <w:szCs w:val="24"/>
        </w:rPr>
        <w:fldChar w:fldCharType="begin" w:fldLock="1"/>
      </w:r>
      <w:r w:rsidRPr="0035519F">
        <w:rPr>
          <w:rFonts w:ascii="Arial" w:hAnsi="Arial" w:cs="Arial"/>
          <w:sz w:val="24"/>
          <w:szCs w:val="24"/>
        </w:rPr>
        <w:instrText>ADDIN CSL_CITATION {"citationItems":[{"id":"ITEM-1","itemData":{"DOI":"10.4103/0973-3930.43100","ISSN":"09733930","PMID":"19902049","abstract":"Aim: We studied the correlations between fasting and post-lunch serum IGF-I concentrations, and insulin resistance and insulin sensitivity in subjects with various degrees of glucose tolerance. Materials and Methods: A total of 12 nondiabetic subjects, 09 subjects with impaired glucose tolerance (IGT) and 18 patients with newly diagnosed type-2 diabetes of either sex (mean age, 46 years) were recruited. None of the participants received any drug treatment at the commencement of the study. Fasting as well as post-lunch blood samples were collected from all the subjects and anthropometric and biochemical parameters were analyzed. Results: Fasting serum IGF-I concentrations were negatively correlated with fasting serum glucose, insulin, C-peptide, triglycerides, total LDL and VLDL cholesterol, homeostatic model assessment of insulin resistance (HOMA-IR), and age. Fasting serum IGF-I concentrations were positively correlated with fasting blood HDL cholesterol and homeostatic model assessment of insulin sensitivity (HOMA-S) in only diabetic subjects. Post-lunch serum IGF-I concentrations were positively correlated with HDL and LDL cholesterol. Correlations with HOMA-S with these metabolic anthropometric variables were of similar magnitude and direction as that of IGF-I concentrations. IGF-I concentrations were significantly lower in the subjects with World Health Organization-defined metabolic syndrome compared with the subjects without metabolic syndrome ( P &lt; 0.0001). Conclusions: Our data indicate that IGF-I could be a useful marker in the insulin resistance syndrome. The post-lunch low-IGF-I levels help in better identification of subjects at risk for type-2 diabetes mellitus and cardiovascular disease.","author":[{"dropping-particle":"","family":"Martha","given":"Srinivas","non-dropping-particle":"","parse-names":false,"suffix":""},{"dropping-particle":"","family":"Pantam","given":"Narayana","non-dropping-particle":"","parse-names":false,"suffix":""},{"dropping-particle":"","family":"Thungathurthi","given":"Surender","non-dropping-particle":"","parse-names":false,"suffix":""},{"dropping-particle":"","family":"Rao","given":"Vummentala L.N.","non-dropping-particle":"","parse-names":false,"suffix":""},{"dropping-particle":"","family":"Devarakonda","given":"Krishna","non-dropping-particle":"","parse-names":false,"suffix":""}],"container-title":"International Journal of Diabetes in Developing Countries","id":"ITEM-1","issue":"2","issued":{"date-parts":[["2008","4","1"]]},"page":"54-59","publisher":"Springer","title":"Study of insulin resistance in relation to serum IGF-I levels in subjects with different degrees of glucose tolerance","type":"article-journal","volume":"28"},"uris":["http://www.mendeley.com/documents/?uuid=3e6c493a-8b1f-3aa2-9a76-13be003d6cba"]}],"mendeley":{"formattedCitation":"(Martha &lt;i&gt;et al.&lt;/i&gt;, 2008)","plainTextFormattedCitation":"(Martha et al., 2008)","previouslyFormattedCitation":"(Martha &lt;i&gt;et al.&lt;/i&gt;, 2008)"},"properties":{"noteIndex":0},"schema":"https://github.com/citation-style-language/schema/raw/master/csl-citation.json"}</w:instrText>
      </w:r>
      <w:r w:rsidRPr="0035519F">
        <w:rPr>
          <w:rFonts w:ascii="Arial" w:hAnsi="Arial" w:cs="Arial"/>
          <w:sz w:val="24"/>
          <w:szCs w:val="24"/>
        </w:rPr>
        <w:fldChar w:fldCharType="separate"/>
      </w:r>
      <w:r w:rsidRPr="0035519F">
        <w:rPr>
          <w:rFonts w:ascii="Arial" w:hAnsi="Arial" w:cs="Arial"/>
          <w:noProof/>
          <w:sz w:val="24"/>
          <w:szCs w:val="24"/>
        </w:rPr>
        <w:t xml:space="preserve">(Martha </w:t>
      </w:r>
      <w:r w:rsidRPr="0035519F">
        <w:rPr>
          <w:rFonts w:ascii="Arial" w:hAnsi="Arial" w:cs="Arial"/>
          <w:i/>
          <w:noProof/>
          <w:sz w:val="24"/>
          <w:szCs w:val="24"/>
        </w:rPr>
        <w:t>et al.</w:t>
      </w:r>
      <w:r w:rsidRPr="0035519F">
        <w:rPr>
          <w:rFonts w:ascii="Arial" w:hAnsi="Arial" w:cs="Arial"/>
          <w:noProof/>
          <w:sz w:val="24"/>
          <w:szCs w:val="24"/>
        </w:rPr>
        <w:t>, 2008)</w:t>
      </w:r>
      <w:r w:rsidRPr="0035519F">
        <w:rPr>
          <w:rFonts w:ascii="Arial" w:hAnsi="Arial" w:cs="Arial"/>
          <w:sz w:val="24"/>
          <w:szCs w:val="24"/>
        </w:rPr>
        <w:fldChar w:fldCharType="end"/>
      </w:r>
      <w:r w:rsidRPr="0035519F">
        <w:rPr>
          <w:rFonts w:ascii="Arial" w:hAnsi="Arial" w:cs="Arial"/>
          <w:sz w:val="24"/>
          <w:szCs w:val="24"/>
        </w:rPr>
        <w:t>.</w:t>
      </w:r>
    </w:p>
    <w:p w14:paraId="4035DDDD" w14:textId="6E77AEC3" w:rsidR="008C268B" w:rsidRPr="0035519F" w:rsidRDefault="00031205" w:rsidP="008C268B">
      <w:pPr>
        <w:pStyle w:val="ListParagraph"/>
        <w:spacing w:line="480" w:lineRule="auto"/>
        <w:ind w:left="270" w:right="18" w:firstLine="450"/>
        <w:jc w:val="both"/>
        <w:outlineLvl w:val="1"/>
        <w:rPr>
          <w:rFonts w:ascii="Arial" w:hAnsi="Arial" w:cs="Arial"/>
          <w:sz w:val="24"/>
          <w:szCs w:val="24"/>
        </w:rPr>
      </w:pPr>
      <w:r w:rsidRPr="0035519F">
        <w:rPr>
          <w:rFonts w:ascii="Arial" w:hAnsi="Arial" w:cs="Arial"/>
          <w:sz w:val="24"/>
          <w:szCs w:val="24"/>
        </w:rPr>
        <w:t xml:space="preserve">Penurunan </w:t>
      </w:r>
      <w:r w:rsidR="00B71A29" w:rsidRPr="0035519F">
        <w:rPr>
          <w:rFonts w:ascii="Arial" w:hAnsi="Arial" w:cs="Arial"/>
          <w:sz w:val="24"/>
          <w:szCs w:val="24"/>
        </w:rPr>
        <w:t xml:space="preserve">Kadar IGF-1 sangat dipengaruhi oleh peningkatan FFA pada obesitas sentral karena penurunan sekresi GH baik melalui </w:t>
      </w:r>
      <w:r w:rsidR="00B71A29" w:rsidRPr="0035519F">
        <w:rPr>
          <w:rFonts w:ascii="Arial" w:hAnsi="Arial" w:cs="Arial"/>
          <w:sz w:val="24"/>
          <w:szCs w:val="24"/>
        </w:rPr>
        <w:lastRenderedPageBreak/>
        <w:t xml:space="preserve">mekanisme umpan balik hipofisis </w:t>
      </w:r>
      <w:r w:rsidRPr="0035519F">
        <w:rPr>
          <w:rFonts w:ascii="Arial" w:hAnsi="Arial" w:cs="Arial"/>
          <w:sz w:val="24"/>
          <w:szCs w:val="24"/>
        </w:rPr>
        <w:t>yang dapat terjadi pada kondisi resistensi insulin</w:t>
      </w:r>
      <w:r w:rsidR="00B71A29" w:rsidRPr="0035519F">
        <w:rPr>
          <w:rFonts w:ascii="Arial" w:hAnsi="Arial" w:cs="Arial"/>
          <w:sz w:val="24"/>
          <w:szCs w:val="24"/>
        </w:rPr>
        <w:fldChar w:fldCharType="begin" w:fldLock="1"/>
      </w:r>
      <w:r w:rsidR="00E624D3" w:rsidRPr="0035519F">
        <w:rPr>
          <w:rFonts w:ascii="Arial" w:hAnsi="Arial" w:cs="Arial"/>
          <w:sz w:val="24"/>
          <w:szCs w:val="24"/>
        </w:rPr>
        <w:instrText>ADDIN CSL_CITATION {"citationItems":[{"id":"ITEM-1","itemData":{"DOI":"10.2337/dc11-1833","ISSN":"01495992","PMID":"22374641","abstract":"OBJECTIVE - IGF-I has an almost 50% amino acid sequence homology with insulin and elicits nearly the same hypoglycemic response. Studies showed that low and high IGF-I levels are related to impaired glucose tolerance and to a higher risk of type 2 diabetes. The aim of the current study was to evaluate the association between IGF-I level and insulin resistance in a Danish general population. RESEARCH DESIGNANDMETHODS - Included were 3,354 adults, aged 19-72 years, from the cross-sectional Health 2006 study. The homeostasis model assessment of insulin resistance (HOMA-IR) was used as the index to estimate insulin resistance. Serum IGF-I levelswere determined by an immunoassay and grouped into quintiles (Q1-Q5). Linear or multinomial logistic regression analyses were performed. RESULTS - In the study population, 520 subjects (15.5%) had increased HOMA-IR values above 2.5. After adjustment for age, sex, physical activity, and waist-to-height ratio, a U-shaped association between IGF-I and HOMA-IR was found. Low IGF-I (Q1: odds ratio [OR] 1.65 [95% CI 1.16-2.34], P &lt; 0.01) as well as high IGF-I (Q5: 1.96 [1.38-2.79], P &lt; 0.01) levels were related to a higher odds of increased HOMA-IR values compared with subjects with intermediate (Q3) IGF-I levels. These associations remained statistically significant after the exclusion of subjects with type 2 diabetes and by using the updated computer HOMA2-IR model. CONCLUSIONS - Low- and high-normal IGF-I levels are both related to insulin resistance. The biological mechanism of this complex phenomenon has to be elucidated in more detail for future risk stratification. © 2012 by the American Diabetes Association.","author":[{"dropping-particle":"","family":"Friedrich","given":"Nele","non-dropping-particle":"","parse-names":false,"suffix":""},{"dropping-particle":"","family":"Thuesen","given":"Betina","non-dropping-particle":"","parse-names":false,"suffix":""},{"dropping-particle":"","family":"Jrøgensen","given":"Torben","non-dropping-particle":"","parse-names":false,"suffix":""},{"dropping-particle":"","family":"Juul","given":"Anders","non-dropping-particle":"","parse-names":false,"suffix":""},{"dropping-particle":"","family":"Spielhagen","given":"Christin","non-dropping-particle":"","parse-names":false,"suffix":""},{"dropping-particle":"","family":"Wallaschofksi","given":"Henri","non-dropping-particle":"","parse-names":false,"suffix":""},{"dropping-particle":"","family":"Linneberg","given":"Allan","non-dropping-particle":"","parse-names":false,"suffix":""}],"container-title":"Diabetes Care","id":"ITEM-1","issue":"4","issued":{"date-parts":[["2012","4"]]},"page":"768-773","publisher":"American Diabetes Association","title":"The association between IGF-I and insulin resistance: A general population study in Danish adults","type":"article-journal","volume":"35"},"uris":["http://www.mendeley.com/documents/?uuid=010a497d-cafd-3d87-9f9b-a35c5fff8686"]}],"mendeley":{"formattedCitation":"(Friedrich, Thuesen, Jrøgensen, &lt;i&gt;et al.&lt;/i&gt;, 2012)","plainTextFormattedCitation":"(Friedrich, Thuesen, Jrøgensen, et al., 2012)","previouslyFormattedCitation":"(Friedrich, Thuesen, Jrøgensen, &lt;i&gt;et al.&lt;/i&gt;, 2012)"},"properties":{"noteIndex":0},"schema":"https://github.com/citation-style-language/schema/raw/master/csl-citation.json"}</w:instrText>
      </w:r>
      <w:r w:rsidR="00B71A29" w:rsidRPr="0035519F">
        <w:rPr>
          <w:rFonts w:ascii="Arial" w:hAnsi="Arial" w:cs="Arial"/>
          <w:sz w:val="24"/>
          <w:szCs w:val="24"/>
        </w:rPr>
        <w:fldChar w:fldCharType="separate"/>
      </w:r>
      <w:r w:rsidR="00B71A29" w:rsidRPr="0035519F">
        <w:rPr>
          <w:rFonts w:ascii="Arial" w:hAnsi="Arial" w:cs="Arial"/>
          <w:noProof/>
          <w:sz w:val="24"/>
          <w:szCs w:val="24"/>
        </w:rPr>
        <w:t xml:space="preserve">(Friedrich, Thuesen, Jrøgensen, </w:t>
      </w:r>
      <w:r w:rsidR="00B71A29" w:rsidRPr="0035519F">
        <w:rPr>
          <w:rFonts w:ascii="Arial" w:hAnsi="Arial" w:cs="Arial"/>
          <w:i/>
          <w:noProof/>
          <w:sz w:val="24"/>
          <w:szCs w:val="24"/>
        </w:rPr>
        <w:t>et al.</w:t>
      </w:r>
      <w:r w:rsidR="00B71A29" w:rsidRPr="0035519F">
        <w:rPr>
          <w:rFonts w:ascii="Arial" w:hAnsi="Arial" w:cs="Arial"/>
          <w:noProof/>
          <w:sz w:val="24"/>
          <w:szCs w:val="24"/>
        </w:rPr>
        <w:t>, 2012)</w:t>
      </w:r>
      <w:r w:rsidR="00B71A29" w:rsidRPr="0035519F">
        <w:rPr>
          <w:rFonts w:ascii="Arial" w:hAnsi="Arial" w:cs="Arial"/>
          <w:sz w:val="24"/>
          <w:szCs w:val="24"/>
        </w:rPr>
        <w:fldChar w:fldCharType="end"/>
      </w:r>
      <w:r w:rsidR="00B71A29" w:rsidRPr="0035519F">
        <w:rPr>
          <w:rFonts w:ascii="Arial" w:hAnsi="Arial" w:cs="Arial"/>
          <w:sz w:val="24"/>
          <w:szCs w:val="24"/>
        </w:rPr>
        <w:t xml:space="preserve">, </w:t>
      </w:r>
      <w:r w:rsidRPr="0035519F">
        <w:rPr>
          <w:rFonts w:ascii="Arial" w:hAnsi="Arial" w:cs="Arial"/>
          <w:sz w:val="24"/>
          <w:szCs w:val="24"/>
        </w:rPr>
        <w:t>sementara resistensi insulin disebabkan oleh gangguan pensinyalan pada organ target yang mengkibatkan gangguan penyerapan glukosa</w:t>
      </w:r>
      <w:r w:rsidR="00E624D3" w:rsidRPr="0035519F">
        <w:rPr>
          <w:rFonts w:ascii="Arial" w:hAnsi="Arial" w:cs="Arial"/>
          <w:sz w:val="24"/>
          <w:szCs w:val="24"/>
        </w:rPr>
        <w:fldChar w:fldCharType="begin" w:fldLock="1"/>
      </w:r>
      <w:r w:rsidR="00E624D3" w:rsidRPr="0035519F">
        <w:rPr>
          <w:rFonts w:ascii="Arial" w:hAnsi="Arial" w:cs="Arial"/>
          <w:sz w:val="24"/>
          <w:szCs w:val="24"/>
        </w:rPr>
        <w:instrText>ADDIN CSL_CITATION {"citationItems":[{"id":"ITEM-1","itemData":{"DOI":"10.1590/0004-2730000003223","ISSN":"16779487","PMID":"25211442","abstract":"Overall excess of fat, usually defined by the body mass index, is associated with metabolic (e.g. glucose intolerance, type 2 diabetes mellitus (T2DM), dyslipidemia) and non-metabolic disorders (e.g. neoplasias, polycystic ovary syndrome, non-alcoholic fat liver disease, glomerulopathy, bone fragility etc.). However, more than its total amount, the distribution of adipose tissue throughout the body is a better predictor of the risk to the development of those disorders. Fat accumulation in the abdominal area and in non-adipose tissue (ectopic fat), for example, is associated with increased risk to develop metabolic and non-metabolic derangements. On the other hand, observations suggest that individuals who present peripheral adiposity, characterized by large hip and thigh circumferences, have better glucose tolerance, reduced incidence of T2DM and of metabolic syndrome. Insulin resistance (IR) is one of the main culprits in the association between obesity, particularly visceral, and metabolic as well as non-metabolic diseases. In this review we will highlight the current pathophysiological and molecular mechanisms possibly involved in the link between increased VAT, ectopic fat, IR and comorbidities. We will also provide some insights in the identification of these abnormalities.","author":[{"dropping-particle":"","family":"Castro","given":"Ana Valeria B.","non-dropping-particle":"","parse-names":false,"suffix":""},{"dropping-particle":"","family":"Kolka","given":"Cathryn M.","non-dropping-particle":"","parse-names":false,"suffix":""},{"dropping-particle":"","family":"Kim","given":"Stella P.","non-dropping-particle":"","parse-names":false,"suffix":""},{"dropping-particle":"","family":"Bergman","given":"Richard N.","non-dropping-particle":"","parse-names":false,"suffix":""}],"container-title":"Arquivos Brasileiros de Endocrinologia e Metabologia","id":"ITEM-1","issue":"6","issued":{"date-parts":[["2014"]]},"page":"600-609","publisher":"NIH Public Access","title":"Obesidade, Resistência à insulina e comorbidades - mecanismos de associação","type":"article","volume":"58"},"uris":["http://www.mendeley.com/documents/?uuid=9aab756c-2f41-3d8b-a021-eaff10d3ca64"]}],"mendeley":{"formattedCitation":"(Castro &lt;i&gt;et al.&lt;/i&gt;, 2014a)","plainTextFormattedCitation":"(Castro et al., 2014a)"},"properties":{"noteIndex":0},"schema":"https://github.com/citation-style-language/schema/raw/master/csl-citation.json"}</w:instrText>
      </w:r>
      <w:r w:rsidR="00E624D3" w:rsidRPr="0035519F">
        <w:rPr>
          <w:rFonts w:ascii="Arial" w:hAnsi="Arial" w:cs="Arial"/>
          <w:sz w:val="24"/>
          <w:szCs w:val="24"/>
        </w:rPr>
        <w:fldChar w:fldCharType="separate"/>
      </w:r>
      <w:r w:rsidR="00E624D3" w:rsidRPr="0035519F">
        <w:rPr>
          <w:rFonts w:ascii="Arial" w:hAnsi="Arial" w:cs="Arial"/>
          <w:noProof/>
          <w:sz w:val="24"/>
          <w:szCs w:val="24"/>
        </w:rPr>
        <w:t xml:space="preserve">(Castro </w:t>
      </w:r>
      <w:r w:rsidR="00E624D3" w:rsidRPr="0035519F">
        <w:rPr>
          <w:rFonts w:ascii="Arial" w:hAnsi="Arial" w:cs="Arial"/>
          <w:i/>
          <w:noProof/>
          <w:sz w:val="24"/>
          <w:szCs w:val="24"/>
        </w:rPr>
        <w:t>et al.</w:t>
      </w:r>
      <w:r w:rsidR="00E624D3" w:rsidRPr="0035519F">
        <w:rPr>
          <w:rFonts w:ascii="Arial" w:hAnsi="Arial" w:cs="Arial"/>
          <w:noProof/>
          <w:sz w:val="24"/>
          <w:szCs w:val="24"/>
        </w:rPr>
        <w:t>, 2014a)</w:t>
      </w:r>
      <w:r w:rsidR="00E624D3" w:rsidRPr="0035519F">
        <w:rPr>
          <w:rFonts w:ascii="Arial" w:hAnsi="Arial" w:cs="Arial"/>
          <w:sz w:val="24"/>
          <w:szCs w:val="24"/>
        </w:rPr>
        <w:fldChar w:fldCharType="end"/>
      </w:r>
      <w:r w:rsidRPr="0035519F">
        <w:rPr>
          <w:rFonts w:ascii="Arial" w:hAnsi="Arial" w:cs="Arial"/>
          <w:sz w:val="24"/>
          <w:szCs w:val="24"/>
        </w:rPr>
        <w:t xml:space="preserve">. </w:t>
      </w:r>
      <w:r w:rsidR="00E624D3" w:rsidRPr="0035519F">
        <w:rPr>
          <w:rFonts w:ascii="Arial" w:hAnsi="Arial" w:cs="Arial"/>
          <w:sz w:val="24"/>
          <w:szCs w:val="24"/>
        </w:rPr>
        <w:t>Pada penelitian ini, nilai HOMA-IR yang meningkat pada kelompok dewasa Non DM dengan dan tanpa obesitas sentral tidak menggambarkan kondisi resistensi insulin yang menyebabkan penurunan kadar IGF-1.</w:t>
      </w:r>
      <w:r w:rsidR="002C2C62" w:rsidRPr="0035519F">
        <w:rPr>
          <w:rFonts w:ascii="Arial" w:hAnsi="Arial" w:cs="Arial"/>
          <w:sz w:val="24"/>
          <w:szCs w:val="24"/>
        </w:rPr>
        <w:t xml:space="preserve"> Subjek penelitian kami adalah dewasa muda yang kemungkinan besar memiliki resistensi insulin </w:t>
      </w:r>
      <w:r w:rsidR="002C2C62" w:rsidRPr="0035519F">
        <w:rPr>
          <w:rFonts w:ascii="Arial" w:hAnsi="Arial" w:cs="Arial"/>
          <w:i/>
          <w:sz w:val="24"/>
          <w:szCs w:val="24"/>
        </w:rPr>
        <w:t>borderline</w:t>
      </w:r>
      <w:r w:rsidR="002C2C62" w:rsidRPr="0035519F">
        <w:rPr>
          <w:rFonts w:ascii="Arial" w:hAnsi="Arial" w:cs="Arial"/>
          <w:sz w:val="24"/>
          <w:szCs w:val="24"/>
        </w:rPr>
        <w:t xml:space="preserve"> dan masih dapat terkompensasi. </w:t>
      </w:r>
      <w:r w:rsidR="00E624D3" w:rsidRPr="0035519F">
        <w:rPr>
          <w:rFonts w:ascii="Arial" w:hAnsi="Arial" w:cs="Arial"/>
          <w:sz w:val="24"/>
          <w:szCs w:val="24"/>
        </w:rPr>
        <w:t xml:space="preserve"> Dengan demikian h</w:t>
      </w:r>
      <w:r w:rsidR="008C268B" w:rsidRPr="0035519F">
        <w:rPr>
          <w:rFonts w:ascii="Arial" w:hAnsi="Arial" w:cs="Arial"/>
          <w:sz w:val="24"/>
          <w:szCs w:val="24"/>
        </w:rPr>
        <w:t xml:space="preserve">asil kami menunjukkan bahwa di antara kelompok orang dewasa di Indonesia yang diteliti, </w:t>
      </w:r>
      <w:r w:rsidR="009768AE" w:rsidRPr="0035519F">
        <w:rPr>
          <w:rFonts w:ascii="Arial" w:hAnsi="Arial" w:cs="Arial"/>
          <w:sz w:val="24"/>
          <w:szCs w:val="24"/>
        </w:rPr>
        <w:t>nilai HOMA</w:t>
      </w:r>
      <w:r w:rsidR="00E624D3" w:rsidRPr="0035519F">
        <w:rPr>
          <w:rFonts w:ascii="Arial" w:hAnsi="Arial" w:cs="Arial"/>
          <w:sz w:val="24"/>
          <w:szCs w:val="24"/>
        </w:rPr>
        <w:t>-IR berkorelasi dengan penuruan IGF-1</w:t>
      </w:r>
      <w:r w:rsidR="003F23F5" w:rsidRPr="0035519F">
        <w:rPr>
          <w:rFonts w:ascii="Arial" w:hAnsi="Arial" w:cs="Arial"/>
          <w:sz w:val="24"/>
          <w:szCs w:val="24"/>
        </w:rPr>
        <w:t xml:space="preserve"> namun tidak signifikan secara statistik</w:t>
      </w:r>
      <w:r w:rsidR="008C268B" w:rsidRPr="0035519F">
        <w:rPr>
          <w:rFonts w:ascii="Arial" w:hAnsi="Arial" w:cs="Arial"/>
          <w:sz w:val="24"/>
          <w:szCs w:val="24"/>
        </w:rPr>
        <w:t>.</w:t>
      </w:r>
    </w:p>
    <w:p w14:paraId="61209704" w14:textId="7241EE2B" w:rsidR="00B861DE" w:rsidRPr="0035519F" w:rsidRDefault="00B861DE" w:rsidP="00891FA6">
      <w:pPr>
        <w:pStyle w:val="ListParagraph"/>
        <w:spacing w:line="480" w:lineRule="auto"/>
        <w:ind w:left="270" w:right="18" w:firstLine="270"/>
        <w:jc w:val="both"/>
        <w:rPr>
          <w:rFonts w:ascii="Arial" w:hAnsi="Arial" w:cs="Arial"/>
          <w:sz w:val="24"/>
          <w:szCs w:val="24"/>
        </w:rPr>
      </w:pPr>
    </w:p>
    <w:p w14:paraId="2ACAC2C9" w14:textId="77777777" w:rsidR="00FD1C9C" w:rsidRPr="0035519F" w:rsidRDefault="00FD1C9C" w:rsidP="00891FA6">
      <w:pPr>
        <w:pStyle w:val="ListParagraph"/>
        <w:spacing w:line="480" w:lineRule="auto"/>
        <w:ind w:left="270" w:right="18"/>
        <w:jc w:val="center"/>
        <w:outlineLvl w:val="1"/>
        <w:rPr>
          <w:rFonts w:ascii="Arial" w:hAnsi="Arial" w:cs="Arial"/>
          <w:b/>
          <w:sz w:val="24"/>
          <w:szCs w:val="24"/>
        </w:rPr>
      </w:pPr>
      <w:bookmarkStart w:id="84" w:name="_Toc111022791"/>
      <w:r w:rsidRPr="0035519F">
        <w:rPr>
          <w:rFonts w:ascii="Arial" w:hAnsi="Arial" w:cs="Arial"/>
          <w:b/>
          <w:sz w:val="24"/>
          <w:szCs w:val="24"/>
        </w:rPr>
        <w:t>C.</w:t>
      </w:r>
      <w:r w:rsidRPr="0035519F">
        <w:rPr>
          <w:rFonts w:ascii="Arial" w:hAnsi="Arial" w:cs="Arial"/>
          <w:b/>
          <w:sz w:val="24"/>
          <w:szCs w:val="24"/>
        </w:rPr>
        <w:tab/>
        <w:t>Keterbatasan Penelitian</w:t>
      </w:r>
      <w:bookmarkEnd w:id="84"/>
    </w:p>
    <w:p w14:paraId="3F9F5DA7" w14:textId="75AAB37A" w:rsidR="00FD1C9C" w:rsidRPr="0035519F" w:rsidRDefault="00FD1C9C" w:rsidP="00891FA6">
      <w:pPr>
        <w:pStyle w:val="ListParagraph"/>
        <w:spacing w:line="480" w:lineRule="auto"/>
        <w:ind w:left="0" w:right="18" w:firstLine="720"/>
        <w:jc w:val="both"/>
        <w:rPr>
          <w:rFonts w:ascii="Arial" w:hAnsi="Arial" w:cs="Arial"/>
          <w:sz w:val="24"/>
          <w:szCs w:val="24"/>
        </w:rPr>
      </w:pPr>
      <w:r w:rsidRPr="0035519F">
        <w:rPr>
          <w:rFonts w:ascii="Arial" w:hAnsi="Arial" w:cs="Arial"/>
          <w:sz w:val="24"/>
          <w:szCs w:val="24"/>
        </w:rPr>
        <w:t xml:space="preserve">Keterbatasan dalam penelitian ini adalah karena merupakan jenis penelitian </w:t>
      </w:r>
      <w:r w:rsidRPr="0035519F">
        <w:rPr>
          <w:rFonts w:ascii="Arial" w:hAnsi="Arial" w:cs="Arial"/>
          <w:i/>
          <w:sz w:val="24"/>
          <w:szCs w:val="24"/>
        </w:rPr>
        <w:t>cross sectional</w:t>
      </w:r>
      <w:r w:rsidRPr="0035519F">
        <w:rPr>
          <w:rFonts w:ascii="Arial" w:hAnsi="Arial" w:cs="Arial"/>
          <w:sz w:val="24"/>
          <w:szCs w:val="24"/>
        </w:rPr>
        <w:t xml:space="preserve"> sehingga tidak dapat menjelaskan hubungan kausal atau sebab akibat antara pen</w:t>
      </w:r>
      <w:r w:rsidR="00B443A5" w:rsidRPr="0035519F">
        <w:rPr>
          <w:rFonts w:ascii="Arial" w:hAnsi="Arial" w:cs="Arial"/>
          <w:sz w:val="24"/>
          <w:szCs w:val="24"/>
        </w:rPr>
        <w:t>urunan</w:t>
      </w:r>
      <w:r w:rsidRPr="0035519F">
        <w:rPr>
          <w:rFonts w:ascii="Arial" w:hAnsi="Arial" w:cs="Arial"/>
          <w:sz w:val="24"/>
          <w:szCs w:val="24"/>
        </w:rPr>
        <w:t xml:space="preserve"> kadar IGF-1 dan kejadian resistensi insulin pada subjek dengan obesitas </w:t>
      </w:r>
      <w:r w:rsidR="0005295A" w:rsidRPr="0035519F">
        <w:rPr>
          <w:rFonts w:ascii="Arial" w:hAnsi="Arial" w:cs="Arial"/>
          <w:sz w:val="24"/>
          <w:szCs w:val="24"/>
        </w:rPr>
        <w:t>sentral</w:t>
      </w:r>
      <w:r w:rsidRPr="0035519F">
        <w:rPr>
          <w:rFonts w:ascii="Arial" w:hAnsi="Arial" w:cs="Arial"/>
          <w:sz w:val="24"/>
          <w:szCs w:val="24"/>
        </w:rPr>
        <w:t>.</w:t>
      </w:r>
    </w:p>
    <w:p w14:paraId="5FD8B831" w14:textId="77777777" w:rsidR="004B33DD" w:rsidRPr="0035519F" w:rsidRDefault="004B33DD" w:rsidP="00075F6C">
      <w:pPr>
        <w:pStyle w:val="ListParagraph"/>
        <w:spacing w:line="480" w:lineRule="auto"/>
        <w:ind w:left="0" w:right="18" w:firstLine="720"/>
        <w:jc w:val="both"/>
        <w:outlineLvl w:val="1"/>
        <w:rPr>
          <w:rFonts w:ascii="Arial" w:hAnsi="Arial" w:cs="Arial"/>
          <w:sz w:val="24"/>
          <w:szCs w:val="24"/>
        </w:rPr>
      </w:pPr>
    </w:p>
    <w:p w14:paraId="181F188E" w14:textId="77777777" w:rsidR="00FD1C9C" w:rsidRPr="0035519F" w:rsidRDefault="00FD1C9C" w:rsidP="00891FA6">
      <w:pPr>
        <w:pStyle w:val="ListParagraph"/>
        <w:spacing w:line="480" w:lineRule="auto"/>
        <w:ind w:left="0" w:right="18"/>
        <w:jc w:val="center"/>
        <w:outlineLvl w:val="1"/>
        <w:rPr>
          <w:rFonts w:ascii="Arial" w:hAnsi="Arial" w:cs="Arial"/>
          <w:b/>
          <w:sz w:val="24"/>
          <w:szCs w:val="24"/>
        </w:rPr>
      </w:pPr>
      <w:bookmarkStart w:id="85" w:name="_Toc111022792"/>
      <w:r w:rsidRPr="0035519F">
        <w:rPr>
          <w:rFonts w:ascii="Arial" w:hAnsi="Arial" w:cs="Arial"/>
          <w:b/>
          <w:sz w:val="24"/>
          <w:szCs w:val="24"/>
        </w:rPr>
        <w:t>D.</w:t>
      </w:r>
      <w:r w:rsidRPr="0035519F">
        <w:rPr>
          <w:rFonts w:ascii="Arial" w:hAnsi="Arial" w:cs="Arial"/>
          <w:b/>
          <w:sz w:val="24"/>
          <w:szCs w:val="24"/>
        </w:rPr>
        <w:tab/>
        <w:t>Ringkasan Hasil Penelitian</w:t>
      </w:r>
      <w:bookmarkEnd w:id="85"/>
    </w:p>
    <w:p w14:paraId="7BFDB083" w14:textId="77777777" w:rsidR="00FD1C9C" w:rsidRPr="0035519F" w:rsidRDefault="00FD1C9C" w:rsidP="00891FA6">
      <w:pPr>
        <w:pStyle w:val="ListParagraph"/>
        <w:spacing w:line="480" w:lineRule="auto"/>
        <w:ind w:left="0" w:right="18"/>
        <w:jc w:val="both"/>
        <w:rPr>
          <w:rFonts w:ascii="Arial" w:hAnsi="Arial" w:cs="Arial"/>
          <w:sz w:val="24"/>
          <w:szCs w:val="24"/>
        </w:rPr>
      </w:pPr>
      <w:r w:rsidRPr="0035519F">
        <w:rPr>
          <w:rFonts w:ascii="Arial" w:hAnsi="Arial" w:cs="Arial"/>
          <w:sz w:val="24"/>
          <w:szCs w:val="24"/>
        </w:rPr>
        <w:t>Hasil penelitian ini dapat dirangkum sebagai berikut:</w:t>
      </w:r>
    </w:p>
    <w:p w14:paraId="3164DD74" w14:textId="77777777" w:rsidR="00B861DE" w:rsidRPr="0035519F" w:rsidRDefault="00B861DE" w:rsidP="00B861DE">
      <w:pPr>
        <w:pStyle w:val="ListParagraph"/>
        <w:numPr>
          <w:ilvl w:val="3"/>
          <w:numId w:val="22"/>
        </w:numPr>
        <w:spacing w:line="480" w:lineRule="auto"/>
        <w:ind w:left="360" w:right="18"/>
        <w:jc w:val="both"/>
        <w:rPr>
          <w:rFonts w:ascii="Arial" w:hAnsi="Arial" w:cs="Arial"/>
          <w:sz w:val="24"/>
          <w:szCs w:val="24"/>
        </w:rPr>
      </w:pPr>
      <w:r w:rsidRPr="0035519F">
        <w:rPr>
          <w:rFonts w:ascii="Arial" w:hAnsi="Arial" w:cs="Arial"/>
          <w:sz w:val="24"/>
          <w:szCs w:val="24"/>
        </w:rPr>
        <w:lastRenderedPageBreak/>
        <w:t>Rerata indeks HOMA-IR ditemukan signifikan lebih tinggi secara statistik pada pada obesitas sentral dibandingkan tanpa obesitas sentral (p≤0,01).</w:t>
      </w:r>
    </w:p>
    <w:p w14:paraId="4E6982E2" w14:textId="0C23D982" w:rsidR="00FD1C9C" w:rsidRPr="0035519F" w:rsidRDefault="00FD1C9C" w:rsidP="00891FA6">
      <w:pPr>
        <w:pStyle w:val="ListParagraph"/>
        <w:numPr>
          <w:ilvl w:val="3"/>
          <w:numId w:val="22"/>
        </w:numPr>
        <w:spacing w:line="480" w:lineRule="auto"/>
        <w:ind w:left="360" w:right="18"/>
        <w:jc w:val="both"/>
        <w:rPr>
          <w:rFonts w:ascii="Arial" w:hAnsi="Arial" w:cs="Arial"/>
          <w:sz w:val="24"/>
          <w:szCs w:val="24"/>
        </w:rPr>
      </w:pPr>
      <w:r w:rsidRPr="0035519F">
        <w:rPr>
          <w:rFonts w:ascii="Arial" w:hAnsi="Arial" w:cs="Arial"/>
          <w:sz w:val="24"/>
          <w:szCs w:val="24"/>
        </w:rPr>
        <w:t xml:space="preserve">Rerata kadar IGF-1 ditemukan signifikan lebih </w:t>
      </w:r>
      <w:r w:rsidR="004B33DD" w:rsidRPr="0035519F">
        <w:rPr>
          <w:rFonts w:ascii="Arial" w:hAnsi="Arial" w:cs="Arial"/>
          <w:sz w:val="24"/>
          <w:szCs w:val="24"/>
        </w:rPr>
        <w:t>rendah</w:t>
      </w:r>
      <w:r w:rsidRPr="0035519F">
        <w:rPr>
          <w:rFonts w:ascii="Arial" w:hAnsi="Arial" w:cs="Arial"/>
          <w:sz w:val="24"/>
          <w:szCs w:val="24"/>
        </w:rPr>
        <w:t xml:space="preserve"> secara statistik pada obesitas </w:t>
      </w:r>
      <w:r w:rsidR="0005295A" w:rsidRPr="0035519F">
        <w:rPr>
          <w:rFonts w:ascii="Arial" w:hAnsi="Arial" w:cs="Arial"/>
          <w:sz w:val="24"/>
          <w:szCs w:val="24"/>
        </w:rPr>
        <w:t>sentral</w:t>
      </w:r>
      <w:r w:rsidRPr="0035519F">
        <w:rPr>
          <w:rFonts w:ascii="Arial" w:hAnsi="Arial" w:cs="Arial"/>
          <w:sz w:val="24"/>
          <w:szCs w:val="24"/>
        </w:rPr>
        <w:t xml:space="preserve"> dibandingkan tanpa obesitas </w:t>
      </w:r>
      <w:r w:rsidR="0005295A" w:rsidRPr="0035519F">
        <w:rPr>
          <w:rFonts w:ascii="Arial" w:hAnsi="Arial" w:cs="Arial"/>
          <w:sz w:val="24"/>
          <w:szCs w:val="24"/>
        </w:rPr>
        <w:t>sentral</w:t>
      </w:r>
      <w:r w:rsidRPr="0035519F">
        <w:rPr>
          <w:rFonts w:ascii="Arial" w:hAnsi="Arial" w:cs="Arial"/>
          <w:sz w:val="24"/>
          <w:szCs w:val="24"/>
        </w:rPr>
        <w:t xml:space="preserve"> (p&lt;0,05).</w:t>
      </w:r>
    </w:p>
    <w:p w14:paraId="565C0ECA" w14:textId="7C2CF32A" w:rsidR="006C1D84" w:rsidRPr="0035519F" w:rsidRDefault="003F23F5" w:rsidP="00891FA6">
      <w:pPr>
        <w:pStyle w:val="ListParagraph"/>
        <w:numPr>
          <w:ilvl w:val="3"/>
          <w:numId w:val="22"/>
        </w:numPr>
        <w:spacing w:line="480" w:lineRule="auto"/>
        <w:ind w:left="360" w:right="18"/>
        <w:jc w:val="both"/>
        <w:rPr>
          <w:rFonts w:ascii="Arial" w:hAnsi="Arial" w:cs="Arial"/>
          <w:sz w:val="24"/>
          <w:szCs w:val="24"/>
        </w:rPr>
      </w:pPr>
      <w:r w:rsidRPr="0035519F">
        <w:rPr>
          <w:rFonts w:ascii="Arial" w:hAnsi="Arial" w:cs="Arial"/>
          <w:sz w:val="24"/>
          <w:szCs w:val="24"/>
        </w:rPr>
        <w:t>Nilai Indeks HOMA-IR</w:t>
      </w:r>
      <w:r w:rsidR="006C1D84" w:rsidRPr="0035519F">
        <w:rPr>
          <w:rFonts w:ascii="Arial" w:hAnsi="Arial" w:cs="Arial"/>
          <w:sz w:val="24"/>
          <w:szCs w:val="24"/>
        </w:rPr>
        <w:t xml:space="preserve"> berkorelasi dengan IGF-1 pada seluruh kelompok dewasa Non DM serta dewasa non DM dengan dan tanpa obesitas sentral</w:t>
      </w:r>
      <w:r w:rsidRPr="0035519F">
        <w:rPr>
          <w:rFonts w:ascii="Arial" w:hAnsi="Arial" w:cs="Arial"/>
          <w:sz w:val="24"/>
          <w:szCs w:val="24"/>
        </w:rPr>
        <w:t xml:space="preserve"> namun tidak signifikan secara statistik</w:t>
      </w:r>
      <w:r w:rsidR="006C1D84" w:rsidRPr="0035519F">
        <w:rPr>
          <w:rFonts w:ascii="Arial" w:hAnsi="Arial" w:cs="Arial"/>
          <w:sz w:val="24"/>
          <w:szCs w:val="24"/>
        </w:rPr>
        <w:t>.</w:t>
      </w:r>
    </w:p>
    <w:p w14:paraId="53500D0A" w14:textId="07CCB5A1" w:rsidR="006C1D84" w:rsidRPr="0035519F" w:rsidRDefault="006C1D84" w:rsidP="006C1D84">
      <w:pPr>
        <w:pStyle w:val="ListParagraph"/>
        <w:spacing w:line="480" w:lineRule="auto"/>
        <w:ind w:left="2520" w:right="18"/>
        <w:jc w:val="both"/>
        <w:rPr>
          <w:rFonts w:ascii="Arial" w:hAnsi="Arial" w:cs="Arial"/>
          <w:sz w:val="24"/>
          <w:szCs w:val="24"/>
        </w:rPr>
      </w:pPr>
    </w:p>
    <w:p w14:paraId="5360A72C" w14:textId="6539D0CE" w:rsidR="00117F69" w:rsidRPr="0035519F" w:rsidRDefault="00117F69" w:rsidP="006C1D84">
      <w:pPr>
        <w:pStyle w:val="ListParagraph"/>
        <w:spacing w:line="480" w:lineRule="auto"/>
        <w:ind w:left="2520" w:right="18"/>
        <w:jc w:val="both"/>
        <w:rPr>
          <w:rFonts w:ascii="Arial" w:hAnsi="Arial" w:cs="Arial"/>
          <w:sz w:val="24"/>
          <w:szCs w:val="24"/>
        </w:rPr>
      </w:pPr>
    </w:p>
    <w:p w14:paraId="760C55A2" w14:textId="4242D5A7" w:rsidR="00117F69" w:rsidRPr="0035519F" w:rsidRDefault="00117F69" w:rsidP="006C1D84">
      <w:pPr>
        <w:pStyle w:val="ListParagraph"/>
        <w:spacing w:line="480" w:lineRule="auto"/>
        <w:ind w:left="2520" w:right="18"/>
        <w:jc w:val="both"/>
        <w:rPr>
          <w:rFonts w:ascii="Arial" w:hAnsi="Arial" w:cs="Arial"/>
          <w:sz w:val="24"/>
          <w:szCs w:val="24"/>
        </w:rPr>
      </w:pPr>
    </w:p>
    <w:p w14:paraId="190B3107" w14:textId="3821593B" w:rsidR="00117F69" w:rsidRPr="0035519F" w:rsidRDefault="00117F69" w:rsidP="006C1D84">
      <w:pPr>
        <w:pStyle w:val="ListParagraph"/>
        <w:spacing w:line="480" w:lineRule="auto"/>
        <w:ind w:left="2520" w:right="18"/>
        <w:jc w:val="both"/>
        <w:rPr>
          <w:rFonts w:ascii="Arial" w:hAnsi="Arial" w:cs="Arial"/>
          <w:sz w:val="24"/>
          <w:szCs w:val="24"/>
        </w:rPr>
      </w:pPr>
    </w:p>
    <w:p w14:paraId="72690F1D" w14:textId="59212963" w:rsidR="00117F69" w:rsidRPr="0035519F" w:rsidRDefault="00117F69" w:rsidP="006C1D84">
      <w:pPr>
        <w:pStyle w:val="ListParagraph"/>
        <w:spacing w:line="480" w:lineRule="auto"/>
        <w:ind w:left="2520" w:right="18"/>
        <w:jc w:val="both"/>
        <w:rPr>
          <w:rFonts w:ascii="Arial" w:hAnsi="Arial" w:cs="Arial"/>
          <w:sz w:val="24"/>
          <w:szCs w:val="24"/>
        </w:rPr>
      </w:pPr>
    </w:p>
    <w:p w14:paraId="683D8DAF" w14:textId="33536C19" w:rsidR="00117F69" w:rsidRPr="0035519F" w:rsidRDefault="00117F69" w:rsidP="006C1D84">
      <w:pPr>
        <w:pStyle w:val="ListParagraph"/>
        <w:spacing w:line="480" w:lineRule="auto"/>
        <w:ind w:left="2520" w:right="18"/>
        <w:jc w:val="both"/>
        <w:rPr>
          <w:rFonts w:ascii="Arial" w:hAnsi="Arial" w:cs="Arial"/>
          <w:sz w:val="24"/>
          <w:szCs w:val="24"/>
        </w:rPr>
      </w:pPr>
    </w:p>
    <w:p w14:paraId="2266D5BF" w14:textId="2D05C1CF" w:rsidR="00117F69" w:rsidRPr="0035519F" w:rsidRDefault="00117F69" w:rsidP="006C1D84">
      <w:pPr>
        <w:pStyle w:val="ListParagraph"/>
        <w:spacing w:line="480" w:lineRule="auto"/>
        <w:ind w:left="2520" w:right="18"/>
        <w:jc w:val="both"/>
        <w:rPr>
          <w:rFonts w:ascii="Arial" w:hAnsi="Arial" w:cs="Arial"/>
          <w:sz w:val="24"/>
          <w:szCs w:val="24"/>
        </w:rPr>
      </w:pPr>
    </w:p>
    <w:p w14:paraId="50E8F0F3" w14:textId="168F12B5" w:rsidR="00117F69" w:rsidRPr="0035519F" w:rsidRDefault="00117F69" w:rsidP="006C1D84">
      <w:pPr>
        <w:pStyle w:val="ListParagraph"/>
        <w:spacing w:line="480" w:lineRule="auto"/>
        <w:ind w:left="2520" w:right="18"/>
        <w:jc w:val="both"/>
        <w:rPr>
          <w:rFonts w:ascii="Arial" w:hAnsi="Arial" w:cs="Arial"/>
          <w:sz w:val="24"/>
          <w:szCs w:val="24"/>
        </w:rPr>
      </w:pPr>
    </w:p>
    <w:p w14:paraId="09CD5C1C" w14:textId="0B805040" w:rsidR="00117F69" w:rsidRPr="0035519F" w:rsidRDefault="00117F69" w:rsidP="006C1D84">
      <w:pPr>
        <w:pStyle w:val="ListParagraph"/>
        <w:spacing w:line="480" w:lineRule="auto"/>
        <w:ind w:left="2520" w:right="18"/>
        <w:jc w:val="both"/>
        <w:rPr>
          <w:rFonts w:ascii="Arial" w:hAnsi="Arial" w:cs="Arial"/>
          <w:sz w:val="24"/>
          <w:szCs w:val="24"/>
        </w:rPr>
      </w:pPr>
    </w:p>
    <w:p w14:paraId="549363DE" w14:textId="458F6DC9" w:rsidR="00117F69" w:rsidRPr="0035519F" w:rsidRDefault="00117F69" w:rsidP="006C1D84">
      <w:pPr>
        <w:pStyle w:val="ListParagraph"/>
        <w:spacing w:line="480" w:lineRule="auto"/>
        <w:ind w:left="2520" w:right="18"/>
        <w:jc w:val="both"/>
        <w:rPr>
          <w:rFonts w:ascii="Arial" w:hAnsi="Arial" w:cs="Arial"/>
          <w:sz w:val="24"/>
          <w:szCs w:val="24"/>
        </w:rPr>
      </w:pPr>
    </w:p>
    <w:p w14:paraId="2A739741" w14:textId="45928136" w:rsidR="00117F69" w:rsidRPr="0035519F" w:rsidRDefault="00117F69" w:rsidP="006C1D84">
      <w:pPr>
        <w:pStyle w:val="ListParagraph"/>
        <w:spacing w:line="480" w:lineRule="auto"/>
        <w:ind w:left="2520" w:right="18"/>
        <w:jc w:val="both"/>
        <w:rPr>
          <w:rFonts w:ascii="Arial" w:hAnsi="Arial" w:cs="Arial"/>
          <w:sz w:val="24"/>
          <w:szCs w:val="24"/>
        </w:rPr>
      </w:pPr>
    </w:p>
    <w:p w14:paraId="2073BE46" w14:textId="666D8F87" w:rsidR="00117F69" w:rsidRPr="0035519F" w:rsidRDefault="00117F69" w:rsidP="006C1D84">
      <w:pPr>
        <w:pStyle w:val="ListParagraph"/>
        <w:spacing w:line="480" w:lineRule="auto"/>
        <w:ind w:left="2520" w:right="18"/>
        <w:jc w:val="both"/>
        <w:rPr>
          <w:rFonts w:ascii="Arial" w:hAnsi="Arial" w:cs="Arial"/>
          <w:sz w:val="24"/>
          <w:szCs w:val="24"/>
        </w:rPr>
      </w:pPr>
    </w:p>
    <w:p w14:paraId="14282050" w14:textId="40C6044A" w:rsidR="00117F69" w:rsidRPr="0035519F" w:rsidRDefault="00117F69" w:rsidP="006C1D84">
      <w:pPr>
        <w:pStyle w:val="ListParagraph"/>
        <w:spacing w:line="480" w:lineRule="auto"/>
        <w:ind w:left="2520" w:right="18"/>
        <w:jc w:val="both"/>
        <w:rPr>
          <w:rFonts w:ascii="Arial" w:hAnsi="Arial" w:cs="Arial"/>
          <w:sz w:val="24"/>
          <w:szCs w:val="24"/>
        </w:rPr>
      </w:pPr>
    </w:p>
    <w:p w14:paraId="079F7236" w14:textId="0131A9E8" w:rsidR="00117F69" w:rsidRPr="0035519F" w:rsidRDefault="00117F69" w:rsidP="006C1D84">
      <w:pPr>
        <w:pStyle w:val="ListParagraph"/>
        <w:spacing w:line="480" w:lineRule="auto"/>
        <w:ind w:left="2520" w:right="18"/>
        <w:jc w:val="both"/>
        <w:rPr>
          <w:rFonts w:ascii="Arial" w:hAnsi="Arial" w:cs="Arial"/>
          <w:sz w:val="24"/>
          <w:szCs w:val="24"/>
        </w:rPr>
      </w:pPr>
    </w:p>
    <w:p w14:paraId="694FCDC5" w14:textId="570FFEE0" w:rsidR="00117F69" w:rsidRPr="0035519F" w:rsidRDefault="00117F69" w:rsidP="006C1D84">
      <w:pPr>
        <w:pStyle w:val="ListParagraph"/>
        <w:spacing w:line="480" w:lineRule="auto"/>
        <w:ind w:left="2520" w:right="18"/>
        <w:jc w:val="both"/>
        <w:rPr>
          <w:rFonts w:ascii="Arial" w:hAnsi="Arial" w:cs="Arial"/>
          <w:sz w:val="24"/>
          <w:szCs w:val="24"/>
        </w:rPr>
      </w:pPr>
    </w:p>
    <w:p w14:paraId="7FF8875D" w14:textId="77777777" w:rsidR="00075F6C" w:rsidRPr="0035519F" w:rsidRDefault="00FD1C9C" w:rsidP="00891FA6">
      <w:pPr>
        <w:pStyle w:val="ListParagraph"/>
        <w:spacing w:line="480" w:lineRule="auto"/>
        <w:ind w:left="0" w:right="18"/>
        <w:jc w:val="center"/>
        <w:outlineLvl w:val="0"/>
        <w:rPr>
          <w:rFonts w:ascii="Arial" w:hAnsi="Arial" w:cs="Arial"/>
          <w:b/>
          <w:sz w:val="28"/>
          <w:szCs w:val="28"/>
        </w:rPr>
      </w:pPr>
      <w:bookmarkStart w:id="86" w:name="_Toc111022793"/>
      <w:r w:rsidRPr="0035519F">
        <w:rPr>
          <w:rFonts w:ascii="Arial" w:hAnsi="Arial" w:cs="Arial"/>
          <w:b/>
          <w:sz w:val="28"/>
          <w:szCs w:val="28"/>
        </w:rPr>
        <w:lastRenderedPageBreak/>
        <w:t>BAB VI</w:t>
      </w:r>
      <w:bookmarkEnd w:id="86"/>
    </w:p>
    <w:p w14:paraId="7C6E0972" w14:textId="77777777" w:rsidR="00FD1C9C" w:rsidRPr="0035519F" w:rsidRDefault="00FD1C9C" w:rsidP="00891FA6">
      <w:pPr>
        <w:pStyle w:val="ListParagraph"/>
        <w:spacing w:line="480" w:lineRule="auto"/>
        <w:ind w:left="0" w:right="18"/>
        <w:jc w:val="center"/>
        <w:outlineLvl w:val="0"/>
        <w:rPr>
          <w:rFonts w:ascii="Arial" w:hAnsi="Arial" w:cs="Arial"/>
          <w:b/>
          <w:sz w:val="28"/>
          <w:szCs w:val="28"/>
        </w:rPr>
      </w:pPr>
      <w:r w:rsidRPr="0035519F">
        <w:rPr>
          <w:rFonts w:ascii="Arial" w:hAnsi="Arial" w:cs="Arial"/>
          <w:b/>
          <w:sz w:val="28"/>
          <w:szCs w:val="28"/>
        </w:rPr>
        <w:t xml:space="preserve"> </w:t>
      </w:r>
      <w:bookmarkStart w:id="87" w:name="_Toc111022794"/>
      <w:r w:rsidRPr="0035519F">
        <w:rPr>
          <w:rFonts w:ascii="Arial" w:hAnsi="Arial" w:cs="Arial"/>
          <w:b/>
          <w:sz w:val="28"/>
          <w:szCs w:val="28"/>
        </w:rPr>
        <w:t>PENUTUP</w:t>
      </w:r>
      <w:bookmarkEnd w:id="87"/>
    </w:p>
    <w:p w14:paraId="246D54A0" w14:textId="77777777" w:rsidR="00FD1C9C" w:rsidRPr="0035519F" w:rsidRDefault="00FD1C9C" w:rsidP="00BA23FD">
      <w:pPr>
        <w:pStyle w:val="ListParagraph"/>
        <w:spacing w:line="480" w:lineRule="auto"/>
        <w:ind w:left="0" w:right="18"/>
        <w:jc w:val="center"/>
        <w:outlineLvl w:val="1"/>
        <w:rPr>
          <w:rFonts w:ascii="Arial" w:hAnsi="Arial" w:cs="Arial"/>
          <w:b/>
          <w:sz w:val="24"/>
          <w:szCs w:val="24"/>
        </w:rPr>
      </w:pPr>
      <w:bookmarkStart w:id="88" w:name="_Toc111022795"/>
      <w:r w:rsidRPr="0035519F">
        <w:rPr>
          <w:rFonts w:ascii="Arial" w:hAnsi="Arial" w:cs="Arial"/>
          <w:b/>
          <w:sz w:val="24"/>
          <w:szCs w:val="24"/>
        </w:rPr>
        <w:t>A.</w:t>
      </w:r>
      <w:r w:rsidRPr="0035519F">
        <w:rPr>
          <w:rFonts w:ascii="Arial" w:hAnsi="Arial" w:cs="Arial"/>
          <w:b/>
          <w:sz w:val="24"/>
          <w:szCs w:val="24"/>
        </w:rPr>
        <w:tab/>
        <w:t>Kesimpulan</w:t>
      </w:r>
      <w:bookmarkEnd w:id="88"/>
    </w:p>
    <w:p w14:paraId="11543B7F" w14:textId="77777777" w:rsidR="00FD1C9C" w:rsidRPr="0035519F" w:rsidRDefault="00FD1C9C" w:rsidP="00891FA6">
      <w:pPr>
        <w:pStyle w:val="ListParagraph"/>
        <w:spacing w:line="480" w:lineRule="auto"/>
        <w:ind w:left="0" w:right="18"/>
        <w:jc w:val="both"/>
        <w:rPr>
          <w:rFonts w:ascii="Arial" w:hAnsi="Arial" w:cs="Arial"/>
          <w:sz w:val="24"/>
          <w:szCs w:val="24"/>
        </w:rPr>
      </w:pPr>
    </w:p>
    <w:p w14:paraId="0624F38D" w14:textId="23909DF3" w:rsidR="00B861DE" w:rsidRPr="0035519F" w:rsidRDefault="003B3EAA" w:rsidP="002C5221">
      <w:pPr>
        <w:pStyle w:val="ListParagraph"/>
        <w:numPr>
          <w:ilvl w:val="3"/>
          <w:numId w:val="36"/>
        </w:numPr>
        <w:spacing w:line="480" w:lineRule="auto"/>
        <w:ind w:left="0" w:right="18"/>
        <w:jc w:val="both"/>
        <w:rPr>
          <w:rFonts w:ascii="Arial" w:hAnsi="Arial" w:cs="Arial"/>
          <w:sz w:val="24"/>
          <w:szCs w:val="24"/>
        </w:rPr>
      </w:pPr>
      <w:r w:rsidRPr="0035519F">
        <w:rPr>
          <w:rFonts w:ascii="Arial" w:hAnsi="Arial" w:cs="Arial"/>
          <w:sz w:val="24"/>
          <w:szCs w:val="24"/>
        </w:rPr>
        <w:t xml:space="preserve">Nilai </w:t>
      </w:r>
      <w:r w:rsidR="00B861DE" w:rsidRPr="0035519F">
        <w:rPr>
          <w:rFonts w:ascii="Arial" w:hAnsi="Arial" w:cs="Arial"/>
          <w:sz w:val="24"/>
          <w:szCs w:val="24"/>
        </w:rPr>
        <w:t>HOMA-IR lebih tinggi pada subjek dengan obesitas sentral dibandingkan subjek tanpa obesitas sentral.</w:t>
      </w:r>
    </w:p>
    <w:p w14:paraId="677B218B" w14:textId="551EBC76" w:rsidR="00FD1C9C" w:rsidRPr="0035519F" w:rsidRDefault="00FD1C9C" w:rsidP="002C5221">
      <w:pPr>
        <w:pStyle w:val="ListParagraph"/>
        <w:numPr>
          <w:ilvl w:val="3"/>
          <w:numId w:val="36"/>
        </w:numPr>
        <w:spacing w:line="480" w:lineRule="auto"/>
        <w:ind w:left="0" w:right="18"/>
        <w:jc w:val="both"/>
        <w:rPr>
          <w:rFonts w:ascii="Arial" w:hAnsi="Arial" w:cs="Arial"/>
          <w:sz w:val="24"/>
          <w:szCs w:val="24"/>
        </w:rPr>
      </w:pPr>
      <w:r w:rsidRPr="0035519F">
        <w:rPr>
          <w:rFonts w:ascii="Arial" w:hAnsi="Arial" w:cs="Arial"/>
          <w:sz w:val="24"/>
          <w:szCs w:val="24"/>
        </w:rPr>
        <w:t xml:space="preserve">Kadar IGF-1 lebih </w:t>
      </w:r>
      <w:r w:rsidR="004B33DD" w:rsidRPr="0035519F">
        <w:rPr>
          <w:rFonts w:ascii="Arial" w:hAnsi="Arial" w:cs="Arial"/>
          <w:sz w:val="24"/>
          <w:szCs w:val="24"/>
        </w:rPr>
        <w:t>rendah</w:t>
      </w:r>
      <w:r w:rsidR="005254ED" w:rsidRPr="0035519F">
        <w:rPr>
          <w:rFonts w:ascii="Arial" w:hAnsi="Arial" w:cs="Arial"/>
          <w:sz w:val="24"/>
          <w:szCs w:val="24"/>
        </w:rPr>
        <w:t xml:space="preserve"> pada </w:t>
      </w:r>
      <w:r w:rsidRPr="0035519F">
        <w:rPr>
          <w:rFonts w:ascii="Arial" w:hAnsi="Arial" w:cs="Arial"/>
          <w:sz w:val="24"/>
          <w:szCs w:val="24"/>
        </w:rPr>
        <w:t xml:space="preserve">subjek dengan obesitas </w:t>
      </w:r>
      <w:r w:rsidR="0005295A" w:rsidRPr="0035519F">
        <w:rPr>
          <w:rFonts w:ascii="Arial" w:hAnsi="Arial" w:cs="Arial"/>
          <w:sz w:val="24"/>
          <w:szCs w:val="24"/>
        </w:rPr>
        <w:t>sentral</w:t>
      </w:r>
      <w:r w:rsidRPr="0035519F">
        <w:rPr>
          <w:rFonts w:ascii="Arial" w:hAnsi="Arial" w:cs="Arial"/>
          <w:sz w:val="24"/>
          <w:szCs w:val="24"/>
        </w:rPr>
        <w:t xml:space="preserve"> dibandingkan subjek tanpa obesitas </w:t>
      </w:r>
      <w:r w:rsidR="0005295A" w:rsidRPr="0035519F">
        <w:rPr>
          <w:rFonts w:ascii="Arial" w:hAnsi="Arial" w:cs="Arial"/>
          <w:sz w:val="24"/>
          <w:szCs w:val="24"/>
        </w:rPr>
        <w:t>sentral</w:t>
      </w:r>
      <w:r w:rsidR="002D0CD4" w:rsidRPr="0035519F">
        <w:rPr>
          <w:rFonts w:ascii="Arial" w:hAnsi="Arial" w:cs="Arial"/>
          <w:sz w:val="24"/>
          <w:szCs w:val="24"/>
        </w:rPr>
        <w:t>.</w:t>
      </w:r>
    </w:p>
    <w:p w14:paraId="0134D023" w14:textId="6CE530A6" w:rsidR="00FD1C9C" w:rsidRPr="0035519F" w:rsidRDefault="003F23F5" w:rsidP="00B71A29">
      <w:pPr>
        <w:pStyle w:val="ListParagraph"/>
        <w:numPr>
          <w:ilvl w:val="3"/>
          <w:numId w:val="36"/>
        </w:numPr>
        <w:spacing w:line="360" w:lineRule="auto"/>
        <w:ind w:left="0" w:right="18"/>
        <w:jc w:val="both"/>
        <w:outlineLvl w:val="1"/>
        <w:rPr>
          <w:rFonts w:ascii="Arial" w:hAnsi="Arial" w:cs="Arial"/>
          <w:sz w:val="24"/>
          <w:szCs w:val="24"/>
        </w:rPr>
      </w:pPr>
      <w:r w:rsidRPr="0035519F">
        <w:rPr>
          <w:rFonts w:ascii="Arial" w:hAnsi="Arial" w:cs="Arial"/>
          <w:sz w:val="24"/>
          <w:szCs w:val="24"/>
        </w:rPr>
        <w:t>Terdapat</w:t>
      </w:r>
      <w:r w:rsidR="006C1D84" w:rsidRPr="0035519F">
        <w:rPr>
          <w:rFonts w:ascii="Arial" w:hAnsi="Arial" w:cs="Arial"/>
          <w:sz w:val="24"/>
          <w:szCs w:val="24"/>
        </w:rPr>
        <w:t xml:space="preserve"> korelasi antara nilai HOMA-IR dengan IGF-1</w:t>
      </w:r>
      <w:r w:rsidRPr="0035519F">
        <w:rPr>
          <w:rFonts w:ascii="Arial" w:hAnsi="Arial" w:cs="Arial"/>
          <w:sz w:val="24"/>
          <w:szCs w:val="24"/>
        </w:rPr>
        <w:t xml:space="preserve"> namun tidak signifikan secara statistik</w:t>
      </w:r>
      <w:r w:rsidR="006C1D84" w:rsidRPr="0035519F">
        <w:rPr>
          <w:rFonts w:ascii="Arial" w:hAnsi="Arial" w:cs="Arial"/>
          <w:sz w:val="24"/>
          <w:szCs w:val="24"/>
        </w:rPr>
        <w:t xml:space="preserve">. </w:t>
      </w:r>
    </w:p>
    <w:p w14:paraId="62217839" w14:textId="77777777" w:rsidR="00FD1C9C" w:rsidRPr="0035519F" w:rsidRDefault="00FD1C9C" w:rsidP="00075F6C">
      <w:pPr>
        <w:pStyle w:val="ListParagraph"/>
        <w:spacing w:line="360" w:lineRule="auto"/>
        <w:ind w:left="0" w:right="18"/>
        <w:jc w:val="both"/>
        <w:outlineLvl w:val="1"/>
        <w:rPr>
          <w:rFonts w:ascii="Arial" w:hAnsi="Arial" w:cs="Arial"/>
          <w:sz w:val="24"/>
          <w:szCs w:val="24"/>
        </w:rPr>
      </w:pPr>
    </w:p>
    <w:p w14:paraId="390E14AD" w14:textId="77777777" w:rsidR="00FD1C9C" w:rsidRPr="0035519F" w:rsidRDefault="00FD1C9C" w:rsidP="00BA23FD">
      <w:pPr>
        <w:pStyle w:val="ListParagraph"/>
        <w:spacing w:line="360" w:lineRule="auto"/>
        <w:ind w:left="0" w:right="18"/>
        <w:jc w:val="center"/>
        <w:outlineLvl w:val="1"/>
        <w:rPr>
          <w:rFonts w:ascii="Arial" w:hAnsi="Arial" w:cs="Arial"/>
          <w:b/>
          <w:sz w:val="24"/>
          <w:szCs w:val="24"/>
        </w:rPr>
      </w:pPr>
      <w:bookmarkStart w:id="89" w:name="_Toc111022796"/>
      <w:r w:rsidRPr="0035519F">
        <w:rPr>
          <w:rFonts w:ascii="Arial" w:hAnsi="Arial" w:cs="Arial"/>
          <w:b/>
          <w:sz w:val="24"/>
          <w:szCs w:val="24"/>
        </w:rPr>
        <w:t>B.</w:t>
      </w:r>
      <w:r w:rsidRPr="0035519F">
        <w:rPr>
          <w:rFonts w:ascii="Arial" w:hAnsi="Arial" w:cs="Arial"/>
          <w:b/>
          <w:sz w:val="24"/>
          <w:szCs w:val="24"/>
        </w:rPr>
        <w:tab/>
        <w:t>Saran</w:t>
      </w:r>
      <w:bookmarkEnd w:id="89"/>
    </w:p>
    <w:p w14:paraId="6C3BFA5A" w14:textId="77777777" w:rsidR="00FD1C9C" w:rsidRPr="0035519F" w:rsidRDefault="00FD1C9C" w:rsidP="00075F6C">
      <w:pPr>
        <w:pStyle w:val="ListParagraph"/>
        <w:spacing w:line="360" w:lineRule="auto"/>
        <w:ind w:left="0" w:right="18"/>
        <w:jc w:val="both"/>
        <w:outlineLvl w:val="1"/>
        <w:rPr>
          <w:rFonts w:ascii="Arial" w:hAnsi="Arial" w:cs="Arial"/>
          <w:sz w:val="24"/>
          <w:szCs w:val="24"/>
        </w:rPr>
      </w:pPr>
    </w:p>
    <w:p w14:paraId="54002FCD" w14:textId="7645CE40" w:rsidR="00FD1C9C" w:rsidRPr="0035519F" w:rsidRDefault="003F23F5" w:rsidP="00BA23FD">
      <w:pPr>
        <w:pStyle w:val="ListParagraph"/>
        <w:spacing w:line="480" w:lineRule="auto"/>
        <w:ind w:left="0" w:right="18" w:firstLine="426"/>
        <w:jc w:val="both"/>
        <w:rPr>
          <w:rFonts w:ascii="Arial" w:hAnsi="Arial" w:cs="Arial"/>
          <w:sz w:val="24"/>
          <w:szCs w:val="24"/>
        </w:rPr>
      </w:pPr>
      <w:r w:rsidRPr="0035519F">
        <w:rPr>
          <w:rFonts w:ascii="Arial" w:hAnsi="Arial" w:cs="Arial"/>
          <w:sz w:val="24"/>
          <w:szCs w:val="24"/>
        </w:rPr>
        <w:t>Diperlukan p</w:t>
      </w:r>
      <w:r w:rsidR="00FD1C9C" w:rsidRPr="0035519F">
        <w:rPr>
          <w:rFonts w:ascii="Arial" w:hAnsi="Arial" w:cs="Arial"/>
          <w:sz w:val="24"/>
          <w:szCs w:val="24"/>
        </w:rPr>
        <w:t xml:space="preserve">enelitian </w:t>
      </w:r>
      <w:r w:rsidRPr="0035519F">
        <w:rPr>
          <w:rFonts w:ascii="Arial" w:hAnsi="Arial" w:cs="Arial"/>
          <w:sz w:val="24"/>
          <w:szCs w:val="24"/>
        </w:rPr>
        <w:t>tingkat lanjut untuk menganalisis kor</w:t>
      </w:r>
      <w:r w:rsidR="000E725D" w:rsidRPr="0035519F">
        <w:rPr>
          <w:rFonts w:ascii="Arial" w:hAnsi="Arial" w:cs="Arial"/>
          <w:sz w:val="24"/>
          <w:szCs w:val="24"/>
        </w:rPr>
        <w:t>e</w:t>
      </w:r>
      <w:r w:rsidRPr="0035519F">
        <w:rPr>
          <w:rFonts w:ascii="Arial" w:hAnsi="Arial" w:cs="Arial"/>
          <w:sz w:val="24"/>
          <w:szCs w:val="24"/>
        </w:rPr>
        <w:t xml:space="preserve">lasi antara HOMA-IR </w:t>
      </w:r>
      <w:r w:rsidR="000E725D" w:rsidRPr="0035519F">
        <w:rPr>
          <w:rFonts w:ascii="Arial" w:hAnsi="Arial" w:cs="Arial"/>
          <w:sz w:val="24"/>
          <w:szCs w:val="24"/>
        </w:rPr>
        <w:t xml:space="preserve">dan IGF-1 pada dewasa Non DM </w:t>
      </w:r>
      <w:r w:rsidRPr="0035519F">
        <w:rPr>
          <w:rFonts w:ascii="Arial" w:hAnsi="Arial" w:cs="Arial"/>
          <w:sz w:val="24"/>
          <w:szCs w:val="24"/>
        </w:rPr>
        <w:t xml:space="preserve">dengan </w:t>
      </w:r>
      <w:r w:rsidR="000E725D" w:rsidRPr="0035519F">
        <w:rPr>
          <w:rFonts w:ascii="Arial" w:hAnsi="Arial" w:cs="Arial"/>
          <w:sz w:val="24"/>
          <w:szCs w:val="24"/>
        </w:rPr>
        <w:t xml:space="preserve">dan </w:t>
      </w:r>
      <w:r w:rsidRPr="0035519F">
        <w:rPr>
          <w:rFonts w:ascii="Arial" w:hAnsi="Arial" w:cs="Arial"/>
          <w:sz w:val="24"/>
          <w:szCs w:val="24"/>
        </w:rPr>
        <w:t>tanpa obesitas sentral</w:t>
      </w:r>
      <w:r w:rsidR="000E725D" w:rsidRPr="0035519F">
        <w:rPr>
          <w:rFonts w:ascii="Arial" w:hAnsi="Arial" w:cs="Arial"/>
          <w:sz w:val="24"/>
          <w:szCs w:val="24"/>
        </w:rPr>
        <w:t>.</w:t>
      </w:r>
    </w:p>
    <w:p w14:paraId="26610A23" w14:textId="71A0986B" w:rsidR="00117F69" w:rsidRPr="0035519F" w:rsidRDefault="00117F69" w:rsidP="00BA23FD">
      <w:pPr>
        <w:pStyle w:val="ListParagraph"/>
        <w:spacing w:line="480" w:lineRule="auto"/>
        <w:ind w:left="0" w:right="18" w:firstLine="426"/>
        <w:jc w:val="both"/>
        <w:rPr>
          <w:rFonts w:ascii="Arial" w:hAnsi="Arial" w:cs="Arial"/>
          <w:sz w:val="24"/>
          <w:szCs w:val="24"/>
        </w:rPr>
      </w:pPr>
    </w:p>
    <w:p w14:paraId="3904256D" w14:textId="26389F27" w:rsidR="00117F69" w:rsidRPr="0035519F" w:rsidRDefault="00117F69" w:rsidP="00BA23FD">
      <w:pPr>
        <w:pStyle w:val="ListParagraph"/>
        <w:spacing w:line="480" w:lineRule="auto"/>
        <w:ind w:left="0" w:right="18" w:firstLine="426"/>
        <w:jc w:val="both"/>
        <w:rPr>
          <w:rFonts w:ascii="Arial" w:hAnsi="Arial" w:cs="Arial"/>
          <w:sz w:val="24"/>
          <w:szCs w:val="24"/>
        </w:rPr>
      </w:pPr>
    </w:p>
    <w:p w14:paraId="653E5982" w14:textId="62A16F33" w:rsidR="00117F69" w:rsidRPr="0035519F" w:rsidRDefault="00117F69" w:rsidP="00BA23FD">
      <w:pPr>
        <w:pStyle w:val="ListParagraph"/>
        <w:spacing w:line="480" w:lineRule="auto"/>
        <w:ind w:left="0" w:right="18" w:firstLine="426"/>
        <w:jc w:val="both"/>
        <w:rPr>
          <w:rFonts w:ascii="Arial" w:hAnsi="Arial" w:cs="Arial"/>
          <w:sz w:val="24"/>
          <w:szCs w:val="24"/>
        </w:rPr>
      </w:pPr>
    </w:p>
    <w:p w14:paraId="6633EF1C" w14:textId="78AC0A23" w:rsidR="00117F69" w:rsidRPr="0035519F" w:rsidRDefault="00117F69" w:rsidP="00BA23FD">
      <w:pPr>
        <w:pStyle w:val="ListParagraph"/>
        <w:spacing w:line="480" w:lineRule="auto"/>
        <w:ind w:left="0" w:right="18" w:firstLine="426"/>
        <w:jc w:val="both"/>
        <w:rPr>
          <w:rFonts w:ascii="Arial" w:hAnsi="Arial" w:cs="Arial"/>
          <w:sz w:val="24"/>
          <w:szCs w:val="24"/>
        </w:rPr>
      </w:pPr>
    </w:p>
    <w:p w14:paraId="7B0DD8F9" w14:textId="5AAE9F05" w:rsidR="00117F69" w:rsidRPr="0035519F" w:rsidRDefault="00117F69" w:rsidP="00BA23FD">
      <w:pPr>
        <w:pStyle w:val="ListParagraph"/>
        <w:spacing w:line="480" w:lineRule="auto"/>
        <w:ind w:left="0" w:right="18" w:firstLine="426"/>
        <w:jc w:val="both"/>
        <w:rPr>
          <w:rFonts w:ascii="Arial" w:hAnsi="Arial" w:cs="Arial"/>
          <w:sz w:val="24"/>
          <w:szCs w:val="24"/>
        </w:rPr>
      </w:pPr>
    </w:p>
    <w:p w14:paraId="78176B43" w14:textId="65038457" w:rsidR="00117F69" w:rsidRPr="0035519F" w:rsidRDefault="00117F69" w:rsidP="00BA23FD">
      <w:pPr>
        <w:pStyle w:val="ListParagraph"/>
        <w:spacing w:line="480" w:lineRule="auto"/>
        <w:ind w:left="0" w:right="18" w:firstLine="426"/>
        <w:jc w:val="both"/>
        <w:rPr>
          <w:rFonts w:ascii="Arial" w:hAnsi="Arial" w:cs="Arial"/>
          <w:sz w:val="24"/>
          <w:szCs w:val="24"/>
        </w:rPr>
      </w:pPr>
    </w:p>
    <w:p w14:paraId="52F8FCFC" w14:textId="308D14F1" w:rsidR="00117F69" w:rsidRPr="0035519F" w:rsidRDefault="00117F69" w:rsidP="00BA23FD">
      <w:pPr>
        <w:pStyle w:val="ListParagraph"/>
        <w:spacing w:line="480" w:lineRule="auto"/>
        <w:ind w:left="0" w:right="18" w:firstLine="426"/>
        <w:jc w:val="both"/>
        <w:rPr>
          <w:rFonts w:ascii="Arial" w:hAnsi="Arial" w:cs="Arial"/>
          <w:sz w:val="24"/>
          <w:szCs w:val="24"/>
        </w:rPr>
      </w:pPr>
    </w:p>
    <w:p w14:paraId="2F693BFE" w14:textId="77777777" w:rsidR="00117F69" w:rsidRPr="0035519F" w:rsidRDefault="00117F69" w:rsidP="00BA23FD">
      <w:pPr>
        <w:pStyle w:val="ListParagraph"/>
        <w:spacing w:line="480" w:lineRule="auto"/>
        <w:ind w:left="0" w:right="18" w:firstLine="426"/>
        <w:jc w:val="both"/>
        <w:rPr>
          <w:rFonts w:ascii="Arial" w:hAnsi="Arial" w:cs="Arial"/>
          <w:sz w:val="24"/>
          <w:szCs w:val="24"/>
        </w:rPr>
      </w:pPr>
    </w:p>
    <w:p w14:paraId="2636B4E6" w14:textId="77777777" w:rsidR="00FD1C9C" w:rsidRPr="0035519F" w:rsidRDefault="00FD1C9C" w:rsidP="003A0096">
      <w:pPr>
        <w:pStyle w:val="ListParagraph"/>
        <w:spacing w:line="360" w:lineRule="auto"/>
        <w:ind w:left="426" w:right="18"/>
        <w:jc w:val="center"/>
        <w:outlineLvl w:val="1"/>
        <w:rPr>
          <w:rFonts w:ascii="Arial" w:hAnsi="Arial" w:cs="Arial"/>
          <w:b/>
          <w:sz w:val="24"/>
          <w:szCs w:val="24"/>
        </w:rPr>
      </w:pPr>
    </w:p>
    <w:p w14:paraId="097B41F7" w14:textId="77777777" w:rsidR="007757AB" w:rsidRPr="0035519F" w:rsidRDefault="003A0096" w:rsidP="00BA23FD">
      <w:pPr>
        <w:pStyle w:val="ListParagraph"/>
        <w:spacing w:line="360" w:lineRule="auto"/>
        <w:ind w:left="426" w:right="18"/>
        <w:jc w:val="center"/>
        <w:outlineLvl w:val="0"/>
        <w:rPr>
          <w:rFonts w:ascii="Arial" w:hAnsi="Arial" w:cs="Arial"/>
          <w:b/>
          <w:sz w:val="24"/>
          <w:szCs w:val="24"/>
        </w:rPr>
      </w:pPr>
      <w:bookmarkStart w:id="90" w:name="_Toc111022797"/>
      <w:r w:rsidRPr="0035519F">
        <w:rPr>
          <w:rFonts w:ascii="Arial" w:hAnsi="Arial" w:cs="Arial"/>
          <w:b/>
          <w:sz w:val="24"/>
          <w:szCs w:val="24"/>
        </w:rPr>
        <w:t>DAFTAR PUSTAKA</w:t>
      </w:r>
      <w:bookmarkEnd w:id="90"/>
    </w:p>
    <w:p w14:paraId="208A87F4" w14:textId="64490D3F" w:rsidR="00E624D3" w:rsidRPr="0035519F" w:rsidRDefault="001F56E6"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b/>
          <w:sz w:val="24"/>
          <w:szCs w:val="24"/>
          <w:lang w:val="id-ID"/>
        </w:rPr>
        <w:fldChar w:fldCharType="begin" w:fldLock="1"/>
      </w:r>
      <w:r w:rsidRPr="0035519F">
        <w:rPr>
          <w:rFonts w:ascii="Arial" w:hAnsi="Arial" w:cs="Arial"/>
          <w:b/>
          <w:sz w:val="24"/>
          <w:szCs w:val="24"/>
          <w:lang w:val="id-ID"/>
        </w:rPr>
        <w:instrText xml:space="preserve">ADDIN Mendeley Bibliography CSL_BIBLIOGRAPHY </w:instrText>
      </w:r>
      <w:r w:rsidRPr="0035519F">
        <w:rPr>
          <w:rFonts w:ascii="Arial" w:hAnsi="Arial" w:cs="Arial"/>
          <w:b/>
          <w:sz w:val="24"/>
          <w:szCs w:val="24"/>
          <w:lang w:val="id-ID"/>
        </w:rPr>
        <w:fldChar w:fldCharType="separate"/>
      </w:r>
      <w:r w:rsidR="00E624D3" w:rsidRPr="0035519F">
        <w:rPr>
          <w:rFonts w:ascii="Arial" w:hAnsi="Arial" w:cs="Arial"/>
          <w:noProof/>
          <w:sz w:val="24"/>
          <w:szCs w:val="24"/>
        </w:rPr>
        <w:t xml:space="preserve">Aguirre, G. A. </w:t>
      </w:r>
      <w:r w:rsidR="00E624D3" w:rsidRPr="0035519F">
        <w:rPr>
          <w:rFonts w:ascii="Arial" w:hAnsi="Arial" w:cs="Arial"/>
          <w:i/>
          <w:iCs/>
          <w:noProof/>
          <w:sz w:val="24"/>
          <w:szCs w:val="24"/>
        </w:rPr>
        <w:t>et al.</w:t>
      </w:r>
      <w:r w:rsidR="00E624D3" w:rsidRPr="0035519F">
        <w:rPr>
          <w:rFonts w:ascii="Arial" w:hAnsi="Arial" w:cs="Arial"/>
          <w:noProof/>
          <w:sz w:val="24"/>
          <w:szCs w:val="24"/>
        </w:rPr>
        <w:t xml:space="preserve"> (2016) ‘Insulin-like growth factor-1 deficiency and metabolic syndrome’, </w:t>
      </w:r>
      <w:r w:rsidR="00E624D3" w:rsidRPr="0035519F">
        <w:rPr>
          <w:rFonts w:ascii="Arial" w:hAnsi="Arial" w:cs="Arial"/>
          <w:i/>
          <w:iCs/>
          <w:noProof/>
          <w:sz w:val="24"/>
          <w:szCs w:val="24"/>
        </w:rPr>
        <w:t>Journal of Translational Medicine 2016 14:1</w:t>
      </w:r>
      <w:r w:rsidR="00E624D3" w:rsidRPr="0035519F">
        <w:rPr>
          <w:rFonts w:ascii="Arial" w:hAnsi="Arial" w:cs="Arial"/>
          <w:noProof/>
          <w:sz w:val="24"/>
          <w:szCs w:val="24"/>
        </w:rPr>
        <w:t>, 14(1), pp. 1–23. doi: 10.1186/S12967-015-0762-Z.</w:t>
      </w:r>
    </w:p>
    <w:p w14:paraId="7D8E71F4"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Anggreini, A., Sutoyo, D. A. R. and Atmaka, D. R. (2021) ‘The Effect of Sucrose and Fructose Diet on Obesity in Test Animals: A Review’, </w:t>
      </w:r>
      <w:r w:rsidRPr="0035519F">
        <w:rPr>
          <w:rFonts w:ascii="Arial" w:hAnsi="Arial" w:cs="Arial"/>
          <w:i/>
          <w:iCs/>
          <w:noProof/>
          <w:sz w:val="24"/>
          <w:szCs w:val="24"/>
        </w:rPr>
        <w:t>Amerta Nutrition</w:t>
      </w:r>
      <w:r w:rsidRPr="0035519F">
        <w:rPr>
          <w:rFonts w:ascii="Arial" w:hAnsi="Arial" w:cs="Arial"/>
          <w:noProof/>
          <w:sz w:val="24"/>
          <w:szCs w:val="24"/>
        </w:rPr>
        <w:t>, 5(2), pp. 173–179. Available at: https://e-journal.unair.ac.id/AMNT/article/view/20185 (Accessed: 29 December 2021).</w:t>
      </w:r>
    </w:p>
    <w:p w14:paraId="5CB6A76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Asman, M. (2006) </w:t>
      </w:r>
      <w:r w:rsidRPr="0035519F">
        <w:rPr>
          <w:rFonts w:ascii="Arial" w:hAnsi="Arial" w:cs="Arial"/>
          <w:i/>
          <w:iCs/>
          <w:noProof/>
          <w:sz w:val="24"/>
          <w:szCs w:val="24"/>
        </w:rPr>
        <w:t>Insulin : mekanisme sekresi dan aspek metabolism. Dalam Ilmu penyakit dalam</w:t>
      </w:r>
      <w:r w:rsidRPr="0035519F">
        <w:rPr>
          <w:rFonts w:ascii="Arial" w:hAnsi="Arial" w:cs="Arial"/>
          <w:noProof/>
          <w:sz w:val="24"/>
          <w:szCs w:val="24"/>
        </w:rPr>
        <w:t xml:space="preserve">. 6th edn, </w:t>
      </w:r>
      <w:r w:rsidRPr="0035519F">
        <w:rPr>
          <w:rFonts w:ascii="Arial" w:hAnsi="Arial" w:cs="Arial"/>
          <w:i/>
          <w:iCs/>
          <w:noProof/>
          <w:sz w:val="24"/>
          <w:szCs w:val="24"/>
        </w:rPr>
        <w:t>Buku Ajar Ilmu Penyakit Dalam</w:t>
      </w:r>
      <w:r w:rsidRPr="0035519F">
        <w:rPr>
          <w:rFonts w:ascii="Arial" w:hAnsi="Arial" w:cs="Arial"/>
          <w:noProof/>
          <w:sz w:val="24"/>
          <w:szCs w:val="24"/>
        </w:rPr>
        <w:t>. 6th edn. Edited by A. W. Sudoyo et al. Jakarta: Interna Publishing.</w:t>
      </w:r>
    </w:p>
    <w:p w14:paraId="664228A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Bancu, I. </w:t>
      </w:r>
      <w:r w:rsidRPr="0035519F">
        <w:rPr>
          <w:rFonts w:ascii="Arial" w:hAnsi="Arial" w:cs="Arial"/>
          <w:i/>
          <w:iCs/>
          <w:noProof/>
          <w:sz w:val="24"/>
          <w:szCs w:val="24"/>
        </w:rPr>
        <w:t>et al.</w:t>
      </w:r>
      <w:r w:rsidRPr="0035519F">
        <w:rPr>
          <w:rFonts w:ascii="Arial" w:hAnsi="Arial" w:cs="Arial"/>
          <w:noProof/>
          <w:sz w:val="24"/>
          <w:szCs w:val="24"/>
        </w:rPr>
        <w:t xml:space="preserve"> (2016) ‘Low insulin-like growth factor-1 level in obesity nephropathy: A new risk factor?’, </w:t>
      </w:r>
      <w:r w:rsidRPr="0035519F">
        <w:rPr>
          <w:rFonts w:ascii="Arial" w:hAnsi="Arial" w:cs="Arial"/>
          <w:i/>
          <w:iCs/>
          <w:noProof/>
          <w:sz w:val="24"/>
          <w:szCs w:val="24"/>
        </w:rPr>
        <w:t>PLoS ONE</w:t>
      </w:r>
      <w:r w:rsidRPr="0035519F">
        <w:rPr>
          <w:rFonts w:ascii="Arial" w:hAnsi="Arial" w:cs="Arial"/>
          <w:noProof/>
          <w:sz w:val="24"/>
          <w:szCs w:val="24"/>
        </w:rPr>
        <w:t>, 11(5), p. e0154451. doi: 10.1371/journal.pone.0154451.</w:t>
      </w:r>
    </w:p>
    <w:p w14:paraId="131EC55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Bertin, B., Desreumaux, P. and Dubuquoy, L. (2010) ‘Obesity, visceral fat and Crohn’s disease’, </w:t>
      </w:r>
      <w:r w:rsidRPr="0035519F">
        <w:rPr>
          <w:rFonts w:ascii="Arial" w:hAnsi="Arial" w:cs="Arial"/>
          <w:i/>
          <w:iCs/>
          <w:noProof/>
          <w:sz w:val="24"/>
          <w:szCs w:val="24"/>
        </w:rPr>
        <w:t>Current opinion in clinical nutrition and metabolic care</w:t>
      </w:r>
      <w:r w:rsidRPr="0035519F">
        <w:rPr>
          <w:rFonts w:ascii="Arial" w:hAnsi="Arial" w:cs="Arial"/>
          <w:noProof/>
          <w:sz w:val="24"/>
          <w:szCs w:val="24"/>
        </w:rPr>
        <w:t>, 13(5), pp. 574–580. doi: 10.1097/MCO.0B013E32833CF0F4.</w:t>
      </w:r>
    </w:p>
    <w:p w14:paraId="1E8594AB"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Bidlingmaier, M. </w:t>
      </w:r>
      <w:r w:rsidRPr="0035519F">
        <w:rPr>
          <w:rFonts w:ascii="Arial" w:hAnsi="Arial" w:cs="Arial"/>
          <w:i/>
          <w:iCs/>
          <w:noProof/>
          <w:sz w:val="24"/>
          <w:szCs w:val="24"/>
        </w:rPr>
        <w:t>et al.</w:t>
      </w:r>
      <w:r w:rsidRPr="0035519F">
        <w:rPr>
          <w:rFonts w:ascii="Arial" w:hAnsi="Arial" w:cs="Arial"/>
          <w:noProof/>
          <w:sz w:val="24"/>
          <w:szCs w:val="24"/>
        </w:rPr>
        <w:t xml:space="preserve"> (2016) ‘Quality assurance in the analysis of growth hormone and insulin-like growth factor i in disorders of the somatotropic axis’, in </w:t>
      </w:r>
      <w:r w:rsidRPr="0035519F">
        <w:rPr>
          <w:rFonts w:ascii="Arial" w:hAnsi="Arial" w:cs="Arial"/>
          <w:i/>
          <w:iCs/>
          <w:noProof/>
          <w:sz w:val="24"/>
          <w:szCs w:val="24"/>
        </w:rPr>
        <w:t>LaboratoriumsMedizin</w:t>
      </w:r>
      <w:r w:rsidRPr="0035519F">
        <w:rPr>
          <w:rFonts w:ascii="Arial" w:hAnsi="Arial" w:cs="Arial"/>
          <w:noProof/>
          <w:sz w:val="24"/>
          <w:szCs w:val="24"/>
        </w:rPr>
        <w:t>. Walter de Gruyter GmbH, pp. 1–5. doi: 10.1515/labmed-2015-0116.</w:t>
      </w:r>
    </w:p>
    <w:p w14:paraId="05A5137B"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Borai, A. </w:t>
      </w:r>
      <w:r w:rsidRPr="0035519F">
        <w:rPr>
          <w:rFonts w:ascii="Arial" w:hAnsi="Arial" w:cs="Arial"/>
          <w:i/>
          <w:iCs/>
          <w:noProof/>
          <w:sz w:val="24"/>
          <w:szCs w:val="24"/>
        </w:rPr>
        <w:t>et al.</w:t>
      </w:r>
      <w:r w:rsidRPr="0035519F">
        <w:rPr>
          <w:rFonts w:ascii="Arial" w:hAnsi="Arial" w:cs="Arial"/>
          <w:noProof/>
          <w:sz w:val="24"/>
          <w:szCs w:val="24"/>
        </w:rPr>
        <w:t xml:space="preserve"> (2011) ‘Selection of the appropriate method for the assessment of insulin resistance’, </w:t>
      </w:r>
      <w:r w:rsidRPr="0035519F">
        <w:rPr>
          <w:rFonts w:ascii="Arial" w:hAnsi="Arial" w:cs="Arial"/>
          <w:i/>
          <w:iCs/>
          <w:noProof/>
          <w:sz w:val="24"/>
          <w:szCs w:val="24"/>
        </w:rPr>
        <w:t>BMC medical research methodology</w:t>
      </w:r>
      <w:r w:rsidRPr="0035519F">
        <w:rPr>
          <w:rFonts w:ascii="Arial" w:hAnsi="Arial" w:cs="Arial"/>
          <w:noProof/>
          <w:sz w:val="24"/>
          <w:szCs w:val="24"/>
        </w:rPr>
        <w:t>, 11. doi: 10.1186/1471-2288-11-158.</w:t>
      </w:r>
    </w:p>
    <w:p w14:paraId="28E9015E"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Bosomworth, N. J. (2019) ‘Normal-weight central obesity’, </w:t>
      </w:r>
      <w:r w:rsidRPr="0035519F">
        <w:rPr>
          <w:rFonts w:ascii="Arial" w:hAnsi="Arial" w:cs="Arial"/>
          <w:i/>
          <w:iCs/>
          <w:noProof/>
          <w:sz w:val="24"/>
          <w:szCs w:val="24"/>
        </w:rPr>
        <w:t>Canadian Family Physician</w:t>
      </w:r>
      <w:r w:rsidRPr="0035519F">
        <w:rPr>
          <w:rFonts w:ascii="Arial" w:hAnsi="Arial" w:cs="Arial"/>
          <w:noProof/>
          <w:sz w:val="24"/>
          <w:szCs w:val="24"/>
        </w:rPr>
        <w:t>, 65, pp. 11–15.</w:t>
      </w:r>
    </w:p>
    <w:p w14:paraId="0DE6490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Castro, A. V. B. </w:t>
      </w:r>
      <w:r w:rsidRPr="0035519F">
        <w:rPr>
          <w:rFonts w:ascii="Arial" w:hAnsi="Arial" w:cs="Arial"/>
          <w:i/>
          <w:iCs/>
          <w:noProof/>
          <w:sz w:val="24"/>
          <w:szCs w:val="24"/>
        </w:rPr>
        <w:t>et al.</w:t>
      </w:r>
      <w:r w:rsidRPr="0035519F">
        <w:rPr>
          <w:rFonts w:ascii="Arial" w:hAnsi="Arial" w:cs="Arial"/>
          <w:noProof/>
          <w:sz w:val="24"/>
          <w:szCs w:val="24"/>
        </w:rPr>
        <w:t xml:space="preserve"> (2014a) ‘Obesidade, Resistência à insulina e comorbidades - mecanismos de associação’, </w:t>
      </w:r>
      <w:r w:rsidRPr="0035519F">
        <w:rPr>
          <w:rFonts w:ascii="Arial" w:hAnsi="Arial" w:cs="Arial"/>
          <w:i/>
          <w:iCs/>
          <w:noProof/>
          <w:sz w:val="24"/>
          <w:szCs w:val="24"/>
        </w:rPr>
        <w:t>Arquivos Brasileiros de Endocrinologia e Metabologia</w:t>
      </w:r>
      <w:r w:rsidRPr="0035519F">
        <w:rPr>
          <w:rFonts w:ascii="Arial" w:hAnsi="Arial" w:cs="Arial"/>
          <w:noProof/>
          <w:sz w:val="24"/>
          <w:szCs w:val="24"/>
        </w:rPr>
        <w:t>. NIH Public Access, pp. 600–609. doi: 10.1590/0004-2730000003223.</w:t>
      </w:r>
    </w:p>
    <w:p w14:paraId="568BFE6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Castro, A. V. B. </w:t>
      </w:r>
      <w:r w:rsidRPr="0035519F">
        <w:rPr>
          <w:rFonts w:ascii="Arial" w:hAnsi="Arial" w:cs="Arial"/>
          <w:i/>
          <w:iCs/>
          <w:noProof/>
          <w:sz w:val="24"/>
          <w:szCs w:val="24"/>
        </w:rPr>
        <w:t>et al.</w:t>
      </w:r>
      <w:r w:rsidRPr="0035519F">
        <w:rPr>
          <w:rFonts w:ascii="Arial" w:hAnsi="Arial" w:cs="Arial"/>
          <w:noProof/>
          <w:sz w:val="24"/>
          <w:szCs w:val="24"/>
        </w:rPr>
        <w:t xml:space="preserve"> (2014b) ‘Obesity, insulin resistance and comorbidities ? Mechanisms of association’, </w:t>
      </w:r>
      <w:r w:rsidRPr="0035519F">
        <w:rPr>
          <w:rFonts w:ascii="Arial" w:hAnsi="Arial" w:cs="Arial"/>
          <w:i/>
          <w:iCs/>
          <w:noProof/>
          <w:sz w:val="24"/>
          <w:szCs w:val="24"/>
        </w:rPr>
        <w:t>Arquivos Brasileiros de Endocrinologia &amp; Metabologia</w:t>
      </w:r>
      <w:r w:rsidRPr="0035519F">
        <w:rPr>
          <w:rFonts w:ascii="Arial" w:hAnsi="Arial" w:cs="Arial"/>
          <w:noProof/>
          <w:sz w:val="24"/>
          <w:szCs w:val="24"/>
        </w:rPr>
        <w:t>, 58(6), pp. 600–609. doi: 10.1590/0004-2730000003223.</w:t>
      </w:r>
    </w:p>
    <w:p w14:paraId="53ACDC50"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CDC (2013) </w:t>
      </w:r>
      <w:r w:rsidRPr="0035519F">
        <w:rPr>
          <w:rFonts w:ascii="Arial" w:hAnsi="Arial" w:cs="Arial"/>
          <w:i/>
          <w:iCs/>
          <w:noProof/>
          <w:sz w:val="24"/>
          <w:szCs w:val="24"/>
        </w:rPr>
        <w:t>Genes and obesity | CDC</w:t>
      </w:r>
      <w:r w:rsidRPr="0035519F">
        <w:rPr>
          <w:rFonts w:ascii="Arial" w:hAnsi="Arial" w:cs="Arial"/>
          <w:noProof/>
          <w:sz w:val="24"/>
          <w:szCs w:val="24"/>
        </w:rPr>
        <w:t xml:space="preserve">, </w:t>
      </w:r>
      <w:r w:rsidRPr="0035519F">
        <w:rPr>
          <w:rFonts w:ascii="Arial" w:hAnsi="Arial" w:cs="Arial"/>
          <w:i/>
          <w:iCs/>
          <w:noProof/>
          <w:sz w:val="24"/>
          <w:szCs w:val="24"/>
        </w:rPr>
        <w:t>Centers for Disease</w:t>
      </w:r>
      <w:r w:rsidRPr="0035519F">
        <w:rPr>
          <w:rFonts w:ascii="Arial" w:hAnsi="Arial" w:cs="Arial"/>
          <w:noProof/>
          <w:sz w:val="24"/>
          <w:szCs w:val="24"/>
        </w:rPr>
        <w:t xml:space="preserve">. Available at: </w:t>
      </w:r>
      <w:r w:rsidRPr="0035519F">
        <w:rPr>
          <w:rFonts w:ascii="Arial" w:hAnsi="Arial" w:cs="Arial"/>
          <w:noProof/>
          <w:sz w:val="24"/>
          <w:szCs w:val="24"/>
        </w:rPr>
        <w:lastRenderedPageBreak/>
        <w:t>https://www.cdc.gov/genomics/resources/diseases/obesity/obesedit.htm (Accessed: 28 December 2021).</w:t>
      </w:r>
    </w:p>
    <w:p w14:paraId="298CC9CC"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CDC (2020) ‘Adult Obesity Causes &amp; Consequences’, </w:t>
      </w:r>
      <w:r w:rsidRPr="0035519F">
        <w:rPr>
          <w:rFonts w:ascii="Arial" w:hAnsi="Arial" w:cs="Arial"/>
          <w:i/>
          <w:iCs/>
          <w:noProof/>
          <w:sz w:val="24"/>
          <w:szCs w:val="24"/>
        </w:rPr>
        <w:t>Overweight and Obesity</w:t>
      </w:r>
      <w:r w:rsidRPr="0035519F">
        <w:rPr>
          <w:rFonts w:ascii="Arial" w:hAnsi="Arial" w:cs="Arial"/>
          <w:noProof/>
          <w:sz w:val="24"/>
          <w:szCs w:val="24"/>
        </w:rPr>
        <w:t>, 1141(2003), pp. 1–3. Available at: https://www.cdc.gov/obesity/adult/causes.html (Accessed: 28 December 2021).</w:t>
      </w:r>
    </w:p>
    <w:p w14:paraId="19265DB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CDC and DNPAO (2017) ‘Adult Obesity Prevalence Maps | Overweight &amp; Obesity | CDC’, </w:t>
      </w:r>
      <w:r w:rsidRPr="0035519F">
        <w:rPr>
          <w:rFonts w:ascii="Arial" w:hAnsi="Arial" w:cs="Arial"/>
          <w:i/>
          <w:iCs/>
          <w:noProof/>
          <w:sz w:val="24"/>
          <w:szCs w:val="24"/>
        </w:rPr>
        <w:t>Overweight and Obesity</w:t>
      </w:r>
      <w:r w:rsidRPr="0035519F">
        <w:rPr>
          <w:rFonts w:ascii="Arial" w:hAnsi="Arial" w:cs="Arial"/>
          <w:noProof/>
          <w:sz w:val="24"/>
          <w:szCs w:val="24"/>
        </w:rPr>
        <w:t>. Available at: https://www.cdc.gov/obesity/data/prevalence-maps.html (Accessed: 28 July 2022).</w:t>
      </w:r>
    </w:p>
    <w:p w14:paraId="6FE52D2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Cho, W. K. </w:t>
      </w:r>
      <w:r w:rsidRPr="0035519F">
        <w:rPr>
          <w:rFonts w:ascii="Arial" w:hAnsi="Arial" w:cs="Arial"/>
          <w:i/>
          <w:iCs/>
          <w:noProof/>
          <w:sz w:val="24"/>
          <w:szCs w:val="24"/>
        </w:rPr>
        <w:t>et al.</w:t>
      </w:r>
      <w:r w:rsidRPr="0035519F">
        <w:rPr>
          <w:rFonts w:ascii="Arial" w:hAnsi="Arial" w:cs="Arial"/>
          <w:noProof/>
          <w:sz w:val="24"/>
          <w:szCs w:val="24"/>
        </w:rPr>
        <w:t xml:space="preserve"> (2015) ‘Insulin Resistance of Normal Weight Central Obese Adolescents in Korea Stratified by Waist to Height Ratio: Results from the Korea National Health and Nutrition Examination Surveys 2008-2010’, </w:t>
      </w:r>
      <w:r w:rsidRPr="0035519F">
        <w:rPr>
          <w:rFonts w:ascii="Arial" w:hAnsi="Arial" w:cs="Arial"/>
          <w:i/>
          <w:iCs/>
          <w:noProof/>
          <w:sz w:val="24"/>
          <w:szCs w:val="24"/>
        </w:rPr>
        <w:t>International Journal of Endocrinology</w:t>
      </w:r>
      <w:r w:rsidRPr="0035519F">
        <w:rPr>
          <w:rFonts w:ascii="Arial" w:hAnsi="Arial" w:cs="Arial"/>
          <w:noProof/>
          <w:sz w:val="24"/>
          <w:szCs w:val="24"/>
        </w:rPr>
        <w:t>, 2015. doi: 10.1155/2015/158758.</w:t>
      </w:r>
    </w:p>
    <w:p w14:paraId="460354C4"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Clasey, J. L. </w:t>
      </w:r>
      <w:r w:rsidRPr="0035519F">
        <w:rPr>
          <w:rFonts w:ascii="Arial" w:hAnsi="Arial" w:cs="Arial"/>
          <w:i/>
          <w:iCs/>
          <w:noProof/>
          <w:sz w:val="24"/>
          <w:szCs w:val="24"/>
        </w:rPr>
        <w:t>et al.</w:t>
      </w:r>
      <w:r w:rsidRPr="0035519F">
        <w:rPr>
          <w:rFonts w:ascii="Arial" w:hAnsi="Arial" w:cs="Arial"/>
          <w:noProof/>
          <w:sz w:val="24"/>
          <w:szCs w:val="24"/>
        </w:rPr>
        <w:t xml:space="preserve"> (2001) ‘Abdominal visceral fat and fasting insulin are important predictors of 24-hour GH release independent of age, gender, and other physiological factors’, </w:t>
      </w:r>
      <w:r w:rsidRPr="0035519F">
        <w:rPr>
          <w:rFonts w:ascii="Arial" w:hAnsi="Arial" w:cs="Arial"/>
          <w:i/>
          <w:iCs/>
          <w:noProof/>
          <w:sz w:val="24"/>
          <w:szCs w:val="24"/>
        </w:rPr>
        <w:t>Journal of Clinical Endocrinology and Metabolism</w:t>
      </w:r>
      <w:r w:rsidRPr="0035519F">
        <w:rPr>
          <w:rFonts w:ascii="Arial" w:hAnsi="Arial" w:cs="Arial"/>
          <w:noProof/>
          <w:sz w:val="24"/>
          <w:szCs w:val="24"/>
        </w:rPr>
        <w:t>, 86(8), pp. 3845–3852. doi: 10.1210/jcem.86.8.7731.</w:t>
      </w:r>
    </w:p>
    <w:p w14:paraId="08D7C43D"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Clemmons, D. R. (2006) ‘Involvement of insulin-like growth factor-I in the control of glucose homeostasis’, </w:t>
      </w:r>
      <w:r w:rsidRPr="0035519F">
        <w:rPr>
          <w:rFonts w:ascii="Arial" w:hAnsi="Arial" w:cs="Arial"/>
          <w:i/>
          <w:iCs/>
          <w:noProof/>
          <w:sz w:val="24"/>
          <w:szCs w:val="24"/>
        </w:rPr>
        <w:t>Current Opinion in Pharmacology</w:t>
      </w:r>
      <w:r w:rsidRPr="0035519F">
        <w:rPr>
          <w:rFonts w:ascii="Arial" w:hAnsi="Arial" w:cs="Arial"/>
          <w:noProof/>
          <w:sz w:val="24"/>
          <w:szCs w:val="24"/>
        </w:rPr>
        <w:t>. Curr Opin Pharmacol, pp. 620–625. doi: 10.1016/j.coph.2006.08.006.</w:t>
      </w:r>
    </w:p>
    <w:p w14:paraId="58901440"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Colaianni, G., Colucci, S. and Grano, M. (2015) ‘A natomy and physiology of adipose tissue’, in </w:t>
      </w:r>
      <w:r w:rsidRPr="0035519F">
        <w:rPr>
          <w:rFonts w:ascii="Arial" w:hAnsi="Arial" w:cs="Arial"/>
          <w:i/>
          <w:iCs/>
          <w:noProof/>
          <w:sz w:val="24"/>
          <w:szCs w:val="24"/>
        </w:rPr>
        <w:t>Multidisciplinary Approach to Obesity: From Assessment to Treatment</w:t>
      </w:r>
      <w:r w:rsidRPr="0035519F">
        <w:rPr>
          <w:rFonts w:ascii="Arial" w:hAnsi="Arial" w:cs="Arial"/>
          <w:noProof/>
          <w:sz w:val="24"/>
          <w:szCs w:val="24"/>
        </w:rPr>
        <w:t>. Springer International Publishing, pp. 3–12. doi: 10.1007/978-3-319-09045-0_1.</w:t>
      </w:r>
    </w:p>
    <w:p w14:paraId="2A65CF04"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Cornford, A. S. </w:t>
      </w:r>
      <w:r w:rsidRPr="0035519F">
        <w:rPr>
          <w:rFonts w:ascii="Arial" w:hAnsi="Arial" w:cs="Arial"/>
          <w:i/>
          <w:iCs/>
          <w:noProof/>
          <w:sz w:val="24"/>
          <w:szCs w:val="24"/>
        </w:rPr>
        <w:t>et al.</w:t>
      </w:r>
      <w:r w:rsidRPr="0035519F">
        <w:rPr>
          <w:rFonts w:ascii="Arial" w:hAnsi="Arial" w:cs="Arial"/>
          <w:noProof/>
          <w:sz w:val="24"/>
          <w:szCs w:val="24"/>
        </w:rPr>
        <w:t xml:space="preserve"> (2012) ‘Suppression in growth hormone during overeating ameliorates the increase in insulin resistance and cardiovascular disease risk’, </w:t>
      </w:r>
      <w:r w:rsidRPr="0035519F">
        <w:rPr>
          <w:rFonts w:ascii="Arial" w:hAnsi="Arial" w:cs="Arial"/>
          <w:i/>
          <w:iCs/>
          <w:noProof/>
          <w:sz w:val="24"/>
          <w:szCs w:val="24"/>
        </w:rPr>
        <w:t>American Journal of Physiology - Endocrinology and Metabolism</w:t>
      </w:r>
      <w:r w:rsidRPr="0035519F">
        <w:rPr>
          <w:rFonts w:ascii="Arial" w:hAnsi="Arial" w:cs="Arial"/>
          <w:noProof/>
          <w:sz w:val="24"/>
          <w:szCs w:val="24"/>
        </w:rPr>
        <w:t>, 303(10), p. E1264. doi: 10.1152/ajpendo.00320.2012.</w:t>
      </w:r>
    </w:p>
    <w:p w14:paraId="1EC39848"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D’Ercole, A. J., Stiles, A. D. and Underwood, L. E. (1984) ‘Tissue concentrations of somatomedin C: further evidence for multiple sites of synthesis and paracrine or autocrine mechanisms of action’, </w:t>
      </w:r>
      <w:r w:rsidRPr="0035519F">
        <w:rPr>
          <w:rFonts w:ascii="Arial" w:hAnsi="Arial" w:cs="Arial"/>
          <w:i/>
          <w:iCs/>
          <w:noProof/>
          <w:sz w:val="24"/>
          <w:szCs w:val="24"/>
        </w:rPr>
        <w:t>Proceedings of the National Academy of Sciences of the United States of America</w:t>
      </w:r>
      <w:r w:rsidRPr="0035519F">
        <w:rPr>
          <w:rFonts w:ascii="Arial" w:hAnsi="Arial" w:cs="Arial"/>
          <w:noProof/>
          <w:sz w:val="24"/>
          <w:szCs w:val="24"/>
        </w:rPr>
        <w:t>, 81(3), pp. 935–939. doi: 10.1073/PNAS.81.3.935.</w:t>
      </w:r>
    </w:p>
    <w:p w14:paraId="50B5D51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Demeditec Diagnostics, G. (2022) ‘IGF-I ELISA - DEE020 - Demeditec Diagnostics GmbH’. Available at: https://www.demeditec.com/en/products/igf-i-elisa-dee020 (Accessed: 30 July 2022).</w:t>
      </w:r>
    </w:p>
    <w:p w14:paraId="6ABD2334"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Deshmukh-Taskar, P. </w:t>
      </w:r>
      <w:r w:rsidRPr="0035519F">
        <w:rPr>
          <w:rFonts w:ascii="Arial" w:hAnsi="Arial" w:cs="Arial"/>
          <w:i/>
          <w:iCs/>
          <w:noProof/>
          <w:sz w:val="24"/>
          <w:szCs w:val="24"/>
        </w:rPr>
        <w:t>et al.</w:t>
      </w:r>
      <w:r w:rsidRPr="0035519F">
        <w:rPr>
          <w:rFonts w:ascii="Arial" w:hAnsi="Arial" w:cs="Arial"/>
          <w:noProof/>
          <w:sz w:val="24"/>
          <w:szCs w:val="24"/>
        </w:rPr>
        <w:t xml:space="preserve"> (2005) ‘Tracking of overweight status from </w:t>
      </w:r>
      <w:r w:rsidRPr="0035519F">
        <w:rPr>
          <w:rFonts w:ascii="Arial" w:hAnsi="Arial" w:cs="Arial"/>
          <w:noProof/>
          <w:sz w:val="24"/>
          <w:szCs w:val="24"/>
        </w:rPr>
        <w:lastRenderedPageBreak/>
        <w:t xml:space="preserve">childhood to young adulthood: the Bogalusa Heart Study’, </w:t>
      </w:r>
      <w:r w:rsidRPr="0035519F">
        <w:rPr>
          <w:rFonts w:ascii="Arial" w:hAnsi="Arial" w:cs="Arial"/>
          <w:i/>
          <w:iCs/>
          <w:noProof/>
          <w:sz w:val="24"/>
          <w:szCs w:val="24"/>
        </w:rPr>
        <w:t>European Journal of Clinical Nutrition 2006 60:1</w:t>
      </w:r>
      <w:r w:rsidRPr="0035519F">
        <w:rPr>
          <w:rFonts w:ascii="Arial" w:hAnsi="Arial" w:cs="Arial"/>
          <w:noProof/>
          <w:sz w:val="24"/>
          <w:szCs w:val="24"/>
        </w:rPr>
        <w:t>, 60(1), pp. 48–57. doi: 10.1038/sj.ejcn.1602266.</w:t>
      </w:r>
    </w:p>
    <w:p w14:paraId="74FC7D2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Djiogue, S. </w:t>
      </w:r>
      <w:r w:rsidRPr="0035519F">
        <w:rPr>
          <w:rFonts w:ascii="Arial" w:hAnsi="Arial" w:cs="Arial"/>
          <w:i/>
          <w:iCs/>
          <w:noProof/>
          <w:sz w:val="24"/>
          <w:szCs w:val="24"/>
        </w:rPr>
        <w:t>et al.</w:t>
      </w:r>
      <w:r w:rsidRPr="0035519F">
        <w:rPr>
          <w:rFonts w:ascii="Arial" w:hAnsi="Arial" w:cs="Arial"/>
          <w:noProof/>
          <w:sz w:val="24"/>
          <w:szCs w:val="24"/>
        </w:rPr>
        <w:t xml:space="preserve"> (2013) ‘Insulin resistance and cancer: The role of insulin and IGFs’, </w:t>
      </w:r>
      <w:r w:rsidRPr="0035519F">
        <w:rPr>
          <w:rFonts w:ascii="Arial" w:hAnsi="Arial" w:cs="Arial"/>
          <w:i/>
          <w:iCs/>
          <w:noProof/>
          <w:sz w:val="24"/>
          <w:szCs w:val="24"/>
        </w:rPr>
        <w:t>Endocrine-Related Cancer</w:t>
      </w:r>
      <w:r w:rsidRPr="0035519F">
        <w:rPr>
          <w:rFonts w:ascii="Arial" w:hAnsi="Arial" w:cs="Arial"/>
          <w:noProof/>
          <w:sz w:val="24"/>
          <w:szCs w:val="24"/>
        </w:rPr>
        <w:t>. Endocr Relat Cancer. doi: 10.1530/ERC-12-0324.</w:t>
      </w:r>
    </w:p>
    <w:p w14:paraId="1559ECEE"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Ebbert, J. O. and Jensen, M. D. (2013) ‘Fat depots, free fatty acids, and dyslipidemia’, </w:t>
      </w:r>
      <w:r w:rsidRPr="0035519F">
        <w:rPr>
          <w:rFonts w:ascii="Arial" w:hAnsi="Arial" w:cs="Arial"/>
          <w:i/>
          <w:iCs/>
          <w:noProof/>
          <w:sz w:val="24"/>
          <w:szCs w:val="24"/>
        </w:rPr>
        <w:t>Nutrients</w:t>
      </w:r>
      <w:r w:rsidRPr="0035519F">
        <w:rPr>
          <w:rFonts w:ascii="Arial" w:hAnsi="Arial" w:cs="Arial"/>
          <w:noProof/>
          <w:sz w:val="24"/>
          <w:szCs w:val="24"/>
        </w:rPr>
        <w:t>. Multidisciplinary Digital Publishing Institute (MDPI), pp. 495–508. doi: 10.3390/nu5020498.</w:t>
      </w:r>
    </w:p>
    <w:p w14:paraId="35E31CE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Engström, B. E. </w:t>
      </w:r>
      <w:r w:rsidRPr="0035519F">
        <w:rPr>
          <w:rFonts w:ascii="Arial" w:hAnsi="Arial" w:cs="Arial"/>
          <w:i/>
          <w:iCs/>
          <w:noProof/>
          <w:sz w:val="24"/>
          <w:szCs w:val="24"/>
        </w:rPr>
        <w:t>et al.</w:t>
      </w:r>
      <w:r w:rsidRPr="0035519F">
        <w:rPr>
          <w:rFonts w:ascii="Arial" w:hAnsi="Arial" w:cs="Arial"/>
          <w:noProof/>
          <w:sz w:val="24"/>
          <w:szCs w:val="24"/>
        </w:rPr>
        <w:t xml:space="preserve"> (2006) ‘Effects of gastric bypass on the GH/IGF-I axis in severe obesity - And a comparison with GH deficiency’, </w:t>
      </w:r>
      <w:r w:rsidRPr="0035519F">
        <w:rPr>
          <w:rFonts w:ascii="Arial" w:hAnsi="Arial" w:cs="Arial"/>
          <w:i/>
          <w:iCs/>
          <w:noProof/>
          <w:sz w:val="24"/>
          <w:szCs w:val="24"/>
        </w:rPr>
        <w:t>European Journal of Endocrinology</w:t>
      </w:r>
      <w:r w:rsidRPr="0035519F">
        <w:rPr>
          <w:rFonts w:ascii="Arial" w:hAnsi="Arial" w:cs="Arial"/>
          <w:noProof/>
          <w:sz w:val="24"/>
          <w:szCs w:val="24"/>
        </w:rPr>
        <w:t>, 154(1), pp. 53–59. doi: 10.1530/eje.1.02069.</w:t>
      </w:r>
    </w:p>
    <w:p w14:paraId="64D9D8A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Friedrich, N., Thuesen, B., Jrøgensen, T., </w:t>
      </w:r>
      <w:r w:rsidRPr="0035519F">
        <w:rPr>
          <w:rFonts w:ascii="Arial" w:hAnsi="Arial" w:cs="Arial"/>
          <w:i/>
          <w:iCs/>
          <w:noProof/>
          <w:sz w:val="24"/>
          <w:szCs w:val="24"/>
        </w:rPr>
        <w:t>et al.</w:t>
      </w:r>
      <w:r w:rsidRPr="0035519F">
        <w:rPr>
          <w:rFonts w:ascii="Arial" w:hAnsi="Arial" w:cs="Arial"/>
          <w:noProof/>
          <w:sz w:val="24"/>
          <w:szCs w:val="24"/>
        </w:rPr>
        <w:t xml:space="preserve"> (2012) ‘The association between IGF-I and insulin resistance: A general population study in Danish adults’, </w:t>
      </w:r>
      <w:r w:rsidRPr="0035519F">
        <w:rPr>
          <w:rFonts w:ascii="Arial" w:hAnsi="Arial" w:cs="Arial"/>
          <w:i/>
          <w:iCs/>
          <w:noProof/>
          <w:sz w:val="24"/>
          <w:szCs w:val="24"/>
        </w:rPr>
        <w:t>Diabetes Care</w:t>
      </w:r>
      <w:r w:rsidRPr="0035519F">
        <w:rPr>
          <w:rFonts w:ascii="Arial" w:hAnsi="Arial" w:cs="Arial"/>
          <w:noProof/>
          <w:sz w:val="24"/>
          <w:szCs w:val="24"/>
        </w:rPr>
        <w:t>, 35(4), pp. 768–773. doi: 10.2337/dc11-1833.</w:t>
      </w:r>
    </w:p>
    <w:p w14:paraId="145AA5F1"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Friedrich, N., Thuesen, B., Jørgensen, T., </w:t>
      </w:r>
      <w:r w:rsidRPr="0035519F">
        <w:rPr>
          <w:rFonts w:ascii="Arial" w:hAnsi="Arial" w:cs="Arial"/>
          <w:i/>
          <w:iCs/>
          <w:noProof/>
          <w:sz w:val="24"/>
          <w:szCs w:val="24"/>
        </w:rPr>
        <w:t>et al.</w:t>
      </w:r>
      <w:r w:rsidRPr="0035519F">
        <w:rPr>
          <w:rFonts w:ascii="Arial" w:hAnsi="Arial" w:cs="Arial"/>
          <w:noProof/>
          <w:sz w:val="24"/>
          <w:szCs w:val="24"/>
        </w:rPr>
        <w:t xml:space="preserve"> (2012) ‘The Association Between IGF-I and Insulin Resistance A general population study in Danish adults’. doi: 10.2337/dc11-1833.</w:t>
      </w:r>
    </w:p>
    <w:p w14:paraId="749CC56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Frystyk, J. (2004) ‘Free insulin-like growth factors - Measurements and relationships to growth hormone secretion and glucose homeostasis’, </w:t>
      </w:r>
      <w:r w:rsidRPr="0035519F">
        <w:rPr>
          <w:rFonts w:ascii="Arial" w:hAnsi="Arial" w:cs="Arial"/>
          <w:i/>
          <w:iCs/>
          <w:noProof/>
          <w:sz w:val="24"/>
          <w:szCs w:val="24"/>
        </w:rPr>
        <w:t>Growth Hormone and IGF Research</w:t>
      </w:r>
      <w:r w:rsidRPr="0035519F">
        <w:rPr>
          <w:rFonts w:ascii="Arial" w:hAnsi="Arial" w:cs="Arial"/>
          <w:noProof/>
          <w:sz w:val="24"/>
          <w:szCs w:val="24"/>
        </w:rPr>
        <w:t>. Growth Horm IGF Res, pp. 337–375. doi: 10.1016/j.ghir.2004.06.001.</w:t>
      </w:r>
    </w:p>
    <w:p w14:paraId="3D4DB26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Gardner, D. G. and Shoback, D. (2018) </w:t>
      </w:r>
      <w:r w:rsidRPr="0035519F">
        <w:rPr>
          <w:rFonts w:ascii="Arial" w:hAnsi="Arial" w:cs="Arial"/>
          <w:i/>
          <w:iCs/>
          <w:noProof/>
          <w:sz w:val="24"/>
          <w:szCs w:val="24"/>
        </w:rPr>
        <w:t>Greenspan’s Basic and Clinical Endocrinology, Tenth Edition - David G. Gardner, Dolores M. Shoback - Google Buku</w:t>
      </w:r>
      <w:r w:rsidRPr="0035519F">
        <w:rPr>
          <w:rFonts w:ascii="Arial" w:hAnsi="Arial" w:cs="Arial"/>
          <w:noProof/>
          <w:sz w:val="24"/>
          <w:szCs w:val="24"/>
        </w:rPr>
        <w:t>. Available at: https://books.google.co.id/books/about/Greenspan_s_Basic_and_Clinical_Endocrino.html?id=sloxDwAAQBAJ&amp;redir_esc=y (Accessed: 9 February 2022).</w:t>
      </w:r>
    </w:p>
    <w:p w14:paraId="68C1AC8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Geer, E. B., Islam, J. and Buettner, C. (2014) ‘Mechanisms of glucocorticoid-induced insulin resistance: Focus on adipose tissue function and lipid metabolism’, </w:t>
      </w:r>
      <w:r w:rsidRPr="0035519F">
        <w:rPr>
          <w:rFonts w:ascii="Arial" w:hAnsi="Arial" w:cs="Arial"/>
          <w:i/>
          <w:iCs/>
          <w:noProof/>
          <w:sz w:val="24"/>
          <w:szCs w:val="24"/>
        </w:rPr>
        <w:t>Endocrinology and Metabolism Clinics of North America</w:t>
      </w:r>
      <w:r w:rsidRPr="0035519F">
        <w:rPr>
          <w:rFonts w:ascii="Arial" w:hAnsi="Arial" w:cs="Arial"/>
          <w:noProof/>
          <w:sz w:val="24"/>
          <w:szCs w:val="24"/>
        </w:rPr>
        <w:t>. Elsevier, pp. 75–102. doi: 10.1016/j.ecl.2013.10.005.</w:t>
      </w:r>
    </w:p>
    <w:p w14:paraId="690476BB"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Ghesmaty Sangachin, M., Cavuoto, L. A. and Wang, Y. (2018) ‘Use of various obesity measurement and classification methods in occupational safety and health research: A systematic review of the literature’, </w:t>
      </w:r>
      <w:r w:rsidRPr="0035519F">
        <w:rPr>
          <w:rFonts w:ascii="Arial" w:hAnsi="Arial" w:cs="Arial"/>
          <w:i/>
          <w:iCs/>
          <w:noProof/>
          <w:sz w:val="24"/>
          <w:szCs w:val="24"/>
        </w:rPr>
        <w:t>BMC Obesity</w:t>
      </w:r>
      <w:r w:rsidRPr="0035519F">
        <w:rPr>
          <w:rFonts w:ascii="Arial" w:hAnsi="Arial" w:cs="Arial"/>
          <w:noProof/>
          <w:sz w:val="24"/>
          <w:szCs w:val="24"/>
        </w:rPr>
        <w:t>. BioMed Central, pp. 1–24. doi: 10.1186/s40608-018-0205-5.</w:t>
      </w:r>
    </w:p>
    <w:p w14:paraId="6B4BCCE8"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Gill, D. </w:t>
      </w:r>
      <w:r w:rsidRPr="0035519F">
        <w:rPr>
          <w:rFonts w:ascii="Arial" w:hAnsi="Arial" w:cs="Arial"/>
          <w:i/>
          <w:iCs/>
          <w:noProof/>
          <w:sz w:val="24"/>
          <w:szCs w:val="24"/>
        </w:rPr>
        <w:t>et al.</w:t>
      </w:r>
      <w:r w:rsidRPr="0035519F">
        <w:rPr>
          <w:rFonts w:ascii="Arial" w:hAnsi="Arial" w:cs="Arial"/>
          <w:noProof/>
          <w:sz w:val="24"/>
          <w:szCs w:val="24"/>
        </w:rPr>
        <w:t xml:space="preserve"> (2018) ‘Age at menarche and adult body mass index: a Mendelian randomization study’, </w:t>
      </w:r>
      <w:r w:rsidRPr="0035519F">
        <w:rPr>
          <w:rFonts w:ascii="Arial" w:hAnsi="Arial" w:cs="Arial"/>
          <w:i/>
          <w:iCs/>
          <w:noProof/>
          <w:sz w:val="24"/>
          <w:szCs w:val="24"/>
        </w:rPr>
        <w:t>International Journal of Obesity 2018 42:9</w:t>
      </w:r>
      <w:r w:rsidRPr="0035519F">
        <w:rPr>
          <w:rFonts w:ascii="Arial" w:hAnsi="Arial" w:cs="Arial"/>
          <w:noProof/>
          <w:sz w:val="24"/>
          <w:szCs w:val="24"/>
        </w:rPr>
        <w:t>, 42(9), pp. 1574–1581. doi: 10.1038/s41366-018-0048-7.</w:t>
      </w:r>
    </w:p>
    <w:p w14:paraId="5600CC7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lastRenderedPageBreak/>
        <w:t xml:space="preserve">Goossens, G. H. (2017) ‘The Metabolic Phenotype in Obesity: Fat Mass, Body Fat Distribution, and Adipose Tissue Function’, </w:t>
      </w:r>
      <w:r w:rsidRPr="0035519F">
        <w:rPr>
          <w:rFonts w:ascii="Arial" w:hAnsi="Arial" w:cs="Arial"/>
          <w:i/>
          <w:iCs/>
          <w:noProof/>
          <w:sz w:val="24"/>
          <w:szCs w:val="24"/>
        </w:rPr>
        <w:t>Obesity Facts</w:t>
      </w:r>
      <w:r w:rsidRPr="0035519F">
        <w:rPr>
          <w:rFonts w:ascii="Arial" w:hAnsi="Arial" w:cs="Arial"/>
          <w:noProof/>
          <w:sz w:val="24"/>
          <w:szCs w:val="24"/>
        </w:rPr>
        <w:t>, 10(3), pp. 207–215. doi: 10.1159/000471488.</w:t>
      </w:r>
    </w:p>
    <w:p w14:paraId="77B1493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Gutch, M. </w:t>
      </w:r>
      <w:r w:rsidRPr="0035519F">
        <w:rPr>
          <w:rFonts w:ascii="Arial" w:hAnsi="Arial" w:cs="Arial"/>
          <w:i/>
          <w:iCs/>
          <w:noProof/>
          <w:sz w:val="24"/>
          <w:szCs w:val="24"/>
        </w:rPr>
        <w:t>et al.</w:t>
      </w:r>
      <w:r w:rsidRPr="0035519F">
        <w:rPr>
          <w:rFonts w:ascii="Arial" w:hAnsi="Arial" w:cs="Arial"/>
          <w:noProof/>
          <w:sz w:val="24"/>
          <w:szCs w:val="24"/>
        </w:rPr>
        <w:t xml:space="preserve"> (2015) ‘Assessment of insulin sensitivity/resistance’, </w:t>
      </w:r>
      <w:r w:rsidRPr="0035519F">
        <w:rPr>
          <w:rFonts w:ascii="Arial" w:hAnsi="Arial" w:cs="Arial"/>
          <w:i/>
          <w:iCs/>
          <w:noProof/>
          <w:sz w:val="24"/>
          <w:szCs w:val="24"/>
        </w:rPr>
        <w:t>Indian Journal of Endocrinology and Metabolism</w:t>
      </w:r>
      <w:r w:rsidRPr="0035519F">
        <w:rPr>
          <w:rFonts w:ascii="Arial" w:hAnsi="Arial" w:cs="Arial"/>
          <w:noProof/>
          <w:sz w:val="24"/>
          <w:szCs w:val="24"/>
        </w:rPr>
        <w:t>, 19(1), pp. 160–164. doi: 10.4103/2230-8210.146874.</w:t>
      </w:r>
    </w:p>
    <w:p w14:paraId="6753E96D"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Hall, J. . (2016) </w:t>
      </w:r>
      <w:r w:rsidRPr="0035519F">
        <w:rPr>
          <w:rFonts w:ascii="Arial" w:hAnsi="Arial" w:cs="Arial"/>
          <w:i/>
          <w:iCs/>
          <w:noProof/>
          <w:sz w:val="24"/>
          <w:szCs w:val="24"/>
        </w:rPr>
        <w:t>Textbook of Medical Physiology</w:t>
      </w:r>
      <w:r w:rsidRPr="0035519F">
        <w:rPr>
          <w:rFonts w:ascii="Arial" w:hAnsi="Arial" w:cs="Arial"/>
          <w:noProof/>
          <w:sz w:val="24"/>
          <w:szCs w:val="24"/>
        </w:rPr>
        <w:t>. Edited by A. Guyton and J. Hall. Philadelphia: Elsevier Saunders.</w:t>
      </w:r>
    </w:p>
    <w:p w14:paraId="192ED80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Hardy, O. T., Czech, M. P. and Corvera, S. (2012) ‘What causes the insulin resistance underlying obesity?’, </w:t>
      </w:r>
      <w:r w:rsidRPr="0035519F">
        <w:rPr>
          <w:rFonts w:ascii="Arial" w:hAnsi="Arial" w:cs="Arial"/>
          <w:i/>
          <w:iCs/>
          <w:noProof/>
          <w:sz w:val="24"/>
          <w:szCs w:val="24"/>
        </w:rPr>
        <w:t>Curr Opin Endocrinol Diabetes Obes</w:t>
      </w:r>
      <w:r w:rsidRPr="0035519F">
        <w:rPr>
          <w:rFonts w:ascii="Arial" w:hAnsi="Arial" w:cs="Arial"/>
          <w:noProof/>
          <w:sz w:val="24"/>
          <w:szCs w:val="24"/>
        </w:rPr>
        <w:t>, 19(2), pp. 81–87. doi: 10.1097/MED.0b013e3283514e13.</w:t>
      </w:r>
    </w:p>
    <w:p w14:paraId="3522982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Heymsfield, S. B. and Wadden, T. A. (2017) ‘Mechanisms, Pathophysiology, and Management of Obesity’, </w:t>
      </w:r>
      <w:r w:rsidRPr="0035519F">
        <w:rPr>
          <w:rFonts w:ascii="Arial" w:hAnsi="Arial" w:cs="Arial"/>
          <w:i/>
          <w:iCs/>
          <w:noProof/>
          <w:sz w:val="24"/>
          <w:szCs w:val="24"/>
        </w:rPr>
        <w:t>New England Journal of Medicine</w:t>
      </w:r>
      <w:r w:rsidRPr="0035519F">
        <w:rPr>
          <w:rFonts w:ascii="Arial" w:hAnsi="Arial" w:cs="Arial"/>
          <w:noProof/>
          <w:sz w:val="24"/>
          <w:szCs w:val="24"/>
        </w:rPr>
        <w:t>. Edited by D. L. Longo, 376(3), pp. 254–266. doi: 10.1056/NEJMra1514009.</w:t>
      </w:r>
    </w:p>
    <w:p w14:paraId="0B33E391"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Horiba (2006) ‘Glucose HK-CP’, in </w:t>
      </w:r>
      <w:r w:rsidRPr="0035519F">
        <w:rPr>
          <w:rFonts w:ascii="Arial" w:hAnsi="Arial" w:cs="Arial"/>
          <w:i/>
          <w:iCs/>
          <w:noProof/>
          <w:sz w:val="24"/>
          <w:szCs w:val="24"/>
        </w:rPr>
        <w:t>Diagnostic Reagent for Quantitative In Vitro Determination of Glucose</w:t>
      </w:r>
      <w:r w:rsidRPr="0035519F">
        <w:rPr>
          <w:rFonts w:ascii="Arial" w:hAnsi="Arial" w:cs="Arial"/>
          <w:noProof/>
          <w:sz w:val="24"/>
          <w:szCs w:val="24"/>
        </w:rPr>
        <w:t>. Horiba.</w:t>
      </w:r>
    </w:p>
    <w:p w14:paraId="60ADEB8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Huang, T. </w:t>
      </w:r>
      <w:r w:rsidRPr="0035519F">
        <w:rPr>
          <w:rFonts w:ascii="Arial" w:hAnsi="Arial" w:cs="Arial"/>
          <w:i/>
          <w:iCs/>
          <w:noProof/>
          <w:sz w:val="24"/>
          <w:szCs w:val="24"/>
        </w:rPr>
        <w:t>et al.</w:t>
      </w:r>
      <w:r w:rsidRPr="0035519F">
        <w:rPr>
          <w:rFonts w:ascii="Arial" w:hAnsi="Arial" w:cs="Arial"/>
          <w:noProof/>
          <w:sz w:val="24"/>
          <w:szCs w:val="24"/>
        </w:rPr>
        <w:t xml:space="preserve"> (2015) ‘Genetic Predisposition to Central Obesity and Risk of Type 2 Diabetes: Two Independent Cohort Studies’, </w:t>
      </w:r>
      <w:r w:rsidRPr="0035519F">
        <w:rPr>
          <w:rFonts w:ascii="Arial" w:hAnsi="Arial" w:cs="Arial"/>
          <w:i/>
          <w:iCs/>
          <w:noProof/>
          <w:sz w:val="24"/>
          <w:szCs w:val="24"/>
        </w:rPr>
        <w:t>Diabetes care</w:t>
      </w:r>
      <w:r w:rsidRPr="0035519F">
        <w:rPr>
          <w:rFonts w:ascii="Arial" w:hAnsi="Arial" w:cs="Arial"/>
          <w:noProof/>
          <w:sz w:val="24"/>
          <w:szCs w:val="24"/>
        </w:rPr>
        <w:t>, 38(7), pp. 1306–1311. doi: 10.2337/DC14-3084.</w:t>
      </w:r>
    </w:p>
    <w:p w14:paraId="0B312FD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Ikezaki, H. </w:t>
      </w:r>
      <w:r w:rsidRPr="0035519F">
        <w:rPr>
          <w:rFonts w:ascii="Arial" w:hAnsi="Arial" w:cs="Arial"/>
          <w:i/>
          <w:iCs/>
          <w:noProof/>
          <w:sz w:val="24"/>
          <w:szCs w:val="24"/>
        </w:rPr>
        <w:t>et al.</w:t>
      </w:r>
      <w:r w:rsidRPr="0035519F">
        <w:rPr>
          <w:rFonts w:ascii="Arial" w:hAnsi="Arial" w:cs="Arial"/>
          <w:noProof/>
          <w:sz w:val="24"/>
          <w:szCs w:val="24"/>
        </w:rPr>
        <w:t xml:space="preserve"> (2016) ‘Ethnic differences in glucose homeostasis markers between the Kyushu-Okinawa population study and the Framingham offspring study’, </w:t>
      </w:r>
      <w:r w:rsidRPr="0035519F">
        <w:rPr>
          <w:rFonts w:ascii="Arial" w:hAnsi="Arial" w:cs="Arial"/>
          <w:i/>
          <w:iCs/>
          <w:noProof/>
          <w:sz w:val="24"/>
          <w:szCs w:val="24"/>
        </w:rPr>
        <w:t>Scientific Reports</w:t>
      </w:r>
      <w:r w:rsidRPr="0035519F">
        <w:rPr>
          <w:rFonts w:ascii="Arial" w:hAnsi="Arial" w:cs="Arial"/>
          <w:noProof/>
          <w:sz w:val="24"/>
          <w:szCs w:val="24"/>
        </w:rPr>
        <w:t>, 6. doi: 10.1038/srep36725.</w:t>
      </w:r>
    </w:p>
    <w:p w14:paraId="79056C33"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Ira Maya Sofa (2018) ‘Kejadian Obesitas, Obesitas Sentral, dan Kelebihan Lemak Viseral pada Lansia Wanita’, </w:t>
      </w:r>
      <w:r w:rsidRPr="0035519F">
        <w:rPr>
          <w:rFonts w:ascii="Arial" w:hAnsi="Arial" w:cs="Arial"/>
          <w:i/>
          <w:iCs/>
          <w:noProof/>
          <w:sz w:val="24"/>
          <w:szCs w:val="24"/>
        </w:rPr>
        <w:t>Amerta Nutrition</w:t>
      </w:r>
      <w:r w:rsidRPr="0035519F">
        <w:rPr>
          <w:rFonts w:ascii="Arial" w:hAnsi="Arial" w:cs="Arial"/>
          <w:noProof/>
          <w:sz w:val="24"/>
          <w:szCs w:val="24"/>
        </w:rPr>
        <w:t>, 2(3), pp. 228–236. doi: 10.2473/amnt.v2i3.2018.228-236.</w:t>
      </w:r>
    </w:p>
    <w:p w14:paraId="6014CE98"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Item, F. and Konrad, D. (2012) ‘Visceral fat and metabolic inflammation: The portal theory revisited’, </w:t>
      </w:r>
      <w:r w:rsidRPr="0035519F">
        <w:rPr>
          <w:rFonts w:ascii="Arial" w:hAnsi="Arial" w:cs="Arial"/>
          <w:i/>
          <w:iCs/>
          <w:noProof/>
          <w:sz w:val="24"/>
          <w:szCs w:val="24"/>
        </w:rPr>
        <w:t>Obesity Reviews</w:t>
      </w:r>
      <w:r w:rsidRPr="0035519F">
        <w:rPr>
          <w:rFonts w:ascii="Arial" w:hAnsi="Arial" w:cs="Arial"/>
          <w:noProof/>
          <w:sz w:val="24"/>
          <w:szCs w:val="24"/>
        </w:rPr>
        <w:t>, 13(SUPPL.2), pp. 30–39. doi: 10.1111/j.1467-789X.2012.01035.x.</w:t>
      </w:r>
    </w:p>
    <w:p w14:paraId="194696FB"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Jiao, P. </w:t>
      </w:r>
      <w:r w:rsidRPr="0035519F">
        <w:rPr>
          <w:rFonts w:ascii="Arial" w:hAnsi="Arial" w:cs="Arial"/>
          <w:i/>
          <w:iCs/>
          <w:noProof/>
          <w:sz w:val="24"/>
          <w:szCs w:val="24"/>
        </w:rPr>
        <w:t>et al.</w:t>
      </w:r>
      <w:r w:rsidRPr="0035519F">
        <w:rPr>
          <w:rFonts w:ascii="Arial" w:hAnsi="Arial" w:cs="Arial"/>
          <w:noProof/>
          <w:sz w:val="24"/>
          <w:szCs w:val="24"/>
        </w:rPr>
        <w:t xml:space="preserve"> (2009) ‘Obesity-related upregulation of monocyte chemotactic factors in adipocytes: Involvement of nuclear factor-κB and c-Jun NH 2-terminal kinase pathways’, </w:t>
      </w:r>
      <w:r w:rsidRPr="0035519F">
        <w:rPr>
          <w:rFonts w:ascii="Arial" w:hAnsi="Arial" w:cs="Arial"/>
          <w:i/>
          <w:iCs/>
          <w:noProof/>
          <w:sz w:val="24"/>
          <w:szCs w:val="24"/>
        </w:rPr>
        <w:t>Diabetes</w:t>
      </w:r>
      <w:r w:rsidRPr="0035519F">
        <w:rPr>
          <w:rFonts w:ascii="Arial" w:hAnsi="Arial" w:cs="Arial"/>
          <w:noProof/>
          <w:sz w:val="24"/>
          <w:szCs w:val="24"/>
        </w:rPr>
        <w:t>, 58(1), pp. 104–115. doi: 10.2337/db07-1344.</w:t>
      </w:r>
    </w:p>
    <w:p w14:paraId="441AD50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Kelly, D. M. and Jones, T. H. (2015) ‘Testosterone and obesity’, </w:t>
      </w:r>
      <w:r w:rsidRPr="0035519F">
        <w:rPr>
          <w:rFonts w:ascii="Arial" w:hAnsi="Arial" w:cs="Arial"/>
          <w:i/>
          <w:iCs/>
          <w:noProof/>
          <w:sz w:val="24"/>
          <w:szCs w:val="24"/>
        </w:rPr>
        <w:t>Obesity Reviews</w:t>
      </w:r>
      <w:r w:rsidRPr="0035519F">
        <w:rPr>
          <w:rFonts w:ascii="Arial" w:hAnsi="Arial" w:cs="Arial"/>
          <w:noProof/>
          <w:sz w:val="24"/>
          <w:szCs w:val="24"/>
        </w:rPr>
        <w:t>, 16(7), pp. 581–606. doi: 10.1111/obr.12282.</w:t>
      </w:r>
    </w:p>
    <w:p w14:paraId="546B5013"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Kementerian Kesehatan RI (2017) </w:t>
      </w:r>
      <w:r w:rsidRPr="0035519F">
        <w:rPr>
          <w:rFonts w:ascii="Arial" w:hAnsi="Arial" w:cs="Arial"/>
          <w:i/>
          <w:iCs/>
          <w:noProof/>
          <w:sz w:val="24"/>
          <w:szCs w:val="24"/>
        </w:rPr>
        <w:t>Pedoman Umum Gentas (Gerakan berantas obesitas) - Direktorat P2PTM</w:t>
      </w:r>
      <w:r w:rsidRPr="0035519F">
        <w:rPr>
          <w:rFonts w:ascii="Arial" w:hAnsi="Arial" w:cs="Arial"/>
          <w:noProof/>
          <w:sz w:val="24"/>
          <w:szCs w:val="24"/>
        </w:rPr>
        <w:t xml:space="preserve">. Available at: </w:t>
      </w:r>
      <w:r w:rsidRPr="0035519F">
        <w:rPr>
          <w:rFonts w:ascii="Arial" w:hAnsi="Arial" w:cs="Arial"/>
          <w:noProof/>
          <w:sz w:val="24"/>
          <w:szCs w:val="24"/>
        </w:rPr>
        <w:lastRenderedPageBreak/>
        <w:t>http://p2ptm.kemkes.go.id/dokumen-ptm/pedoman-umum-gentas-gerakan-berantas-obesitas (Accessed: 27 December 2021).</w:t>
      </w:r>
    </w:p>
    <w:p w14:paraId="33EBBD4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Kersten, S. (2001) ‘Mechanisms of nutritional and hormonal regulation of lipogenesis’, </w:t>
      </w:r>
      <w:r w:rsidRPr="0035519F">
        <w:rPr>
          <w:rFonts w:ascii="Arial" w:hAnsi="Arial" w:cs="Arial"/>
          <w:i/>
          <w:iCs/>
          <w:noProof/>
          <w:sz w:val="24"/>
          <w:szCs w:val="24"/>
        </w:rPr>
        <w:t>EMBO Reports</w:t>
      </w:r>
      <w:r w:rsidRPr="0035519F">
        <w:rPr>
          <w:rFonts w:ascii="Arial" w:hAnsi="Arial" w:cs="Arial"/>
          <w:noProof/>
          <w:sz w:val="24"/>
          <w:szCs w:val="24"/>
        </w:rPr>
        <w:t>. European Molecular Biology Organization, pp. 282–286. doi: 10.1093/embo-reports/kve071.</w:t>
      </w:r>
    </w:p>
    <w:p w14:paraId="75C8EE2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Kinlen, D., Cody, D. and O’Shea, D. (2018) ‘Complications of obesity’, </w:t>
      </w:r>
      <w:r w:rsidRPr="0035519F">
        <w:rPr>
          <w:rFonts w:ascii="Arial" w:hAnsi="Arial" w:cs="Arial"/>
          <w:i/>
          <w:iCs/>
          <w:noProof/>
          <w:sz w:val="24"/>
          <w:szCs w:val="24"/>
        </w:rPr>
        <w:t>QJM</w:t>
      </w:r>
      <w:r w:rsidRPr="0035519F">
        <w:rPr>
          <w:rFonts w:ascii="Arial" w:hAnsi="Arial" w:cs="Arial"/>
          <w:noProof/>
          <w:sz w:val="24"/>
          <w:szCs w:val="24"/>
        </w:rPr>
        <w:t>, pp. 437–443. doi: 10.1093/qjmed/hcx152.</w:t>
      </w:r>
    </w:p>
    <w:p w14:paraId="3864880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Kumar, V. (2018) ‘Enviromental and Nutritional Disease’, in Kumar, V., Abbas, A. K., and Aster, J. . (eds) </w:t>
      </w:r>
      <w:r w:rsidRPr="0035519F">
        <w:rPr>
          <w:rFonts w:ascii="Arial" w:hAnsi="Arial" w:cs="Arial"/>
          <w:i/>
          <w:iCs/>
          <w:noProof/>
          <w:sz w:val="24"/>
          <w:szCs w:val="24"/>
        </w:rPr>
        <w:t>Robbins Basic Pathology</w:t>
      </w:r>
      <w:r w:rsidRPr="0035519F">
        <w:rPr>
          <w:rFonts w:ascii="Arial" w:hAnsi="Arial" w:cs="Arial"/>
          <w:noProof/>
          <w:sz w:val="24"/>
          <w:szCs w:val="24"/>
        </w:rPr>
        <w:t>. 10th edn. Philadelphia: Elsevier.</w:t>
      </w:r>
    </w:p>
    <w:p w14:paraId="03C39A83"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Kurniawan, L. </w:t>
      </w:r>
      <w:r w:rsidRPr="0035519F">
        <w:rPr>
          <w:rFonts w:ascii="Arial" w:hAnsi="Arial" w:cs="Arial"/>
          <w:i/>
          <w:iCs/>
          <w:noProof/>
          <w:sz w:val="24"/>
          <w:szCs w:val="24"/>
        </w:rPr>
        <w:t>et al.</w:t>
      </w:r>
      <w:r w:rsidRPr="0035519F">
        <w:rPr>
          <w:rFonts w:ascii="Arial" w:hAnsi="Arial" w:cs="Arial"/>
          <w:noProof/>
          <w:sz w:val="24"/>
          <w:szCs w:val="24"/>
        </w:rPr>
        <w:t xml:space="preserve"> (2018) ‘Body Mass, Total Body Fat Percentage, and Visceral Fat Level Predict Insulin Resistance Better Than Waist Circumference and Body Mass Index in Healthy Young Male Adults in Indonesia’, </w:t>
      </w:r>
      <w:r w:rsidRPr="0035519F">
        <w:rPr>
          <w:rFonts w:ascii="Arial" w:hAnsi="Arial" w:cs="Arial"/>
          <w:i/>
          <w:iCs/>
          <w:noProof/>
          <w:sz w:val="24"/>
          <w:szCs w:val="24"/>
        </w:rPr>
        <w:t>Journal of Clinical Medicine</w:t>
      </w:r>
      <w:r w:rsidRPr="0035519F">
        <w:rPr>
          <w:rFonts w:ascii="Arial" w:hAnsi="Arial" w:cs="Arial"/>
          <w:noProof/>
          <w:sz w:val="24"/>
          <w:szCs w:val="24"/>
        </w:rPr>
        <w:t>, 7(5), p. 96. doi: 10.3390/jcm7050096.</w:t>
      </w:r>
    </w:p>
    <w:p w14:paraId="020B53E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Kurniawan, L. B. </w:t>
      </w:r>
      <w:r w:rsidRPr="0035519F">
        <w:rPr>
          <w:rFonts w:ascii="Arial" w:hAnsi="Arial" w:cs="Arial"/>
          <w:i/>
          <w:iCs/>
          <w:noProof/>
          <w:sz w:val="24"/>
          <w:szCs w:val="24"/>
        </w:rPr>
        <w:t>et al.</w:t>
      </w:r>
      <w:r w:rsidRPr="0035519F">
        <w:rPr>
          <w:rFonts w:ascii="Arial" w:hAnsi="Arial" w:cs="Arial"/>
          <w:noProof/>
          <w:sz w:val="24"/>
          <w:szCs w:val="24"/>
        </w:rPr>
        <w:t xml:space="preserve"> (2018) ‘Body Mass, Total Body Fat Percentage, and Visceral Fat Level Predict Insulin Resistance Better Than Waist Circumference and Body Mass Index in Healthy Young Male Adults in Indonesia’, </w:t>
      </w:r>
      <w:r w:rsidRPr="0035519F">
        <w:rPr>
          <w:rFonts w:ascii="Arial" w:hAnsi="Arial" w:cs="Arial"/>
          <w:i/>
          <w:iCs/>
          <w:noProof/>
          <w:sz w:val="24"/>
          <w:szCs w:val="24"/>
        </w:rPr>
        <w:t>Journal of clinical medicine</w:t>
      </w:r>
      <w:r w:rsidRPr="0035519F">
        <w:rPr>
          <w:rFonts w:ascii="Arial" w:hAnsi="Arial" w:cs="Arial"/>
          <w:noProof/>
          <w:sz w:val="24"/>
          <w:szCs w:val="24"/>
        </w:rPr>
        <w:t>, 7(5). doi: 10.3390/JCM7050096.</w:t>
      </w:r>
    </w:p>
    <w:p w14:paraId="079DB2BD"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Kurniawan, L. B. </w:t>
      </w:r>
      <w:r w:rsidRPr="0035519F">
        <w:rPr>
          <w:rFonts w:ascii="Arial" w:hAnsi="Arial" w:cs="Arial"/>
          <w:i/>
          <w:iCs/>
          <w:noProof/>
          <w:sz w:val="24"/>
          <w:szCs w:val="24"/>
        </w:rPr>
        <w:t>et al.</w:t>
      </w:r>
      <w:r w:rsidRPr="0035519F">
        <w:rPr>
          <w:rFonts w:ascii="Arial" w:hAnsi="Arial" w:cs="Arial"/>
          <w:noProof/>
          <w:sz w:val="24"/>
          <w:szCs w:val="24"/>
        </w:rPr>
        <w:t xml:space="preserve"> (2020a) ‘Anthropometric features in predicting insulin resistance among non-menopausal Indonesian adult females’, </w:t>
      </w:r>
      <w:r w:rsidRPr="0035519F">
        <w:rPr>
          <w:rFonts w:ascii="Arial" w:hAnsi="Arial" w:cs="Arial"/>
          <w:i/>
          <w:iCs/>
          <w:noProof/>
          <w:sz w:val="24"/>
          <w:szCs w:val="24"/>
        </w:rPr>
        <w:t>Romanian journal of internal medicine = Revue roumaine de medecine interne</w:t>
      </w:r>
      <w:r w:rsidRPr="0035519F">
        <w:rPr>
          <w:rFonts w:ascii="Arial" w:hAnsi="Arial" w:cs="Arial"/>
          <w:noProof/>
          <w:sz w:val="24"/>
          <w:szCs w:val="24"/>
        </w:rPr>
        <w:t>, 58(3), pp. 168–172. doi: 10.2478/rjim-2020-0015.</w:t>
      </w:r>
    </w:p>
    <w:p w14:paraId="47DEA18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Kurniawan, L. B. </w:t>
      </w:r>
      <w:r w:rsidRPr="0035519F">
        <w:rPr>
          <w:rFonts w:ascii="Arial" w:hAnsi="Arial" w:cs="Arial"/>
          <w:i/>
          <w:iCs/>
          <w:noProof/>
          <w:sz w:val="24"/>
          <w:szCs w:val="24"/>
        </w:rPr>
        <w:t>et al.</w:t>
      </w:r>
      <w:r w:rsidRPr="0035519F">
        <w:rPr>
          <w:rFonts w:ascii="Arial" w:hAnsi="Arial" w:cs="Arial"/>
          <w:noProof/>
          <w:sz w:val="24"/>
          <w:szCs w:val="24"/>
        </w:rPr>
        <w:t xml:space="preserve"> (2020b) ‘Anthropometric features in predicting insulin resistance among non-menopausal Indonesian adult females’, </w:t>
      </w:r>
      <w:r w:rsidRPr="0035519F">
        <w:rPr>
          <w:rFonts w:ascii="Arial" w:hAnsi="Arial" w:cs="Arial"/>
          <w:i/>
          <w:iCs/>
          <w:noProof/>
          <w:sz w:val="24"/>
          <w:szCs w:val="24"/>
        </w:rPr>
        <w:t>Romanian Journal of Internal Medicine</w:t>
      </w:r>
      <w:r w:rsidRPr="0035519F">
        <w:rPr>
          <w:rFonts w:ascii="Arial" w:hAnsi="Arial" w:cs="Arial"/>
          <w:noProof/>
          <w:sz w:val="24"/>
          <w:szCs w:val="24"/>
        </w:rPr>
        <w:t>, 58(3), pp. 168–172. doi: 10.2478/rjim-2020-0015.</w:t>
      </w:r>
    </w:p>
    <w:p w14:paraId="42E7909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Kwon, H. and Pessin, J. E. (2018) ‘Adipokines, Inflammation, and Insulin Resistance in Obesity’, in </w:t>
      </w:r>
      <w:r w:rsidRPr="0035519F">
        <w:rPr>
          <w:rFonts w:ascii="Arial" w:hAnsi="Arial" w:cs="Arial"/>
          <w:i/>
          <w:iCs/>
          <w:noProof/>
          <w:sz w:val="24"/>
          <w:szCs w:val="24"/>
        </w:rPr>
        <w:t>Textbook of Energy Balance, Neuropeptide Hormones, and Neuroendocrine Function</w:t>
      </w:r>
      <w:r w:rsidRPr="0035519F">
        <w:rPr>
          <w:rFonts w:ascii="Arial" w:hAnsi="Arial" w:cs="Arial"/>
          <w:noProof/>
          <w:sz w:val="24"/>
          <w:szCs w:val="24"/>
        </w:rPr>
        <w:t>. Springer, Cham, pp. 225–252. doi: 10.1007/978-3-319-89506-2_9.</w:t>
      </w:r>
    </w:p>
    <w:p w14:paraId="48A322F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Lansang, M. C., Williams, G. H. and Carroll, J. S. (2001) ‘Correlation between the glucose clamp technique and the homeostasis model assessment in hypertension’, </w:t>
      </w:r>
      <w:r w:rsidRPr="0035519F">
        <w:rPr>
          <w:rFonts w:ascii="Arial" w:hAnsi="Arial" w:cs="Arial"/>
          <w:i/>
          <w:iCs/>
          <w:noProof/>
          <w:sz w:val="24"/>
          <w:szCs w:val="24"/>
        </w:rPr>
        <w:t>American journal of hypertension</w:t>
      </w:r>
      <w:r w:rsidRPr="0035519F">
        <w:rPr>
          <w:rFonts w:ascii="Arial" w:hAnsi="Arial" w:cs="Arial"/>
          <w:noProof/>
          <w:sz w:val="24"/>
          <w:szCs w:val="24"/>
        </w:rPr>
        <w:t>, 14(1), pp. 51–53. doi: 10.1016/S0895-7061(00)01229-2.</w:t>
      </w:r>
    </w:p>
    <w:p w14:paraId="358107FE"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LeBlanc, E. S. </w:t>
      </w:r>
      <w:r w:rsidRPr="0035519F">
        <w:rPr>
          <w:rFonts w:ascii="Arial" w:hAnsi="Arial" w:cs="Arial"/>
          <w:i/>
          <w:iCs/>
          <w:noProof/>
          <w:sz w:val="24"/>
          <w:szCs w:val="24"/>
        </w:rPr>
        <w:t>et al.</w:t>
      </w:r>
      <w:r w:rsidRPr="0035519F">
        <w:rPr>
          <w:rFonts w:ascii="Arial" w:hAnsi="Arial" w:cs="Arial"/>
          <w:noProof/>
          <w:sz w:val="24"/>
          <w:szCs w:val="24"/>
        </w:rPr>
        <w:t xml:space="preserve"> (2011) ‘Higher testosterone levels are associated with less loss of lean body mass in older men’, </w:t>
      </w:r>
      <w:r w:rsidRPr="0035519F">
        <w:rPr>
          <w:rFonts w:ascii="Arial" w:hAnsi="Arial" w:cs="Arial"/>
          <w:i/>
          <w:iCs/>
          <w:noProof/>
          <w:sz w:val="24"/>
          <w:szCs w:val="24"/>
        </w:rPr>
        <w:t>Journal of Clinical Endocrinology and Metabolism</w:t>
      </w:r>
      <w:r w:rsidRPr="0035519F">
        <w:rPr>
          <w:rFonts w:ascii="Arial" w:hAnsi="Arial" w:cs="Arial"/>
          <w:noProof/>
          <w:sz w:val="24"/>
          <w:szCs w:val="24"/>
        </w:rPr>
        <w:t>, 96(12), pp. 3855–3863. doi: 10.1210/jc.2011-0312.</w:t>
      </w:r>
    </w:p>
    <w:p w14:paraId="321C5FD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lastRenderedPageBreak/>
        <w:t xml:space="preserve">Lewitt, M. S. (2017) ‘The Role of the Growth Hormone/Insulin-Like Growth Factor System in Visceral Adiposity.’, </w:t>
      </w:r>
      <w:r w:rsidRPr="0035519F">
        <w:rPr>
          <w:rFonts w:ascii="Arial" w:hAnsi="Arial" w:cs="Arial"/>
          <w:i/>
          <w:iCs/>
          <w:noProof/>
          <w:sz w:val="24"/>
          <w:szCs w:val="24"/>
        </w:rPr>
        <w:t>Biochemistry insights</w:t>
      </w:r>
      <w:r w:rsidRPr="0035519F">
        <w:rPr>
          <w:rFonts w:ascii="Arial" w:hAnsi="Arial" w:cs="Arial"/>
          <w:noProof/>
          <w:sz w:val="24"/>
          <w:szCs w:val="24"/>
        </w:rPr>
        <w:t>, 10, p. 1178626417703995. doi: 10.1177/1178626417703995.</w:t>
      </w:r>
    </w:p>
    <w:p w14:paraId="05954FF0"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Lindhorst, A. </w:t>
      </w:r>
      <w:r w:rsidRPr="0035519F">
        <w:rPr>
          <w:rFonts w:ascii="Arial" w:hAnsi="Arial" w:cs="Arial"/>
          <w:i/>
          <w:iCs/>
          <w:noProof/>
          <w:sz w:val="24"/>
          <w:szCs w:val="24"/>
        </w:rPr>
        <w:t>et al.</w:t>
      </w:r>
      <w:r w:rsidRPr="0035519F">
        <w:rPr>
          <w:rFonts w:ascii="Arial" w:hAnsi="Arial" w:cs="Arial"/>
          <w:noProof/>
          <w:sz w:val="24"/>
          <w:szCs w:val="24"/>
        </w:rPr>
        <w:t xml:space="preserve"> (2021) ‘Adipocyte death triggers a pro-inflammatory response and induces metabolic activation of resident macrophages’, </w:t>
      </w:r>
      <w:r w:rsidRPr="0035519F">
        <w:rPr>
          <w:rFonts w:ascii="Arial" w:hAnsi="Arial" w:cs="Arial"/>
          <w:i/>
          <w:iCs/>
          <w:noProof/>
          <w:sz w:val="24"/>
          <w:szCs w:val="24"/>
        </w:rPr>
        <w:t>Cell Death and Disease</w:t>
      </w:r>
      <w:r w:rsidRPr="0035519F">
        <w:rPr>
          <w:rFonts w:ascii="Arial" w:hAnsi="Arial" w:cs="Arial"/>
          <w:noProof/>
          <w:sz w:val="24"/>
          <w:szCs w:val="24"/>
        </w:rPr>
        <w:t>, 12(6), pp. 1–15. doi: 10.1038/s41419-021-03872-9.</w:t>
      </w:r>
    </w:p>
    <w:p w14:paraId="4C2870B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Litwiniuk, A. </w:t>
      </w:r>
      <w:r w:rsidRPr="0035519F">
        <w:rPr>
          <w:rFonts w:ascii="Arial" w:hAnsi="Arial" w:cs="Arial"/>
          <w:i/>
          <w:iCs/>
          <w:noProof/>
          <w:sz w:val="24"/>
          <w:szCs w:val="24"/>
        </w:rPr>
        <w:t>et al.</w:t>
      </w:r>
      <w:r w:rsidRPr="0035519F">
        <w:rPr>
          <w:rFonts w:ascii="Arial" w:hAnsi="Arial" w:cs="Arial"/>
          <w:noProof/>
          <w:sz w:val="24"/>
          <w:szCs w:val="24"/>
        </w:rPr>
        <w:t xml:space="preserve"> (2021) ‘Inflammasome NLRP3 Potentially Links Obesity-Associated Low-Grade Systemic Inflammation and Insulin Resistance with Alzheimer’s Disease’, </w:t>
      </w:r>
      <w:r w:rsidRPr="0035519F">
        <w:rPr>
          <w:rFonts w:ascii="Arial" w:hAnsi="Arial" w:cs="Arial"/>
          <w:i/>
          <w:iCs/>
          <w:noProof/>
          <w:sz w:val="24"/>
          <w:szCs w:val="24"/>
        </w:rPr>
        <w:t>International journal of molecular sciences</w:t>
      </w:r>
      <w:r w:rsidRPr="0035519F">
        <w:rPr>
          <w:rFonts w:ascii="Arial" w:hAnsi="Arial" w:cs="Arial"/>
          <w:noProof/>
          <w:sz w:val="24"/>
          <w:szCs w:val="24"/>
        </w:rPr>
        <w:t>, 22(11). doi: 10.3390/IJMS22115603.</w:t>
      </w:r>
    </w:p>
    <w:p w14:paraId="4678339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Longo, M. </w:t>
      </w:r>
      <w:r w:rsidRPr="0035519F">
        <w:rPr>
          <w:rFonts w:ascii="Arial" w:hAnsi="Arial" w:cs="Arial"/>
          <w:i/>
          <w:iCs/>
          <w:noProof/>
          <w:sz w:val="24"/>
          <w:szCs w:val="24"/>
        </w:rPr>
        <w:t>et al.</w:t>
      </w:r>
      <w:r w:rsidRPr="0035519F">
        <w:rPr>
          <w:rFonts w:ascii="Arial" w:hAnsi="Arial" w:cs="Arial"/>
          <w:noProof/>
          <w:sz w:val="24"/>
          <w:szCs w:val="24"/>
        </w:rPr>
        <w:t xml:space="preserve"> (2019) ‘Adipose Tissue Dysfunction as Determinant of Obesity-Associated Metabolic Complications’, </w:t>
      </w:r>
      <w:r w:rsidRPr="0035519F">
        <w:rPr>
          <w:rFonts w:ascii="Arial" w:hAnsi="Arial" w:cs="Arial"/>
          <w:i/>
          <w:iCs/>
          <w:noProof/>
          <w:sz w:val="24"/>
          <w:szCs w:val="24"/>
        </w:rPr>
        <w:t>International Journal of Molecular Sciences</w:t>
      </w:r>
      <w:r w:rsidRPr="0035519F">
        <w:rPr>
          <w:rFonts w:ascii="Arial" w:hAnsi="Arial" w:cs="Arial"/>
          <w:noProof/>
          <w:sz w:val="24"/>
          <w:szCs w:val="24"/>
        </w:rPr>
        <w:t>, 20(9), p. 2358. doi: 10.3390/ijms20092358.</w:t>
      </w:r>
    </w:p>
    <w:p w14:paraId="0C5FA99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Ma, W. Y. </w:t>
      </w:r>
      <w:r w:rsidRPr="0035519F">
        <w:rPr>
          <w:rFonts w:ascii="Arial" w:hAnsi="Arial" w:cs="Arial"/>
          <w:i/>
          <w:iCs/>
          <w:noProof/>
          <w:sz w:val="24"/>
          <w:szCs w:val="24"/>
        </w:rPr>
        <w:t>et al.</w:t>
      </w:r>
      <w:r w:rsidRPr="0035519F">
        <w:rPr>
          <w:rFonts w:ascii="Arial" w:hAnsi="Arial" w:cs="Arial"/>
          <w:noProof/>
          <w:sz w:val="24"/>
          <w:szCs w:val="24"/>
        </w:rPr>
        <w:t xml:space="preserve"> (2013) ‘Measurement of waist circumference: Midabdominal or iliac crest?’, </w:t>
      </w:r>
      <w:r w:rsidRPr="0035519F">
        <w:rPr>
          <w:rFonts w:ascii="Arial" w:hAnsi="Arial" w:cs="Arial"/>
          <w:i/>
          <w:iCs/>
          <w:noProof/>
          <w:sz w:val="24"/>
          <w:szCs w:val="24"/>
        </w:rPr>
        <w:t>Diabetes Care</w:t>
      </w:r>
      <w:r w:rsidRPr="0035519F">
        <w:rPr>
          <w:rFonts w:ascii="Arial" w:hAnsi="Arial" w:cs="Arial"/>
          <w:noProof/>
          <w:sz w:val="24"/>
          <w:szCs w:val="24"/>
        </w:rPr>
        <w:t>, 36(6), pp. 1660–1666. doi: 10.2337/DC12-1452/-/DC1.</w:t>
      </w:r>
    </w:p>
    <w:p w14:paraId="4CF9736C"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Martha, S. </w:t>
      </w:r>
      <w:r w:rsidRPr="0035519F">
        <w:rPr>
          <w:rFonts w:ascii="Arial" w:hAnsi="Arial" w:cs="Arial"/>
          <w:i/>
          <w:iCs/>
          <w:noProof/>
          <w:sz w:val="24"/>
          <w:szCs w:val="24"/>
        </w:rPr>
        <w:t>et al.</w:t>
      </w:r>
      <w:r w:rsidRPr="0035519F">
        <w:rPr>
          <w:rFonts w:ascii="Arial" w:hAnsi="Arial" w:cs="Arial"/>
          <w:noProof/>
          <w:sz w:val="24"/>
          <w:szCs w:val="24"/>
        </w:rPr>
        <w:t xml:space="preserve"> (2008) ‘Study of insulin resistance in relation to serum IGF-I levels in subjects with different degrees of glucose tolerance’, </w:t>
      </w:r>
      <w:r w:rsidRPr="0035519F">
        <w:rPr>
          <w:rFonts w:ascii="Arial" w:hAnsi="Arial" w:cs="Arial"/>
          <w:i/>
          <w:iCs/>
          <w:noProof/>
          <w:sz w:val="24"/>
          <w:szCs w:val="24"/>
        </w:rPr>
        <w:t>International Journal of Diabetes in Developing Countries</w:t>
      </w:r>
      <w:r w:rsidRPr="0035519F">
        <w:rPr>
          <w:rFonts w:ascii="Arial" w:hAnsi="Arial" w:cs="Arial"/>
          <w:noProof/>
          <w:sz w:val="24"/>
          <w:szCs w:val="24"/>
        </w:rPr>
        <w:t>, 28(2), pp. 54–59. doi: 10.4103/0973-3930.43100.</w:t>
      </w:r>
    </w:p>
    <w:p w14:paraId="18CDDC3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Mehrzad, R. (2020) ‘Chapter 4 - Etiology of obesity’, in </w:t>
      </w:r>
      <w:r w:rsidRPr="0035519F">
        <w:rPr>
          <w:rFonts w:ascii="Arial" w:hAnsi="Arial" w:cs="Arial"/>
          <w:i/>
          <w:iCs/>
          <w:noProof/>
          <w:sz w:val="24"/>
          <w:szCs w:val="24"/>
        </w:rPr>
        <w:t>Obesity</w:t>
      </w:r>
      <w:r w:rsidRPr="0035519F">
        <w:rPr>
          <w:rFonts w:ascii="Arial" w:hAnsi="Arial" w:cs="Arial"/>
          <w:noProof/>
          <w:sz w:val="24"/>
          <w:szCs w:val="24"/>
        </w:rPr>
        <w:t>. Elsevier, pp. 43–54. doi: 10.1016/B978-0-12-818839-2.00004-1.</w:t>
      </w:r>
    </w:p>
    <w:p w14:paraId="2C85E5A0"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Mohammadbeigi, A. </w:t>
      </w:r>
      <w:r w:rsidRPr="0035519F">
        <w:rPr>
          <w:rFonts w:ascii="Arial" w:hAnsi="Arial" w:cs="Arial"/>
          <w:i/>
          <w:iCs/>
          <w:noProof/>
          <w:sz w:val="24"/>
          <w:szCs w:val="24"/>
        </w:rPr>
        <w:t>et al.</w:t>
      </w:r>
      <w:r w:rsidRPr="0035519F">
        <w:rPr>
          <w:rFonts w:ascii="Arial" w:hAnsi="Arial" w:cs="Arial"/>
          <w:noProof/>
          <w:sz w:val="24"/>
          <w:szCs w:val="24"/>
        </w:rPr>
        <w:t xml:space="preserve"> (2018) ‘Fast food consumption and overweight/obesity prevalence in students and its association with general and abdominal obesity’, </w:t>
      </w:r>
      <w:r w:rsidRPr="0035519F">
        <w:rPr>
          <w:rFonts w:ascii="Arial" w:hAnsi="Arial" w:cs="Arial"/>
          <w:i/>
          <w:iCs/>
          <w:noProof/>
          <w:sz w:val="24"/>
          <w:szCs w:val="24"/>
        </w:rPr>
        <w:t>Journal of Preventive Medicine and Hygiene</w:t>
      </w:r>
      <w:r w:rsidRPr="0035519F">
        <w:rPr>
          <w:rFonts w:ascii="Arial" w:hAnsi="Arial" w:cs="Arial"/>
          <w:noProof/>
          <w:sz w:val="24"/>
          <w:szCs w:val="24"/>
        </w:rPr>
        <w:t>, 59(3), pp. E236–E240. doi: 10.15167/2421-4248/jpmh2018.59.3.830.</w:t>
      </w:r>
    </w:p>
    <w:p w14:paraId="27C6F51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Muscogiuri, G. </w:t>
      </w:r>
      <w:r w:rsidRPr="0035519F">
        <w:rPr>
          <w:rFonts w:ascii="Arial" w:hAnsi="Arial" w:cs="Arial"/>
          <w:i/>
          <w:iCs/>
          <w:noProof/>
          <w:sz w:val="24"/>
          <w:szCs w:val="24"/>
        </w:rPr>
        <w:t>et al.</w:t>
      </w:r>
      <w:r w:rsidRPr="0035519F">
        <w:rPr>
          <w:rFonts w:ascii="Arial" w:hAnsi="Arial" w:cs="Arial"/>
          <w:noProof/>
          <w:sz w:val="24"/>
          <w:szCs w:val="24"/>
        </w:rPr>
        <w:t xml:space="preserve"> (2019) ‘Somatotropic axis and obesity: Is there any role for the Mediterranean diet?’, </w:t>
      </w:r>
      <w:r w:rsidRPr="0035519F">
        <w:rPr>
          <w:rFonts w:ascii="Arial" w:hAnsi="Arial" w:cs="Arial"/>
          <w:i/>
          <w:iCs/>
          <w:noProof/>
          <w:sz w:val="24"/>
          <w:szCs w:val="24"/>
        </w:rPr>
        <w:t>Nutrients</w:t>
      </w:r>
      <w:r w:rsidRPr="0035519F">
        <w:rPr>
          <w:rFonts w:ascii="Arial" w:hAnsi="Arial" w:cs="Arial"/>
          <w:noProof/>
          <w:sz w:val="24"/>
          <w:szCs w:val="24"/>
        </w:rPr>
        <w:t>, 11(9), p. 2228. doi: 10.3390/nu11092228.</w:t>
      </w:r>
    </w:p>
    <w:p w14:paraId="16B4E4D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Newsholme, P. </w:t>
      </w:r>
      <w:r w:rsidRPr="0035519F">
        <w:rPr>
          <w:rFonts w:ascii="Arial" w:hAnsi="Arial" w:cs="Arial"/>
          <w:i/>
          <w:iCs/>
          <w:noProof/>
          <w:sz w:val="24"/>
          <w:szCs w:val="24"/>
        </w:rPr>
        <w:t>et al.</w:t>
      </w:r>
      <w:r w:rsidRPr="0035519F">
        <w:rPr>
          <w:rFonts w:ascii="Arial" w:hAnsi="Arial" w:cs="Arial"/>
          <w:noProof/>
          <w:sz w:val="24"/>
          <w:szCs w:val="24"/>
        </w:rPr>
        <w:t xml:space="preserve"> (2014) ‘Nutrient regulation of insulin secretion and action’, </w:t>
      </w:r>
      <w:r w:rsidRPr="0035519F">
        <w:rPr>
          <w:rFonts w:ascii="Arial" w:hAnsi="Arial" w:cs="Arial"/>
          <w:i/>
          <w:iCs/>
          <w:noProof/>
          <w:sz w:val="24"/>
          <w:szCs w:val="24"/>
        </w:rPr>
        <w:t>Journal of Endocrinology</w:t>
      </w:r>
      <w:r w:rsidRPr="0035519F">
        <w:rPr>
          <w:rFonts w:ascii="Arial" w:hAnsi="Arial" w:cs="Arial"/>
          <w:noProof/>
          <w:sz w:val="24"/>
          <w:szCs w:val="24"/>
        </w:rPr>
        <w:t>, 221(3), pp. R105–R120. doi: 10.1530/JOE-13-0616.</w:t>
      </w:r>
    </w:p>
    <w:p w14:paraId="34BB1CFD"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Oh, J. </w:t>
      </w:r>
      <w:r w:rsidRPr="0035519F">
        <w:rPr>
          <w:rFonts w:ascii="Arial" w:hAnsi="Arial" w:cs="Arial"/>
          <w:i/>
          <w:iCs/>
          <w:noProof/>
          <w:sz w:val="24"/>
          <w:szCs w:val="24"/>
        </w:rPr>
        <w:t>et al.</w:t>
      </w:r>
      <w:r w:rsidRPr="0035519F">
        <w:rPr>
          <w:rFonts w:ascii="Arial" w:hAnsi="Arial" w:cs="Arial"/>
          <w:noProof/>
          <w:sz w:val="24"/>
          <w:szCs w:val="24"/>
        </w:rPr>
        <w:t xml:space="preserve"> (2012) ‘The relationship between insulin-like growth factor-1 and metabolic syndrome, independent of adiponectin’, </w:t>
      </w:r>
      <w:r w:rsidRPr="0035519F">
        <w:rPr>
          <w:rFonts w:ascii="Arial" w:hAnsi="Arial" w:cs="Arial"/>
          <w:i/>
          <w:iCs/>
          <w:noProof/>
          <w:sz w:val="24"/>
          <w:szCs w:val="24"/>
        </w:rPr>
        <w:t>Clinica Chimica Acta</w:t>
      </w:r>
      <w:r w:rsidRPr="0035519F">
        <w:rPr>
          <w:rFonts w:ascii="Arial" w:hAnsi="Arial" w:cs="Arial"/>
          <w:noProof/>
          <w:sz w:val="24"/>
          <w:szCs w:val="24"/>
        </w:rPr>
        <w:t>, 413(3–4), pp. 506–510. doi: 10.1016/j.cca.2011.11.015.</w:t>
      </w:r>
    </w:p>
    <w:p w14:paraId="0953E171"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De Onis, M., Blössner, M. and Borghi, E. (2010) ‘Global prevalence and trends of overweight and obesity among preschool children’, </w:t>
      </w:r>
      <w:r w:rsidRPr="0035519F">
        <w:rPr>
          <w:rFonts w:ascii="Arial" w:hAnsi="Arial" w:cs="Arial"/>
          <w:i/>
          <w:iCs/>
          <w:noProof/>
          <w:sz w:val="24"/>
          <w:szCs w:val="24"/>
        </w:rPr>
        <w:t>American Journal of Clinical Nutrition</w:t>
      </w:r>
      <w:r w:rsidRPr="0035519F">
        <w:rPr>
          <w:rFonts w:ascii="Arial" w:hAnsi="Arial" w:cs="Arial"/>
          <w:noProof/>
          <w:sz w:val="24"/>
          <w:szCs w:val="24"/>
        </w:rPr>
        <w:t xml:space="preserve">, 92(5), pp. 1257–1264. doi: </w:t>
      </w:r>
      <w:r w:rsidRPr="0035519F">
        <w:rPr>
          <w:rFonts w:ascii="Arial" w:hAnsi="Arial" w:cs="Arial"/>
          <w:noProof/>
          <w:sz w:val="24"/>
          <w:szCs w:val="24"/>
        </w:rPr>
        <w:lastRenderedPageBreak/>
        <w:t>10.3945/ajcn.2010.29786.</w:t>
      </w:r>
    </w:p>
    <w:p w14:paraId="71FC631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Ormazabal, V. </w:t>
      </w:r>
      <w:r w:rsidRPr="0035519F">
        <w:rPr>
          <w:rFonts w:ascii="Arial" w:hAnsi="Arial" w:cs="Arial"/>
          <w:i/>
          <w:iCs/>
          <w:noProof/>
          <w:sz w:val="24"/>
          <w:szCs w:val="24"/>
        </w:rPr>
        <w:t>et al.</w:t>
      </w:r>
      <w:r w:rsidRPr="0035519F">
        <w:rPr>
          <w:rFonts w:ascii="Arial" w:hAnsi="Arial" w:cs="Arial"/>
          <w:noProof/>
          <w:sz w:val="24"/>
          <w:szCs w:val="24"/>
        </w:rPr>
        <w:t xml:space="preserve"> (2018) ‘Association between insulin resistance and the development of cardiovascular disease’, </w:t>
      </w:r>
      <w:r w:rsidRPr="0035519F">
        <w:rPr>
          <w:rFonts w:ascii="Arial" w:hAnsi="Arial" w:cs="Arial"/>
          <w:i/>
          <w:iCs/>
          <w:noProof/>
          <w:sz w:val="24"/>
          <w:szCs w:val="24"/>
        </w:rPr>
        <w:t>Cardiovascular Diabetology</w:t>
      </w:r>
      <w:r w:rsidRPr="0035519F">
        <w:rPr>
          <w:rFonts w:ascii="Arial" w:hAnsi="Arial" w:cs="Arial"/>
          <w:noProof/>
          <w:sz w:val="24"/>
          <w:szCs w:val="24"/>
        </w:rPr>
        <w:t>. Cardiovasc Diabetol. doi: 10.1186/s12933-018-0762-4.</w:t>
      </w:r>
    </w:p>
    <w:p w14:paraId="7A738981"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Panuganti, K. and Nguyen, M. (2020) ‘Obesity - StatPearls - NCBI Bookshelf’, </w:t>
      </w:r>
      <w:r w:rsidRPr="0035519F">
        <w:rPr>
          <w:rFonts w:ascii="Arial" w:hAnsi="Arial" w:cs="Arial"/>
          <w:i/>
          <w:iCs/>
          <w:noProof/>
          <w:sz w:val="24"/>
          <w:szCs w:val="24"/>
        </w:rPr>
        <w:t>StatPearls</w:t>
      </w:r>
      <w:r w:rsidRPr="0035519F">
        <w:rPr>
          <w:rFonts w:ascii="Arial" w:hAnsi="Arial" w:cs="Arial"/>
          <w:noProof/>
          <w:sz w:val="24"/>
          <w:szCs w:val="24"/>
        </w:rPr>
        <w:t>. Available at: https://www.ncbi.nlm.nih.gov/books/NBK459357/ (Accessed: 15 December 2021).</w:t>
      </w:r>
    </w:p>
    <w:p w14:paraId="3D6F13C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Pearson, N. and Biddle, S. J. H. (2011) ‘Sedentary behavior and dietary intake in children, adolescents, and adults. A systematic review’, </w:t>
      </w:r>
      <w:r w:rsidRPr="0035519F">
        <w:rPr>
          <w:rFonts w:ascii="Arial" w:hAnsi="Arial" w:cs="Arial"/>
          <w:i/>
          <w:iCs/>
          <w:noProof/>
          <w:sz w:val="24"/>
          <w:szCs w:val="24"/>
        </w:rPr>
        <w:t>American journal of preventive medicine</w:t>
      </w:r>
      <w:r w:rsidRPr="0035519F">
        <w:rPr>
          <w:rFonts w:ascii="Arial" w:hAnsi="Arial" w:cs="Arial"/>
          <w:noProof/>
          <w:sz w:val="24"/>
          <w:szCs w:val="24"/>
        </w:rPr>
        <w:t>, 41(2), pp. 178–188. doi: 10.1016/J.AMEPRE.2011.05.002.</w:t>
      </w:r>
    </w:p>
    <w:p w14:paraId="69565AC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Rahman, M. N., Sukmawati, I. R. and Puspitasari, I. M. (2019) ‘Pola Penanda Glikemik dan Inflamasi dalam Perkembangan Penyakit Diabetes Melitus Tipe 2 pada Pria Obesitas Sentral’, </w:t>
      </w:r>
      <w:r w:rsidRPr="0035519F">
        <w:rPr>
          <w:rFonts w:ascii="Arial" w:hAnsi="Arial" w:cs="Arial"/>
          <w:i/>
          <w:iCs/>
          <w:noProof/>
          <w:sz w:val="24"/>
          <w:szCs w:val="24"/>
        </w:rPr>
        <w:t>Indonesian Journal of Clinical Pharmacy</w:t>
      </w:r>
      <w:r w:rsidRPr="0035519F">
        <w:rPr>
          <w:rFonts w:ascii="Arial" w:hAnsi="Arial" w:cs="Arial"/>
          <w:noProof/>
          <w:sz w:val="24"/>
          <w:szCs w:val="24"/>
        </w:rPr>
        <w:t>, 8(4), p. 281. doi: 10.15416/ijcp.2019.8.4.281.</w:t>
      </w:r>
    </w:p>
    <w:p w14:paraId="30E5B24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Rasmussen, M. H. (2010) ‘Obesity, growth hormone and weight loss’, </w:t>
      </w:r>
      <w:r w:rsidRPr="0035519F">
        <w:rPr>
          <w:rFonts w:ascii="Arial" w:hAnsi="Arial" w:cs="Arial"/>
          <w:i/>
          <w:iCs/>
          <w:noProof/>
          <w:sz w:val="24"/>
          <w:szCs w:val="24"/>
        </w:rPr>
        <w:t>Molecular and Cellular Endocrinology</w:t>
      </w:r>
      <w:r w:rsidRPr="0035519F">
        <w:rPr>
          <w:rFonts w:ascii="Arial" w:hAnsi="Arial" w:cs="Arial"/>
          <w:noProof/>
          <w:sz w:val="24"/>
          <w:szCs w:val="24"/>
        </w:rPr>
        <w:t>. Mol Cell Endocrinol, pp. 147–153. doi: 10.1016/j.mce.2009.08.017.</w:t>
      </w:r>
    </w:p>
    <w:p w14:paraId="76F51EC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Riskesdas (2018) ‘Laporan Hasil Riset Kesehatan Dasar (Riskesdas) | Badan Penelitian dan Pengembangan Kesehatan’, </w:t>
      </w:r>
      <w:r w:rsidRPr="0035519F">
        <w:rPr>
          <w:rFonts w:ascii="Arial" w:hAnsi="Arial" w:cs="Arial"/>
          <w:i/>
          <w:iCs/>
          <w:noProof/>
          <w:sz w:val="24"/>
          <w:szCs w:val="24"/>
        </w:rPr>
        <w:t>Kementerian Kesehatan RI</w:t>
      </w:r>
      <w:r w:rsidRPr="0035519F">
        <w:rPr>
          <w:rFonts w:ascii="Arial" w:hAnsi="Arial" w:cs="Arial"/>
          <w:noProof/>
          <w:sz w:val="24"/>
          <w:szCs w:val="24"/>
        </w:rPr>
        <w:t>, pp. 175–178. Available at: https://www.litbang.kemkes.go.id/laporan-riset-kesehatan-dasar-riskesdas/ (Accessed: 27 December 2021).</w:t>
      </w:r>
    </w:p>
    <w:p w14:paraId="34AB12C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Roche (2013) </w:t>
      </w:r>
      <w:r w:rsidRPr="0035519F">
        <w:rPr>
          <w:rFonts w:ascii="Arial" w:hAnsi="Arial" w:cs="Arial"/>
          <w:i/>
          <w:iCs/>
          <w:noProof/>
          <w:sz w:val="24"/>
          <w:szCs w:val="24"/>
        </w:rPr>
        <w:t>Insulin</w:t>
      </w:r>
      <w:r w:rsidRPr="0035519F">
        <w:rPr>
          <w:rFonts w:ascii="Arial" w:hAnsi="Arial" w:cs="Arial"/>
          <w:noProof/>
          <w:sz w:val="24"/>
          <w:szCs w:val="24"/>
        </w:rPr>
        <w:t>. Indianapolis: Roche Diagnostic.</w:t>
      </w:r>
    </w:p>
    <w:p w14:paraId="21FC75F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Rodríguez, A. </w:t>
      </w:r>
      <w:r w:rsidRPr="0035519F">
        <w:rPr>
          <w:rFonts w:ascii="Arial" w:hAnsi="Arial" w:cs="Arial"/>
          <w:i/>
          <w:iCs/>
          <w:noProof/>
          <w:sz w:val="24"/>
          <w:szCs w:val="24"/>
        </w:rPr>
        <w:t>et al.</w:t>
      </w:r>
      <w:r w:rsidRPr="0035519F">
        <w:rPr>
          <w:rFonts w:ascii="Arial" w:hAnsi="Arial" w:cs="Arial"/>
          <w:noProof/>
          <w:sz w:val="24"/>
          <w:szCs w:val="24"/>
        </w:rPr>
        <w:t xml:space="preserve"> (2020) ‘Adipose tissue depot differences in adipokines and effects on skeletal and cardiac muscle’, </w:t>
      </w:r>
      <w:r w:rsidRPr="0035519F">
        <w:rPr>
          <w:rFonts w:ascii="Arial" w:hAnsi="Arial" w:cs="Arial"/>
          <w:i/>
          <w:iCs/>
          <w:noProof/>
          <w:sz w:val="24"/>
          <w:szCs w:val="24"/>
        </w:rPr>
        <w:t>Current Opinion in Pharmacology</w:t>
      </w:r>
      <w:r w:rsidRPr="0035519F">
        <w:rPr>
          <w:rFonts w:ascii="Arial" w:hAnsi="Arial" w:cs="Arial"/>
          <w:noProof/>
          <w:sz w:val="24"/>
          <w:szCs w:val="24"/>
        </w:rPr>
        <w:t>. Elsevier, pp. 1–8. doi: 10.1016/j.coph.2020.04.003.</w:t>
      </w:r>
    </w:p>
    <w:p w14:paraId="6D4699D6"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Roh, E., Song, D. K. and Kim, M.-S. (2016) ‘Emerging role of the brain in the homeostatic regulation of energy and glucose metabolism’, </w:t>
      </w:r>
      <w:r w:rsidRPr="0035519F">
        <w:rPr>
          <w:rFonts w:ascii="Arial" w:hAnsi="Arial" w:cs="Arial"/>
          <w:i/>
          <w:iCs/>
          <w:noProof/>
          <w:sz w:val="24"/>
          <w:szCs w:val="24"/>
        </w:rPr>
        <w:t>Experimental &amp; Molecular Medicine</w:t>
      </w:r>
      <w:r w:rsidRPr="0035519F">
        <w:rPr>
          <w:rFonts w:ascii="Arial" w:hAnsi="Arial" w:cs="Arial"/>
          <w:noProof/>
          <w:sz w:val="24"/>
          <w:szCs w:val="24"/>
        </w:rPr>
        <w:t>, 48, p. 216. doi: 10.1038/emm.2016.4.</w:t>
      </w:r>
    </w:p>
    <w:p w14:paraId="4888926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Roh, E., Song, D. K. and Kim, M. S. (2016) ‘Emerging role of the brain in the homeostatic regulation of energy and glucose metabolism’, </w:t>
      </w:r>
      <w:r w:rsidRPr="0035519F">
        <w:rPr>
          <w:rFonts w:ascii="Arial" w:hAnsi="Arial" w:cs="Arial"/>
          <w:i/>
          <w:iCs/>
          <w:noProof/>
          <w:sz w:val="24"/>
          <w:szCs w:val="24"/>
        </w:rPr>
        <w:t>Experimental &amp; Molecular Medicine 2016 48:3</w:t>
      </w:r>
      <w:r w:rsidRPr="0035519F">
        <w:rPr>
          <w:rFonts w:ascii="Arial" w:hAnsi="Arial" w:cs="Arial"/>
          <w:noProof/>
          <w:sz w:val="24"/>
          <w:szCs w:val="24"/>
        </w:rPr>
        <w:t>, 48(3), pp. e216–e216. doi: 10.1038/emm.2016.4.</w:t>
      </w:r>
    </w:p>
    <w:p w14:paraId="3A65C719"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Ross, R. </w:t>
      </w:r>
      <w:r w:rsidRPr="0035519F">
        <w:rPr>
          <w:rFonts w:ascii="Arial" w:hAnsi="Arial" w:cs="Arial"/>
          <w:i/>
          <w:iCs/>
          <w:noProof/>
          <w:sz w:val="24"/>
          <w:szCs w:val="24"/>
        </w:rPr>
        <w:t>et al.</w:t>
      </w:r>
      <w:r w:rsidRPr="0035519F">
        <w:rPr>
          <w:rFonts w:ascii="Arial" w:hAnsi="Arial" w:cs="Arial"/>
          <w:noProof/>
          <w:sz w:val="24"/>
          <w:szCs w:val="24"/>
        </w:rPr>
        <w:t xml:space="preserve"> (2020) ‘Waist circumference as a vital sign in clinical practice: a Consensus Statement from the IAS and ICCR Working Group on Visceral Obesity’, </w:t>
      </w:r>
      <w:r w:rsidRPr="0035519F">
        <w:rPr>
          <w:rFonts w:ascii="Arial" w:hAnsi="Arial" w:cs="Arial"/>
          <w:i/>
          <w:iCs/>
          <w:noProof/>
          <w:sz w:val="24"/>
          <w:szCs w:val="24"/>
        </w:rPr>
        <w:t>Nature Reviews Endocrinology</w:t>
      </w:r>
      <w:r w:rsidRPr="0035519F">
        <w:rPr>
          <w:rFonts w:ascii="Arial" w:hAnsi="Arial" w:cs="Arial"/>
          <w:noProof/>
          <w:sz w:val="24"/>
          <w:szCs w:val="24"/>
        </w:rPr>
        <w:t>, 16(3), pp. 177–189. doi: 10.1038/s41574-019-0310-7.</w:t>
      </w:r>
    </w:p>
    <w:p w14:paraId="6D93D4B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lastRenderedPageBreak/>
        <w:t xml:space="preserve">Sandhu, M. S. </w:t>
      </w:r>
      <w:r w:rsidRPr="0035519F">
        <w:rPr>
          <w:rFonts w:ascii="Arial" w:hAnsi="Arial" w:cs="Arial"/>
          <w:i/>
          <w:iCs/>
          <w:noProof/>
          <w:sz w:val="24"/>
          <w:szCs w:val="24"/>
        </w:rPr>
        <w:t>et al.</w:t>
      </w:r>
      <w:r w:rsidRPr="0035519F">
        <w:rPr>
          <w:rFonts w:ascii="Arial" w:hAnsi="Arial" w:cs="Arial"/>
          <w:noProof/>
          <w:sz w:val="24"/>
          <w:szCs w:val="24"/>
        </w:rPr>
        <w:t xml:space="preserve"> (2002) ‘Circulating concentrations of insulin-like growth factor-I and development of glucose intolerance: A prospective observational study’, </w:t>
      </w:r>
      <w:r w:rsidRPr="0035519F">
        <w:rPr>
          <w:rFonts w:ascii="Arial" w:hAnsi="Arial" w:cs="Arial"/>
          <w:i/>
          <w:iCs/>
          <w:noProof/>
          <w:sz w:val="24"/>
          <w:szCs w:val="24"/>
        </w:rPr>
        <w:t>Lancet</w:t>
      </w:r>
      <w:r w:rsidRPr="0035519F">
        <w:rPr>
          <w:rFonts w:ascii="Arial" w:hAnsi="Arial" w:cs="Arial"/>
          <w:noProof/>
          <w:sz w:val="24"/>
          <w:szCs w:val="24"/>
        </w:rPr>
        <w:t>, 359(9319), pp. 1740–1745. doi: 10.1016/S0140-6736(02)08655-5.</w:t>
      </w:r>
    </w:p>
    <w:p w14:paraId="5B5420A8"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Saydah, S., Ballard-Barbash, R. and Potischman, N. (2009) ‘Association of metabolic syndrome with insulin-like growth factors among adults in the US’, </w:t>
      </w:r>
      <w:r w:rsidRPr="0035519F">
        <w:rPr>
          <w:rFonts w:ascii="Arial" w:hAnsi="Arial" w:cs="Arial"/>
          <w:i/>
          <w:iCs/>
          <w:noProof/>
          <w:sz w:val="24"/>
          <w:szCs w:val="24"/>
        </w:rPr>
        <w:t>Cancer causes &amp; control : CCC</w:t>
      </w:r>
      <w:r w:rsidRPr="0035519F">
        <w:rPr>
          <w:rFonts w:ascii="Arial" w:hAnsi="Arial" w:cs="Arial"/>
          <w:noProof/>
          <w:sz w:val="24"/>
          <w:szCs w:val="24"/>
        </w:rPr>
        <w:t>, 20(8), pp. 1309–1316. doi: 10.1007/S10552-009-9351-X.</w:t>
      </w:r>
    </w:p>
    <w:p w14:paraId="4575C571"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Schmid, C. </w:t>
      </w:r>
      <w:r w:rsidRPr="0035519F">
        <w:rPr>
          <w:rFonts w:ascii="Arial" w:hAnsi="Arial" w:cs="Arial"/>
          <w:i/>
          <w:iCs/>
          <w:noProof/>
          <w:sz w:val="24"/>
          <w:szCs w:val="24"/>
        </w:rPr>
        <w:t>et al.</w:t>
      </w:r>
      <w:r w:rsidRPr="0035519F">
        <w:rPr>
          <w:rFonts w:ascii="Arial" w:hAnsi="Arial" w:cs="Arial"/>
          <w:noProof/>
          <w:sz w:val="24"/>
          <w:szCs w:val="24"/>
        </w:rPr>
        <w:t xml:space="preserve"> (2005) ‘Changes in insulin sensitivity induced by short-term growth hormone (GH) and insulin-like growth factor I (IGF-I) treatment in GH-deficient adults are not associated with changes in adiponectin levels’, </w:t>
      </w:r>
      <w:r w:rsidRPr="0035519F">
        <w:rPr>
          <w:rFonts w:ascii="Arial" w:hAnsi="Arial" w:cs="Arial"/>
          <w:i/>
          <w:iCs/>
          <w:noProof/>
          <w:sz w:val="24"/>
          <w:szCs w:val="24"/>
        </w:rPr>
        <w:t>Growth Hormone and IGF Research</w:t>
      </w:r>
      <w:r w:rsidRPr="0035519F">
        <w:rPr>
          <w:rFonts w:ascii="Arial" w:hAnsi="Arial" w:cs="Arial"/>
          <w:noProof/>
          <w:sz w:val="24"/>
          <w:szCs w:val="24"/>
        </w:rPr>
        <w:t>, 15(4), pp. 300–303. doi: 10.1016/j.ghir.2005.06.012.</w:t>
      </w:r>
    </w:p>
    <w:p w14:paraId="522455EB"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Smith, D. E. </w:t>
      </w:r>
      <w:r w:rsidRPr="0035519F">
        <w:rPr>
          <w:rFonts w:ascii="Arial" w:hAnsi="Arial" w:cs="Arial"/>
          <w:i/>
          <w:iCs/>
          <w:noProof/>
          <w:sz w:val="24"/>
          <w:szCs w:val="24"/>
        </w:rPr>
        <w:t>et al.</w:t>
      </w:r>
      <w:r w:rsidRPr="0035519F">
        <w:rPr>
          <w:rFonts w:ascii="Arial" w:hAnsi="Arial" w:cs="Arial"/>
          <w:noProof/>
          <w:sz w:val="24"/>
          <w:szCs w:val="24"/>
        </w:rPr>
        <w:t xml:space="preserve"> (1995) ‘Longitudinal changes in adiposity associated with pregnancy: The cardia study’, </w:t>
      </w:r>
      <w:r w:rsidRPr="0035519F">
        <w:rPr>
          <w:rFonts w:ascii="Arial" w:hAnsi="Arial" w:cs="Arial"/>
          <w:i/>
          <w:iCs/>
          <w:noProof/>
          <w:sz w:val="24"/>
          <w:szCs w:val="24"/>
        </w:rPr>
        <w:t>Obstetrical and Gynecological Survey</w:t>
      </w:r>
      <w:r w:rsidRPr="0035519F">
        <w:rPr>
          <w:rFonts w:ascii="Arial" w:hAnsi="Arial" w:cs="Arial"/>
          <w:noProof/>
          <w:sz w:val="24"/>
          <w:szCs w:val="24"/>
        </w:rPr>
        <w:t>, 50(1), pp. 4–6. doi: 10.1097/00006254-199501000-00003.</w:t>
      </w:r>
    </w:p>
    <w:p w14:paraId="5700F85A"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Stephens, B. R. </w:t>
      </w:r>
      <w:r w:rsidRPr="0035519F">
        <w:rPr>
          <w:rFonts w:ascii="Arial" w:hAnsi="Arial" w:cs="Arial"/>
          <w:i/>
          <w:iCs/>
          <w:noProof/>
          <w:sz w:val="24"/>
          <w:szCs w:val="24"/>
        </w:rPr>
        <w:t>et al.</w:t>
      </w:r>
      <w:r w:rsidRPr="0035519F">
        <w:rPr>
          <w:rFonts w:ascii="Arial" w:hAnsi="Arial" w:cs="Arial"/>
          <w:noProof/>
          <w:sz w:val="24"/>
          <w:szCs w:val="24"/>
        </w:rPr>
        <w:t xml:space="preserve"> (2011) ‘Effects of 1 day of inactivity on insulin action in healthy men and women: interaction with energy intake’, </w:t>
      </w:r>
      <w:r w:rsidRPr="0035519F">
        <w:rPr>
          <w:rFonts w:ascii="Arial" w:hAnsi="Arial" w:cs="Arial"/>
          <w:i/>
          <w:iCs/>
          <w:noProof/>
          <w:sz w:val="24"/>
          <w:szCs w:val="24"/>
        </w:rPr>
        <w:t>Metabolism: clinical and experimental</w:t>
      </w:r>
      <w:r w:rsidRPr="0035519F">
        <w:rPr>
          <w:rFonts w:ascii="Arial" w:hAnsi="Arial" w:cs="Arial"/>
          <w:noProof/>
          <w:sz w:val="24"/>
          <w:szCs w:val="24"/>
        </w:rPr>
        <w:t>, 60(7), pp. 941–949. doi: 10.1016/J.METABOL.2010.08.014.</w:t>
      </w:r>
    </w:p>
    <w:p w14:paraId="5B4488A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Suwitra, K. (2014) ‘Penyakit Ginjal Kronik’, in Sudoyo, A. W. et al. (eds) </w:t>
      </w:r>
      <w:r w:rsidRPr="0035519F">
        <w:rPr>
          <w:rFonts w:ascii="Arial" w:hAnsi="Arial" w:cs="Arial"/>
          <w:i/>
          <w:iCs/>
          <w:noProof/>
          <w:sz w:val="24"/>
          <w:szCs w:val="24"/>
        </w:rPr>
        <w:t>Buku Ajar Ilmu Penyakit Dalam</w:t>
      </w:r>
      <w:r w:rsidRPr="0035519F">
        <w:rPr>
          <w:rFonts w:ascii="Arial" w:hAnsi="Arial" w:cs="Arial"/>
          <w:noProof/>
          <w:sz w:val="24"/>
          <w:szCs w:val="24"/>
        </w:rPr>
        <w:t>. 6th edn. Jakarta: Interna Publishing, pp. 1973–1983.</w:t>
      </w:r>
    </w:p>
    <w:p w14:paraId="6F3C824E"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Tabata, S. </w:t>
      </w:r>
      <w:r w:rsidRPr="0035519F">
        <w:rPr>
          <w:rFonts w:ascii="Arial" w:hAnsi="Arial" w:cs="Arial"/>
          <w:i/>
          <w:iCs/>
          <w:noProof/>
          <w:sz w:val="24"/>
          <w:szCs w:val="24"/>
        </w:rPr>
        <w:t>et al.</w:t>
      </w:r>
      <w:r w:rsidRPr="0035519F">
        <w:rPr>
          <w:rFonts w:ascii="Arial" w:hAnsi="Arial" w:cs="Arial"/>
          <w:noProof/>
          <w:sz w:val="24"/>
          <w:szCs w:val="24"/>
        </w:rPr>
        <w:t xml:space="preserve"> (2009) ‘Waist circumference and insulin resistance: a cross-sectional study of Japanese men’, </w:t>
      </w:r>
      <w:r w:rsidRPr="0035519F">
        <w:rPr>
          <w:rFonts w:ascii="Arial" w:hAnsi="Arial" w:cs="Arial"/>
          <w:i/>
          <w:iCs/>
          <w:noProof/>
          <w:sz w:val="24"/>
          <w:szCs w:val="24"/>
        </w:rPr>
        <w:t>BMC Endocrine Disorders</w:t>
      </w:r>
      <w:r w:rsidRPr="0035519F">
        <w:rPr>
          <w:rFonts w:ascii="Arial" w:hAnsi="Arial" w:cs="Arial"/>
          <w:noProof/>
          <w:sz w:val="24"/>
          <w:szCs w:val="24"/>
        </w:rPr>
        <w:t>, 9(1). doi: 10.1186/1472-6823-9-1.</w:t>
      </w:r>
    </w:p>
    <w:p w14:paraId="7F5FD74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Tang, Q. </w:t>
      </w:r>
      <w:r w:rsidRPr="0035519F">
        <w:rPr>
          <w:rFonts w:ascii="Arial" w:hAnsi="Arial" w:cs="Arial"/>
          <w:i/>
          <w:iCs/>
          <w:noProof/>
          <w:sz w:val="24"/>
          <w:szCs w:val="24"/>
        </w:rPr>
        <w:t>et al.</w:t>
      </w:r>
      <w:r w:rsidRPr="0035519F">
        <w:rPr>
          <w:rFonts w:ascii="Arial" w:hAnsi="Arial" w:cs="Arial"/>
          <w:noProof/>
          <w:sz w:val="24"/>
          <w:szCs w:val="24"/>
        </w:rPr>
        <w:t xml:space="preserve"> (2015) ‘Optimal cut-off values for the homeostasis model assessment of insulin resistance (HOMA-IR) and pre-diabetes screening: Developments in research and prospects for the future’, </w:t>
      </w:r>
      <w:r w:rsidRPr="0035519F">
        <w:rPr>
          <w:rFonts w:ascii="Arial" w:hAnsi="Arial" w:cs="Arial"/>
          <w:i/>
          <w:iCs/>
          <w:noProof/>
          <w:sz w:val="24"/>
          <w:szCs w:val="24"/>
        </w:rPr>
        <w:t>Drug Discoveries &amp; Therapeutics</w:t>
      </w:r>
      <w:r w:rsidRPr="0035519F">
        <w:rPr>
          <w:rFonts w:ascii="Arial" w:hAnsi="Arial" w:cs="Arial"/>
          <w:noProof/>
          <w:sz w:val="24"/>
          <w:szCs w:val="24"/>
        </w:rPr>
        <w:t>, 9(6), pp. 380–385. doi: 10.5582/ddt.2015.01207.</w:t>
      </w:r>
    </w:p>
    <w:p w14:paraId="1AD2C332"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Tchernof, A. and Després, J.-P. (2013) ‘Pathophysiology of Human Visceral Obesity: An Update’, </w:t>
      </w:r>
      <w:r w:rsidRPr="0035519F">
        <w:rPr>
          <w:rFonts w:ascii="Arial" w:hAnsi="Arial" w:cs="Arial"/>
          <w:i/>
          <w:iCs/>
          <w:noProof/>
          <w:sz w:val="24"/>
          <w:szCs w:val="24"/>
        </w:rPr>
        <w:t>Physiological Reviews</w:t>
      </w:r>
      <w:r w:rsidRPr="0035519F">
        <w:rPr>
          <w:rFonts w:ascii="Arial" w:hAnsi="Arial" w:cs="Arial"/>
          <w:noProof/>
          <w:sz w:val="24"/>
          <w:szCs w:val="24"/>
        </w:rPr>
        <w:t>, 93(1), pp. 359–404. doi: 10.1152/physrev.00033.2011.</w:t>
      </w:r>
    </w:p>
    <w:p w14:paraId="2297072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Tchernof, A. and Després, J. P. (2013) ‘Pathophysiology of human visceral obesity: An update’, </w:t>
      </w:r>
      <w:r w:rsidRPr="0035519F">
        <w:rPr>
          <w:rFonts w:ascii="Arial" w:hAnsi="Arial" w:cs="Arial"/>
          <w:i/>
          <w:iCs/>
          <w:noProof/>
          <w:sz w:val="24"/>
          <w:szCs w:val="24"/>
        </w:rPr>
        <w:t>Physiological Reviews</w:t>
      </w:r>
      <w:r w:rsidRPr="0035519F">
        <w:rPr>
          <w:rFonts w:ascii="Arial" w:hAnsi="Arial" w:cs="Arial"/>
          <w:noProof/>
          <w:sz w:val="24"/>
          <w:szCs w:val="24"/>
        </w:rPr>
        <w:t>, 93(1), pp. 359–404. doi: 10.1152/physrev.00033.2011.</w:t>
      </w:r>
    </w:p>
    <w:p w14:paraId="16F9CFD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Timothy Garvey, W. (2019) ‘The diagnosis and evaluation of patients with obesity’, </w:t>
      </w:r>
      <w:r w:rsidRPr="0035519F">
        <w:rPr>
          <w:rFonts w:ascii="Arial" w:hAnsi="Arial" w:cs="Arial"/>
          <w:i/>
          <w:iCs/>
          <w:noProof/>
          <w:sz w:val="24"/>
          <w:szCs w:val="24"/>
        </w:rPr>
        <w:t>Current Opinion in Endocrine and Metabolic Research</w:t>
      </w:r>
      <w:r w:rsidRPr="0035519F">
        <w:rPr>
          <w:rFonts w:ascii="Arial" w:hAnsi="Arial" w:cs="Arial"/>
          <w:noProof/>
          <w:sz w:val="24"/>
          <w:szCs w:val="24"/>
        </w:rPr>
        <w:t>, 4, pp. 50–57. doi: 10.1016/j.coemr.2018.10.001.</w:t>
      </w:r>
    </w:p>
    <w:p w14:paraId="08A723D4"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lastRenderedPageBreak/>
        <w:t xml:space="preserve">Wang, C. C. L., Goalstone, M. L. and Draznin, B. (2004) ‘Molecular mechanisms of insulin resistance that impact cardiovascular biology’, </w:t>
      </w:r>
      <w:r w:rsidRPr="0035519F">
        <w:rPr>
          <w:rFonts w:ascii="Arial" w:hAnsi="Arial" w:cs="Arial"/>
          <w:i/>
          <w:iCs/>
          <w:noProof/>
          <w:sz w:val="24"/>
          <w:szCs w:val="24"/>
        </w:rPr>
        <w:t>Diabetes</w:t>
      </w:r>
      <w:r w:rsidRPr="0035519F">
        <w:rPr>
          <w:rFonts w:ascii="Arial" w:hAnsi="Arial" w:cs="Arial"/>
          <w:noProof/>
          <w:sz w:val="24"/>
          <w:szCs w:val="24"/>
        </w:rPr>
        <w:t>. American Diabetes Association, pp. 2735–2740. doi: 10.2337/diabetes.53.11.2735.</w:t>
      </w:r>
    </w:p>
    <w:p w14:paraId="0F1642C0"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WHO (2000) </w:t>
      </w:r>
      <w:r w:rsidRPr="0035519F">
        <w:rPr>
          <w:rFonts w:ascii="Arial" w:hAnsi="Arial" w:cs="Arial"/>
          <w:i/>
          <w:iCs/>
          <w:noProof/>
          <w:sz w:val="24"/>
          <w:szCs w:val="24"/>
        </w:rPr>
        <w:t>The Asia – Pacific perspective: redefining obesity and its treatment</w:t>
      </w:r>
      <w:r w:rsidRPr="0035519F">
        <w:rPr>
          <w:rFonts w:ascii="Arial" w:hAnsi="Arial" w:cs="Arial"/>
          <w:noProof/>
          <w:sz w:val="24"/>
          <w:szCs w:val="24"/>
        </w:rPr>
        <w:t>. Edited by International Association for the Study of Obesity. International Association for the Study of Obesity.</w:t>
      </w:r>
    </w:p>
    <w:p w14:paraId="640B853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WHO (2011) ‘Waist Circumference and Waist–Hip Ratio: Report of a WHO Expert Consultation: Ginebra, 8-11, 2011’, (1), pp. 8–11.</w:t>
      </w:r>
    </w:p>
    <w:p w14:paraId="29022AB5"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WHO (2021) </w:t>
      </w:r>
      <w:r w:rsidRPr="0035519F">
        <w:rPr>
          <w:rFonts w:ascii="Arial" w:hAnsi="Arial" w:cs="Arial"/>
          <w:i/>
          <w:iCs/>
          <w:noProof/>
          <w:sz w:val="24"/>
          <w:szCs w:val="24"/>
        </w:rPr>
        <w:t>Obesity and Overweight</w:t>
      </w:r>
      <w:r w:rsidRPr="0035519F">
        <w:rPr>
          <w:rFonts w:ascii="Arial" w:hAnsi="Arial" w:cs="Arial"/>
          <w:noProof/>
          <w:sz w:val="24"/>
          <w:szCs w:val="24"/>
        </w:rPr>
        <w:t>. Available at: https://www.who.int/news-room/fact-sheets/detail/obesity-and-overweight (Accessed: 15 December 2021).</w:t>
      </w:r>
    </w:p>
    <w:p w14:paraId="532D1D2C"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Wilcox, G. (2005) ‘Insulin and Insulin Resistance’, </w:t>
      </w:r>
      <w:r w:rsidRPr="0035519F">
        <w:rPr>
          <w:rFonts w:ascii="Arial" w:hAnsi="Arial" w:cs="Arial"/>
          <w:i/>
          <w:iCs/>
          <w:noProof/>
          <w:sz w:val="24"/>
          <w:szCs w:val="24"/>
        </w:rPr>
        <w:t>Clinical Biochemist Reviews</w:t>
      </w:r>
      <w:r w:rsidRPr="0035519F">
        <w:rPr>
          <w:rFonts w:ascii="Arial" w:hAnsi="Arial" w:cs="Arial"/>
          <w:noProof/>
          <w:sz w:val="24"/>
          <w:szCs w:val="24"/>
        </w:rPr>
        <w:t>, 26(2), p. 19. Available at: /pmc/articles/PMC1204764/ (Accessed: 1 February 2022).</w:t>
      </w:r>
    </w:p>
    <w:p w14:paraId="04C4FC67"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World Health Organisation (WHO) (2022) </w:t>
      </w:r>
      <w:r w:rsidRPr="0035519F">
        <w:rPr>
          <w:rFonts w:ascii="Arial" w:hAnsi="Arial" w:cs="Arial"/>
          <w:i/>
          <w:iCs/>
          <w:noProof/>
          <w:sz w:val="24"/>
          <w:szCs w:val="24"/>
        </w:rPr>
        <w:t>Obesity</w:t>
      </w:r>
      <w:r w:rsidRPr="0035519F">
        <w:rPr>
          <w:rFonts w:ascii="Arial" w:hAnsi="Arial" w:cs="Arial"/>
          <w:noProof/>
          <w:sz w:val="24"/>
          <w:szCs w:val="24"/>
        </w:rPr>
        <w:t>. Available at: https://www.who.int/health-topics/obesity#tab=tab_1 (Accessed: 24 August 2021).</w:t>
      </w:r>
    </w:p>
    <w:p w14:paraId="14139F9D"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szCs w:val="24"/>
        </w:rPr>
      </w:pPr>
      <w:r w:rsidRPr="0035519F">
        <w:rPr>
          <w:rFonts w:ascii="Arial" w:hAnsi="Arial" w:cs="Arial"/>
          <w:noProof/>
          <w:sz w:val="24"/>
          <w:szCs w:val="24"/>
        </w:rPr>
        <w:t xml:space="preserve">Zhai, L. </w:t>
      </w:r>
      <w:r w:rsidRPr="0035519F">
        <w:rPr>
          <w:rFonts w:ascii="Arial" w:hAnsi="Arial" w:cs="Arial"/>
          <w:i/>
          <w:iCs/>
          <w:noProof/>
          <w:sz w:val="24"/>
          <w:szCs w:val="24"/>
        </w:rPr>
        <w:t>et al.</w:t>
      </w:r>
      <w:r w:rsidRPr="0035519F">
        <w:rPr>
          <w:rFonts w:ascii="Arial" w:hAnsi="Arial" w:cs="Arial"/>
          <w:noProof/>
          <w:sz w:val="24"/>
          <w:szCs w:val="24"/>
        </w:rPr>
        <w:t xml:space="preserve"> (2015) ‘Association of obesity with onset of puberty and sex hormones in Chinese girls: A 4-year longitudinal study’, </w:t>
      </w:r>
      <w:r w:rsidRPr="0035519F">
        <w:rPr>
          <w:rFonts w:ascii="Arial" w:hAnsi="Arial" w:cs="Arial"/>
          <w:i/>
          <w:iCs/>
          <w:noProof/>
          <w:sz w:val="24"/>
          <w:szCs w:val="24"/>
        </w:rPr>
        <w:t>PLoS ONE</w:t>
      </w:r>
      <w:r w:rsidRPr="0035519F">
        <w:rPr>
          <w:rFonts w:ascii="Arial" w:hAnsi="Arial" w:cs="Arial"/>
          <w:noProof/>
          <w:sz w:val="24"/>
          <w:szCs w:val="24"/>
        </w:rPr>
        <w:t>, 10(8), p. e0134656. doi: 10.1371/journal.pone.0134656.</w:t>
      </w:r>
    </w:p>
    <w:p w14:paraId="4FDEF33F" w14:textId="77777777" w:rsidR="00E624D3" w:rsidRPr="0035519F" w:rsidRDefault="00E624D3" w:rsidP="00397574">
      <w:pPr>
        <w:widowControl w:val="0"/>
        <w:autoSpaceDE w:val="0"/>
        <w:autoSpaceDN w:val="0"/>
        <w:adjustRightInd w:val="0"/>
        <w:spacing w:after="200" w:line="240" w:lineRule="auto"/>
        <w:jc w:val="both"/>
        <w:rPr>
          <w:rFonts w:ascii="Arial" w:hAnsi="Arial" w:cs="Arial"/>
          <w:noProof/>
          <w:sz w:val="24"/>
        </w:rPr>
      </w:pPr>
      <w:r w:rsidRPr="0035519F">
        <w:rPr>
          <w:rFonts w:ascii="Arial" w:hAnsi="Arial" w:cs="Arial"/>
          <w:noProof/>
          <w:sz w:val="24"/>
          <w:szCs w:val="24"/>
        </w:rPr>
        <w:t xml:space="preserve">Zhang, M. </w:t>
      </w:r>
      <w:r w:rsidRPr="0035519F">
        <w:rPr>
          <w:rFonts w:ascii="Arial" w:hAnsi="Arial" w:cs="Arial"/>
          <w:i/>
          <w:iCs/>
          <w:noProof/>
          <w:sz w:val="24"/>
          <w:szCs w:val="24"/>
        </w:rPr>
        <w:t>et al.</w:t>
      </w:r>
      <w:r w:rsidRPr="0035519F">
        <w:rPr>
          <w:rFonts w:ascii="Arial" w:hAnsi="Arial" w:cs="Arial"/>
          <w:noProof/>
          <w:sz w:val="24"/>
          <w:szCs w:val="24"/>
        </w:rPr>
        <w:t xml:space="preserve"> (2015) ‘Associations of Different Adipose Tissue Depots with Insulin Resistance: A Systematic Review and Meta-analysis of Observational Studies’, </w:t>
      </w:r>
      <w:r w:rsidRPr="0035519F">
        <w:rPr>
          <w:rFonts w:ascii="Arial" w:hAnsi="Arial" w:cs="Arial"/>
          <w:i/>
          <w:iCs/>
          <w:noProof/>
          <w:sz w:val="24"/>
          <w:szCs w:val="24"/>
        </w:rPr>
        <w:t>Scientific Reports 2015 5:1</w:t>
      </w:r>
      <w:r w:rsidRPr="0035519F">
        <w:rPr>
          <w:rFonts w:ascii="Arial" w:hAnsi="Arial" w:cs="Arial"/>
          <w:noProof/>
          <w:sz w:val="24"/>
          <w:szCs w:val="24"/>
        </w:rPr>
        <w:t>, 5(1), pp. 1–6. doi: 10.1038/srep18495.</w:t>
      </w:r>
    </w:p>
    <w:p w14:paraId="3AA45EFD" w14:textId="77777777" w:rsidR="001F56E6" w:rsidRPr="0035519F" w:rsidRDefault="001F56E6" w:rsidP="00397574">
      <w:pPr>
        <w:pStyle w:val="ListParagraph"/>
        <w:spacing w:line="240" w:lineRule="auto"/>
        <w:ind w:left="1350" w:right="18" w:hanging="1350"/>
        <w:jc w:val="both"/>
        <w:outlineLvl w:val="1"/>
        <w:rPr>
          <w:rFonts w:ascii="Arial" w:hAnsi="Arial" w:cs="Arial"/>
          <w:b/>
          <w:sz w:val="24"/>
          <w:szCs w:val="24"/>
          <w:lang w:val="id-ID"/>
        </w:rPr>
      </w:pPr>
      <w:r w:rsidRPr="0035519F">
        <w:rPr>
          <w:rFonts w:ascii="Arial" w:hAnsi="Arial" w:cs="Arial"/>
          <w:b/>
          <w:sz w:val="24"/>
          <w:szCs w:val="24"/>
          <w:lang w:val="id-ID"/>
        </w:rPr>
        <w:fldChar w:fldCharType="end"/>
      </w:r>
    </w:p>
    <w:p w14:paraId="4EDCE04F" w14:textId="77777777" w:rsidR="00C70D4A" w:rsidRPr="0035519F" w:rsidRDefault="00C70D4A" w:rsidP="00397574">
      <w:pPr>
        <w:pStyle w:val="ListParagraph"/>
        <w:spacing w:line="240" w:lineRule="auto"/>
        <w:ind w:left="1080" w:right="18" w:hanging="1080"/>
        <w:jc w:val="both"/>
        <w:outlineLvl w:val="1"/>
        <w:rPr>
          <w:rFonts w:ascii="Arial" w:hAnsi="Arial" w:cs="Arial"/>
          <w:b/>
          <w:sz w:val="24"/>
          <w:szCs w:val="24"/>
          <w:lang w:val="id-ID"/>
        </w:rPr>
      </w:pPr>
    </w:p>
    <w:p w14:paraId="0A960CB8" w14:textId="77777777" w:rsidR="00C70D4A" w:rsidRPr="0035519F" w:rsidRDefault="00C70D4A" w:rsidP="00397574">
      <w:pPr>
        <w:pStyle w:val="ListParagraph"/>
        <w:spacing w:line="240" w:lineRule="auto"/>
        <w:ind w:left="1080" w:right="18" w:hanging="1080"/>
        <w:jc w:val="both"/>
        <w:outlineLvl w:val="1"/>
        <w:rPr>
          <w:rFonts w:ascii="Arial" w:hAnsi="Arial" w:cs="Arial"/>
          <w:b/>
          <w:sz w:val="24"/>
          <w:szCs w:val="24"/>
          <w:lang w:val="id-ID"/>
        </w:rPr>
      </w:pPr>
    </w:p>
    <w:p w14:paraId="3972B667" w14:textId="77777777" w:rsidR="00C70D4A" w:rsidRPr="0035519F" w:rsidRDefault="00C70D4A" w:rsidP="00397574">
      <w:pPr>
        <w:pStyle w:val="ListParagraph"/>
        <w:spacing w:line="240" w:lineRule="auto"/>
        <w:ind w:left="1080" w:right="18" w:hanging="1080"/>
        <w:jc w:val="both"/>
        <w:outlineLvl w:val="1"/>
        <w:rPr>
          <w:rFonts w:ascii="Arial" w:hAnsi="Arial" w:cs="Arial"/>
          <w:b/>
          <w:sz w:val="24"/>
          <w:szCs w:val="24"/>
          <w:lang w:val="id-ID"/>
        </w:rPr>
      </w:pPr>
    </w:p>
    <w:p w14:paraId="00CC52CE"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399163F5"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19B46D8C"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39DB5400"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2E324A0F"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5A4FF4EB"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4873C28C"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1BFB5346"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13B652D0"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5493B9BF"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4249B977"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215CE558"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03D73604" w14:textId="77777777" w:rsidR="00B543B3" w:rsidRPr="0035519F" w:rsidRDefault="00B543B3" w:rsidP="00E22AF3">
      <w:pPr>
        <w:pStyle w:val="ListParagraph"/>
        <w:spacing w:line="240" w:lineRule="auto"/>
        <w:ind w:left="1080" w:right="18" w:hanging="1080"/>
        <w:jc w:val="both"/>
        <w:outlineLvl w:val="1"/>
        <w:rPr>
          <w:rFonts w:ascii="Arial" w:hAnsi="Arial" w:cs="Arial"/>
          <w:b/>
          <w:sz w:val="24"/>
          <w:szCs w:val="24"/>
          <w:lang w:val="id-ID"/>
        </w:rPr>
      </w:pPr>
    </w:p>
    <w:p w14:paraId="57351A85" w14:textId="6B8AD89A" w:rsidR="00BA23FD" w:rsidRPr="0035519F" w:rsidRDefault="00467A91" w:rsidP="00467A91">
      <w:pPr>
        <w:pStyle w:val="ListParagraph"/>
        <w:spacing w:line="360" w:lineRule="auto"/>
        <w:ind w:left="1350" w:right="18" w:hanging="1350"/>
        <w:jc w:val="center"/>
        <w:outlineLvl w:val="0"/>
        <w:rPr>
          <w:rFonts w:ascii="Arial" w:hAnsi="Arial" w:cs="Arial"/>
          <w:b/>
          <w:sz w:val="28"/>
          <w:szCs w:val="24"/>
        </w:rPr>
      </w:pPr>
      <w:bookmarkStart w:id="91" w:name="_Toc111022798"/>
      <w:r w:rsidRPr="0035519F">
        <w:rPr>
          <w:rFonts w:ascii="Arial" w:hAnsi="Arial" w:cs="Arial"/>
          <w:b/>
          <w:sz w:val="28"/>
          <w:szCs w:val="24"/>
        </w:rPr>
        <w:t>LAMPIRAN</w:t>
      </w:r>
      <w:bookmarkEnd w:id="91"/>
    </w:p>
    <w:p w14:paraId="48A46D0D" w14:textId="1C934506" w:rsidR="00467A91" w:rsidRPr="0035519F" w:rsidRDefault="00147B41" w:rsidP="005D5F8D">
      <w:pPr>
        <w:pStyle w:val="Caption"/>
        <w:rPr>
          <w:rFonts w:ascii="Arial" w:hAnsi="Arial" w:cs="Arial"/>
          <w:b/>
          <w:i w:val="0"/>
          <w:color w:val="auto"/>
          <w:sz w:val="24"/>
          <w:szCs w:val="24"/>
        </w:rPr>
      </w:pPr>
      <w:bookmarkStart w:id="92" w:name="_Toc111022799"/>
      <w:bookmarkStart w:id="93" w:name="_Toc111025457"/>
      <w:r w:rsidRPr="0035519F">
        <w:rPr>
          <w:rFonts w:ascii="Arial" w:hAnsi="Arial" w:cs="Arial"/>
          <w:b/>
          <w:i w:val="0"/>
          <w:color w:val="auto"/>
          <w:sz w:val="24"/>
          <w:szCs w:val="24"/>
        </w:rPr>
        <w:t xml:space="preserve">Lampiran </w:t>
      </w:r>
      <w:r w:rsidRPr="0035519F">
        <w:rPr>
          <w:rFonts w:ascii="Arial" w:hAnsi="Arial" w:cs="Arial"/>
          <w:b/>
          <w:i w:val="0"/>
          <w:color w:val="auto"/>
          <w:sz w:val="24"/>
          <w:szCs w:val="24"/>
        </w:rPr>
        <w:fldChar w:fldCharType="begin"/>
      </w:r>
      <w:r w:rsidRPr="0035519F">
        <w:rPr>
          <w:rFonts w:ascii="Arial" w:hAnsi="Arial" w:cs="Arial"/>
          <w:b/>
          <w:i w:val="0"/>
          <w:color w:val="auto"/>
          <w:sz w:val="24"/>
          <w:szCs w:val="24"/>
        </w:rPr>
        <w:instrText xml:space="preserve"> SEQ Lampiran \* ARABIC </w:instrText>
      </w:r>
      <w:r w:rsidRPr="0035519F">
        <w:rPr>
          <w:rFonts w:ascii="Arial" w:hAnsi="Arial" w:cs="Arial"/>
          <w:b/>
          <w:i w:val="0"/>
          <w:color w:val="auto"/>
          <w:sz w:val="24"/>
          <w:szCs w:val="24"/>
        </w:rPr>
        <w:fldChar w:fldCharType="separate"/>
      </w:r>
      <w:r w:rsidR="005B4074">
        <w:rPr>
          <w:rFonts w:ascii="Arial" w:hAnsi="Arial" w:cs="Arial"/>
          <w:b/>
          <w:i w:val="0"/>
          <w:noProof/>
          <w:color w:val="auto"/>
          <w:sz w:val="24"/>
          <w:szCs w:val="24"/>
        </w:rPr>
        <w:t>1</w:t>
      </w:r>
      <w:r w:rsidRPr="0035519F">
        <w:rPr>
          <w:rFonts w:ascii="Arial" w:hAnsi="Arial" w:cs="Arial"/>
          <w:b/>
          <w:i w:val="0"/>
          <w:color w:val="auto"/>
          <w:sz w:val="24"/>
          <w:szCs w:val="24"/>
        </w:rPr>
        <w:fldChar w:fldCharType="end"/>
      </w:r>
      <w:r w:rsidRPr="0035519F">
        <w:rPr>
          <w:rFonts w:ascii="Arial" w:hAnsi="Arial" w:cs="Arial"/>
          <w:b/>
          <w:i w:val="0"/>
          <w:color w:val="auto"/>
          <w:sz w:val="24"/>
          <w:szCs w:val="24"/>
        </w:rPr>
        <w:t xml:space="preserve">. </w:t>
      </w:r>
      <w:r w:rsidR="00467A91" w:rsidRPr="0035519F">
        <w:rPr>
          <w:rFonts w:ascii="Arial" w:hAnsi="Arial" w:cs="Arial"/>
          <w:b/>
          <w:i w:val="0"/>
          <w:color w:val="auto"/>
          <w:sz w:val="24"/>
          <w:szCs w:val="24"/>
        </w:rPr>
        <w:t>Persetujuan Etik Penelitian</w:t>
      </w:r>
      <w:bookmarkEnd w:id="92"/>
      <w:bookmarkEnd w:id="93"/>
      <w:r w:rsidR="00467A91" w:rsidRPr="0035519F">
        <w:rPr>
          <w:rFonts w:ascii="Arial" w:hAnsi="Arial" w:cs="Arial"/>
          <w:b/>
          <w:i w:val="0"/>
          <w:color w:val="auto"/>
          <w:sz w:val="24"/>
          <w:szCs w:val="24"/>
        </w:rPr>
        <w:t xml:space="preserve"> </w:t>
      </w:r>
    </w:p>
    <w:p w14:paraId="56C5FDD9" w14:textId="2C1A4610" w:rsidR="00467A91" w:rsidRPr="0035519F" w:rsidRDefault="00467A91" w:rsidP="00467A91">
      <w:pPr>
        <w:pStyle w:val="ListParagraph"/>
        <w:spacing w:line="360" w:lineRule="auto"/>
        <w:ind w:left="1350" w:right="18" w:hanging="1350"/>
        <w:jc w:val="both"/>
        <w:rPr>
          <w:rFonts w:ascii="Arial" w:hAnsi="Arial" w:cs="Arial"/>
          <w:b/>
          <w:sz w:val="24"/>
          <w:szCs w:val="24"/>
        </w:rPr>
      </w:pPr>
      <w:r w:rsidRPr="0035519F">
        <w:rPr>
          <w:noProof/>
        </w:rPr>
        <w:drawing>
          <wp:inline distT="0" distB="0" distL="0" distR="0" wp14:anchorId="06FE929B" wp14:editId="346BBD54">
            <wp:extent cx="5148943" cy="6678700"/>
            <wp:effectExtent l="19050" t="19050" r="13970" b="273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5188" t="15358" r="35017" b="15908"/>
                    <a:stretch/>
                  </pic:blipFill>
                  <pic:spPr bwMode="auto">
                    <a:xfrm>
                      <a:off x="0" y="0"/>
                      <a:ext cx="5167330" cy="67025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E075BC7" w14:textId="37498BF2" w:rsidR="00467A91" w:rsidRPr="0035519F" w:rsidRDefault="00467A91" w:rsidP="00467A91">
      <w:pPr>
        <w:pStyle w:val="ListParagraph"/>
        <w:spacing w:line="360" w:lineRule="auto"/>
        <w:ind w:left="1350" w:right="18" w:hanging="1350"/>
        <w:jc w:val="center"/>
        <w:rPr>
          <w:rFonts w:ascii="Arial" w:hAnsi="Arial" w:cs="Arial"/>
          <w:b/>
          <w:sz w:val="24"/>
          <w:szCs w:val="24"/>
        </w:rPr>
      </w:pPr>
    </w:p>
    <w:p w14:paraId="1B8A8335" w14:textId="464A2E0F" w:rsidR="00467A91" w:rsidRPr="0035519F" w:rsidRDefault="00467A91" w:rsidP="00467A91">
      <w:pPr>
        <w:pStyle w:val="ListParagraph"/>
        <w:spacing w:line="360" w:lineRule="auto"/>
        <w:ind w:left="1350" w:right="18" w:hanging="1350"/>
        <w:jc w:val="center"/>
        <w:rPr>
          <w:rFonts w:ascii="Arial" w:hAnsi="Arial" w:cs="Arial"/>
          <w:b/>
          <w:sz w:val="24"/>
          <w:szCs w:val="24"/>
        </w:rPr>
      </w:pPr>
    </w:p>
    <w:p w14:paraId="2B473CC8" w14:textId="083D078C" w:rsidR="00B543B3" w:rsidRPr="0035519F" w:rsidRDefault="00147B41" w:rsidP="005D5F8D">
      <w:pPr>
        <w:pStyle w:val="Caption"/>
        <w:jc w:val="both"/>
        <w:rPr>
          <w:i w:val="0"/>
          <w:color w:val="auto"/>
        </w:rPr>
      </w:pPr>
      <w:bookmarkStart w:id="94" w:name="_Toc111022800"/>
      <w:bookmarkStart w:id="95" w:name="_Toc111025458"/>
      <w:r w:rsidRPr="0035519F">
        <w:rPr>
          <w:rFonts w:ascii="Arial" w:hAnsi="Arial" w:cs="Arial"/>
          <w:b/>
          <w:i w:val="0"/>
          <w:color w:val="auto"/>
          <w:sz w:val="24"/>
        </w:rPr>
        <w:t xml:space="preserve">Lampiran </w:t>
      </w:r>
      <w:r w:rsidRPr="0035519F">
        <w:rPr>
          <w:rFonts w:ascii="Arial" w:hAnsi="Arial" w:cs="Arial"/>
          <w:b/>
          <w:i w:val="0"/>
          <w:color w:val="auto"/>
          <w:sz w:val="24"/>
        </w:rPr>
        <w:fldChar w:fldCharType="begin"/>
      </w:r>
      <w:r w:rsidRPr="0035519F">
        <w:rPr>
          <w:rFonts w:ascii="Arial" w:hAnsi="Arial" w:cs="Arial"/>
          <w:b/>
          <w:i w:val="0"/>
          <w:color w:val="auto"/>
          <w:sz w:val="24"/>
        </w:rPr>
        <w:instrText xml:space="preserve"> SEQ Lampiran \* ARABIC </w:instrText>
      </w:r>
      <w:r w:rsidRPr="0035519F">
        <w:rPr>
          <w:rFonts w:ascii="Arial" w:hAnsi="Arial" w:cs="Arial"/>
          <w:b/>
          <w:i w:val="0"/>
          <w:color w:val="auto"/>
          <w:sz w:val="24"/>
        </w:rPr>
        <w:fldChar w:fldCharType="separate"/>
      </w:r>
      <w:r w:rsidR="005B4074">
        <w:rPr>
          <w:rFonts w:ascii="Arial" w:hAnsi="Arial" w:cs="Arial"/>
          <w:b/>
          <w:i w:val="0"/>
          <w:noProof/>
          <w:color w:val="auto"/>
          <w:sz w:val="24"/>
        </w:rPr>
        <w:t>2</w:t>
      </w:r>
      <w:r w:rsidRPr="0035519F">
        <w:rPr>
          <w:rFonts w:ascii="Arial" w:hAnsi="Arial" w:cs="Arial"/>
          <w:b/>
          <w:i w:val="0"/>
          <w:color w:val="auto"/>
          <w:sz w:val="24"/>
        </w:rPr>
        <w:fldChar w:fldCharType="end"/>
      </w:r>
      <w:r w:rsidRPr="0035519F">
        <w:rPr>
          <w:rFonts w:ascii="Arial" w:hAnsi="Arial" w:cs="Arial"/>
          <w:b/>
          <w:i w:val="0"/>
          <w:color w:val="auto"/>
          <w:sz w:val="24"/>
        </w:rPr>
        <w:t xml:space="preserve">. </w:t>
      </w:r>
      <w:r w:rsidR="00B543B3" w:rsidRPr="0035519F">
        <w:rPr>
          <w:rFonts w:ascii="Arial" w:hAnsi="Arial" w:cs="Arial"/>
          <w:b/>
          <w:i w:val="0"/>
          <w:color w:val="auto"/>
          <w:sz w:val="24"/>
        </w:rPr>
        <w:t>Naskah Penjelasan untuk</w:t>
      </w:r>
      <w:r w:rsidR="00B543B3" w:rsidRPr="0035519F">
        <w:rPr>
          <w:rFonts w:ascii="Arial" w:hAnsi="Arial" w:cs="Arial"/>
          <w:b/>
          <w:i w:val="0"/>
          <w:color w:val="auto"/>
          <w:spacing w:val="-19"/>
          <w:sz w:val="24"/>
        </w:rPr>
        <w:t xml:space="preserve"> </w:t>
      </w:r>
      <w:r w:rsidR="00B543B3" w:rsidRPr="0035519F">
        <w:rPr>
          <w:rFonts w:ascii="Arial" w:hAnsi="Arial" w:cs="Arial"/>
          <w:b/>
          <w:i w:val="0"/>
          <w:color w:val="auto"/>
          <w:sz w:val="24"/>
        </w:rPr>
        <w:t>Mendapat</w:t>
      </w:r>
      <w:r w:rsidR="00B543B3" w:rsidRPr="0035519F">
        <w:rPr>
          <w:rFonts w:ascii="Arial" w:hAnsi="Arial" w:cs="Arial"/>
          <w:b/>
          <w:i w:val="0"/>
          <w:color w:val="auto"/>
          <w:spacing w:val="49"/>
          <w:sz w:val="24"/>
        </w:rPr>
        <w:t xml:space="preserve"> </w:t>
      </w:r>
      <w:r w:rsidR="00B543B3" w:rsidRPr="0035519F">
        <w:rPr>
          <w:rFonts w:ascii="Arial" w:hAnsi="Arial" w:cs="Arial"/>
          <w:b/>
          <w:i w:val="0"/>
          <w:color w:val="auto"/>
          <w:sz w:val="24"/>
        </w:rPr>
        <w:t>Persetujuan</w:t>
      </w:r>
      <w:r w:rsidR="00B543B3" w:rsidRPr="0035519F">
        <w:rPr>
          <w:rFonts w:ascii="Arial" w:hAnsi="Arial" w:cs="Arial"/>
          <w:b/>
          <w:i w:val="0"/>
          <w:color w:val="auto"/>
          <w:sz w:val="24"/>
        </w:rPr>
        <w:tab/>
      </w:r>
      <w:r w:rsidR="00B543B3" w:rsidRPr="0035519F">
        <w:rPr>
          <w:rFonts w:ascii="Arial" w:hAnsi="Arial" w:cs="Arial"/>
          <w:b/>
          <w:i w:val="0"/>
          <w:color w:val="auto"/>
          <w:spacing w:val="-5"/>
          <w:sz w:val="24"/>
        </w:rPr>
        <w:t xml:space="preserve">dari </w:t>
      </w:r>
      <w:r w:rsidR="00B543B3" w:rsidRPr="0035519F">
        <w:rPr>
          <w:rFonts w:ascii="Arial" w:hAnsi="Arial" w:cs="Arial"/>
          <w:b/>
          <w:i w:val="0"/>
          <w:color w:val="auto"/>
          <w:sz w:val="24"/>
        </w:rPr>
        <w:t>Subyek</w:t>
      </w:r>
      <w:r w:rsidR="00B543B3" w:rsidRPr="0035519F">
        <w:rPr>
          <w:rFonts w:ascii="Arial" w:hAnsi="Arial" w:cs="Arial"/>
          <w:b/>
          <w:i w:val="0"/>
          <w:color w:val="auto"/>
          <w:spacing w:val="-2"/>
          <w:sz w:val="24"/>
        </w:rPr>
        <w:t xml:space="preserve"> </w:t>
      </w:r>
      <w:r w:rsidR="00B543B3" w:rsidRPr="0035519F">
        <w:rPr>
          <w:rFonts w:ascii="Arial" w:hAnsi="Arial" w:cs="Arial"/>
          <w:b/>
          <w:i w:val="0"/>
          <w:color w:val="auto"/>
          <w:sz w:val="24"/>
        </w:rPr>
        <w:t>Penelitian</w:t>
      </w:r>
      <w:bookmarkEnd w:id="94"/>
      <w:bookmarkEnd w:id="95"/>
    </w:p>
    <w:p w14:paraId="66F37DAD" w14:textId="77777777" w:rsidR="00B543B3" w:rsidRPr="0035519F" w:rsidRDefault="00B543B3" w:rsidP="00304D34">
      <w:pPr>
        <w:jc w:val="center"/>
        <w:rPr>
          <w:rFonts w:ascii="Arial" w:hAnsi="Arial" w:cs="Arial"/>
          <w:b/>
          <w:sz w:val="24"/>
          <w:szCs w:val="24"/>
        </w:rPr>
      </w:pPr>
      <w:r w:rsidRPr="0035519F">
        <w:rPr>
          <w:rFonts w:ascii="Arial" w:hAnsi="Arial" w:cs="Arial"/>
          <w:b/>
          <w:sz w:val="24"/>
          <w:szCs w:val="24"/>
        </w:rPr>
        <w:t>NASKAH PENJELASAN UNTUK MENDAPAT PERSETUJUAN DARI SUBYEK PENELITIAN</w:t>
      </w:r>
    </w:p>
    <w:p w14:paraId="26293875" w14:textId="77777777" w:rsidR="00B543B3" w:rsidRPr="0035519F" w:rsidRDefault="00B543B3" w:rsidP="00304D34">
      <w:pPr>
        <w:pStyle w:val="NormalWeb"/>
        <w:ind w:right="21"/>
        <w:jc w:val="both"/>
        <w:rPr>
          <w:rFonts w:ascii="Arial" w:hAnsi="Arial" w:cs="Arial"/>
          <w:b/>
          <w:bCs/>
          <w:u w:val="single"/>
        </w:rPr>
      </w:pPr>
      <w:r w:rsidRPr="0035519F">
        <w:rPr>
          <w:rFonts w:ascii="Arial" w:hAnsi="Arial" w:cs="Arial"/>
        </w:rPr>
        <w:t xml:space="preserve">Selamat pagi Bapak / Ibu /Saudara(i), saya </w:t>
      </w:r>
      <w:r w:rsidRPr="0035519F">
        <w:rPr>
          <w:rFonts w:ascii="Arial" w:hAnsi="Arial" w:cs="Arial"/>
          <w:b/>
          <w:bCs/>
          <w:u w:val="single"/>
        </w:rPr>
        <w:t>dr. Abd. Rahim Mubarak</w:t>
      </w:r>
      <w:r w:rsidRPr="0035519F">
        <w:rPr>
          <w:rFonts w:ascii="Arial" w:hAnsi="Arial" w:cs="Arial"/>
        </w:rPr>
        <w:t xml:space="preserve">, bermaksud untuk melakukan penelitian </w:t>
      </w:r>
      <w:r w:rsidRPr="0035519F">
        <w:rPr>
          <w:rFonts w:ascii="Arial" w:hAnsi="Arial" w:cs="Arial"/>
          <w:b/>
          <w:u w:val="single"/>
          <w:lang w:val="id-ID"/>
        </w:rPr>
        <w:t xml:space="preserve">Analisis </w:t>
      </w:r>
      <w:r w:rsidRPr="0035519F">
        <w:rPr>
          <w:rFonts w:ascii="Arial" w:hAnsi="Arial" w:cs="Arial"/>
          <w:b/>
          <w:u w:val="single"/>
        </w:rPr>
        <w:t>Resistensi Insulin</w:t>
      </w:r>
      <w:r w:rsidRPr="0035519F">
        <w:rPr>
          <w:rFonts w:ascii="Arial" w:hAnsi="Arial" w:cs="Arial"/>
          <w:b/>
          <w:u w:val="single"/>
          <w:lang w:val="id-ID"/>
        </w:rPr>
        <w:t xml:space="preserve"> dengan </w:t>
      </w:r>
      <w:r w:rsidRPr="0035519F">
        <w:rPr>
          <w:rFonts w:ascii="Arial" w:hAnsi="Arial" w:cs="Arial"/>
          <w:b/>
          <w:i/>
          <w:u w:val="single"/>
        </w:rPr>
        <w:t>Insulin-Like Growth Factor-1</w:t>
      </w:r>
      <w:r w:rsidRPr="0035519F">
        <w:rPr>
          <w:rFonts w:ascii="Arial" w:hAnsi="Arial" w:cs="Arial"/>
          <w:b/>
          <w:u w:val="single"/>
        </w:rPr>
        <w:t xml:space="preserve"> (</w:t>
      </w:r>
      <w:r w:rsidRPr="0035519F">
        <w:rPr>
          <w:rFonts w:ascii="Arial" w:hAnsi="Arial" w:cs="Arial"/>
          <w:b/>
          <w:u w:val="single"/>
          <w:lang w:val="id-ID"/>
        </w:rPr>
        <w:t>I</w:t>
      </w:r>
      <w:r w:rsidRPr="0035519F">
        <w:rPr>
          <w:rFonts w:ascii="Arial" w:hAnsi="Arial" w:cs="Arial"/>
          <w:b/>
          <w:u w:val="single"/>
        </w:rPr>
        <w:t>GF</w:t>
      </w:r>
      <w:r w:rsidRPr="0035519F">
        <w:rPr>
          <w:rFonts w:ascii="Arial" w:hAnsi="Arial" w:cs="Arial"/>
          <w:b/>
          <w:u w:val="single"/>
          <w:lang w:val="id-ID"/>
        </w:rPr>
        <w:t>-1</w:t>
      </w:r>
      <w:r w:rsidRPr="0035519F">
        <w:rPr>
          <w:rFonts w:ascii="Arial" w:hAnsi="Arial" w:cs="Arial"/>
          <w:b/>
          <w:u w:val="single"/>
        </w:rPr>
        <w:t>)</w:t>
      </w:r>
      <w:r w:rsidRPr="0035519F">
        <w:rPr>
          <w:rFonts w:ascii="Arial" w:hAnsi="Arial" w:cs="Arial"/>
          <w:b/>
          <w:u w:val="single"/>
          <w:lang w:val="id-ID"/>
        </w:rPr>
        <w:t xml:space="preserve"> </w:t>
      </w:r>
      <w:r w:rsidRPr="0035519F">
        <w:rPr>
          <w:rFonts w:ascii="Arial" w:hAnsi="Arial" w:cs="Arial"/>
          <w:b/>
          <w:u w:val="single"/>
        </w:rPr>
        <w:t xml:space="preserve">pada Dewasa </w:t>
      </w:r>
      <w:r w:rsidRPr="0035519F">
        <w:rPr>
          <w:rFonts w:ascii="Arial" w:hAnsi="Arial" w:cs="Arial"/>
          <w:b/>
          <w:i/>
          <w:u w:val="single"/>
        </w:rPr>
        <w:t xml:space="preserve">Non </w:t>
      </w:r>
      <w:r w:rsidRPr="0035519F">
        <w:rPr>
          <w:rFonts w:ascii="Arial" w:hAnsi="Arial" w:cs="Arial"/>
          <w:b/>
          <w:u w:val="single"/>
        </w:rPr>
        <w:t>Diabetes Mellitus (DM) dengan Obesitas Sentral dan Tanpa Obesitas Sentral</w:t>
      </w:r>
    </w:p>
    <w:p w14:paraId="1667957B" w14:textId="77777777" w:rsidR="00B543B3" w:rsidRPr="0035519F" w:rsidRDefault="00B543B3" w:rsidP="00304D34">
      <w:pPr>
        <w:pStyle w:val="NormalWeb"/>
        <w:ind w:right="21" w:firstLine="720"/>
        <w:jc w:val="both"/>
        <w:rPr>
          <w:rFonts w:ascii="Arial" w:hAnsi="Arial" w:cs="Arial"/>
          <w:lang w:val="sv-SE"/>
        </w:rPr>
      </w:pPr>
      <w:r w:rsidRPr="0035519F">
        <w:rPr>
          <w:rFonts w:ascii="Arial" w:hAnsi="Arial" w:cs="Arial"/>
          <w:lang w:val="sv-SE"/>
        </w:rPr>
        <w:t xml:space="preserve">Obesitas atau kegemukan berlebihan adalah masalah yang menjadi endemi di seluruh dunia, diketahui bahwa obesitas sentral atau kegemukan berlebihan pada daerah perut merupakan salah faktor penyebab terjadinya gangguan fungsi hormon yang mengatur gula di dalam darah (resistensi insulin) yang dapat mengakibatkan komplikasi kencing manis dan gangguan kesehatan lainnya. Orang yang kegemukan memiliki kecenderungan mengalami  gangguan pengaturan glukosa darah (resistensi insulin) serta gangguan hormonal lain seperti IGF-1. </w:t>
      </w:r>
      <w:r w:rsidRPr="0035519F">
        <w:rPr>
          <w:rFonts w:ascii="Arial" w:hAnsi="Arial" w:cs="Arial"/>
          <w:i/>
        </w:rPr>
        <w:t>Insulin-Like Growth Factor-1</w:t>
      </w:r>
      <w:r w:rsidRPr="0035519F">
        <w:rPr>
          <w:rFonts w:ascii="Arial" w:hAnsi="Arial" w:cs="Arial"/>
          <w:lang w:val="sv-SE"/>
        </w:rPr>
        <w:t xml:space="preserve"> pada orang dengan kegemukan berlebihan pada perut diduga terlibat dalam pengaturan energi tubuh yang dapat memperberat kejadian resistensi insulin ataupun sebaliknya.</w:t>
      </w:r>
    </w:p>
    <w:p w14:paraId="1EDE5345" w14:textId="1CD9A0BB" w:rsidR="00B543B3" w:rsidRPr="0035519F" w:rsidRDefault="00B543B3" w:rsidP="00304D34">
      <w:pPr>
        <w:ind w:right="21" w:firstLine="720"/>
        <w:jc w:val="both"/>
        <w:rPr>
          <w:rFonts w:ascii="Arial" w:hAnsi="Arial" w:cs="Arial"/>
          <w:sz w:val="24"/>
          <w:szCs w:val="24"/>
        </w:rPr>
      </w:pPr>
      <w:r w:rsidRPr="0035519F">
        <w:rPr>
          <w:rFonts w:ascii="Arial" w:hAnsi="Arial" w:cs="Arial"/>
          <w:sz w:val="24"/>
          <w:szCs w:val="24"/>
        </w:rPr>
        <w:t xml:space="preserve">Oleh karena itu sangat penting untuk mengetahui </w:t>
      </w:r>
      <w:r w:rsidR="009768AE" w:rsidRPr="0035519F">
        <w:rPr>
          <w:rFonts w:ascii="Arial" w:hAnsi="Arial" w:cs="Arial"/>
          <w:sz w:val="24"/>
          <w:szCs w:val="24"/>
        </w:rPr>
        <w:t>nilai HOMA</w:t>
      </w:r>
      <w:r w:rsidRPr="0035519F">
        <w:rPr>
          <w:rFonts w:ascii="Arial" w:hAnsi="Arial" w:cs="Arial"/>
          <w:sz w:val="24"/>
          <w:szCs w:val="24"/>
        </w:rPr>
        <w:t xml:space="preserve">-IR dan IGF-1. Besar harapan kami agar penelitian ini dapat memberikan sumbangan ilmu pengetahuan mengenai </w:t>
      </w:r>
      <w:r w:rsidR="009768AE" w:rsidRPr="0035519F">
        <w:rPr>
          <w:rFonts w:ascii="Arial" w:hAnsi="Arial" w:cs="Arial"/>
          <w:sz w:val="24"/>
          <w:szCs w:val="24"/>
        </w:rPr>
        <w:t>nilai HOMA</w:t>
      </w:r>
      <w:r w:rsidRPr="0035519F">
        <w:rPr>
          <w:rFonts w:ascii="Arial" w:hAnsi="Arial" w:cs="Arial"/>
          <w:sz w:val="24"/>
          <w:szCs w:val="24"/>
        </w:rPr>
        <w:t>-IR dan IGF-1 pada orang dengan obesitas sentral. Adapun penelitian ini tidak memaksa keikutsertaan Bapak / Ibu / saudara (i) dan jika Bapak / Ibu / saudara (i) bersedia menandatangani formulir kesediaan ikut serta dalam penelitian dengan sukarela. Bapak / Ibu / saudara (i) tidak perlu khawatir ketidakikutsertaan anda dalam penelitian ini tidak mengurangi pelayanan kesehatan yang akan diperoleh dari pihak rumah sakit.</w:t>
      </w:r>
    </w:p>
    <w:p w14:paraId="522D51C3" w14:textId="77777777" w:rsidR="00B543B3" w:rsidRPr="0035519F" w:rsidRDefault="00B543B3" w:rsidP="00304D34">
      <w:pPr>
        <w:ind w:right="21" w:firstLine="720"/>
        <w:jc w:val="both"/>
        <w:rPr>
          <w:rFonts w:ascii="Arial" w:hAnsi="Arial" w:cs="Arial"/>
          <w:sz w:val="24"/>
          <w:szCs w:val="24"/>
        </w:rPr>
      </w:pPr>
    </w:p>
    <w:p w14:paraId="2FA67B8F" w14:textId="77777777" w:rsidR="00B543B3" w:rsidRPr="0035519F" w:rsidRDefault="00B543B3" w:rsidP="00304D34">
      <w:pPr>
        <w:ind w:right="21" w:firstLine="720"/>
        <w:jc w:val="both"/>
        <w:rPr>
          <w:rFonts w:ascii="Arial" w:hAnsi="Arial" w:cs="Arial"/>
          <w:sz w:val="24"/>
          <w:szCs w:val="24"/>
        </w:rPr>
      </w:pPr>
      <w:r w:rsidRPr="0035519F">
        <w:rPr>
          <w:rFonts w:ascii="Arial" w:hAnsi="Arial" w:cs="Arial"/>
          <w:sz w:val="24"/>
          <w:szCs w:val="24"/>
        </w:rPr>
        <w:t>Bila Bapak / Ibu / saudara (i) bersedia untuk menjadi responden dalam penelitian ini, maka prosedur yang kami lakukan adalah mengambil sampel darah diambil dari melalui pembuluh darah di bagian lengan dengan menggunakan jarum. Setelah sampel darah diambil sebanyak minimal 3 cc sampel darah dimasukkan ke dalam botol kecil khusus lalu dibawa ke laboratorium untuk dilakukan pemeriksaan. Prosedurnya adalah sebagai berikut:</w:t>
      </w:r>
    </w:p>
    <w:p w14:paraId="20DEEEFF" w14:textId="77777777" w:rsidR="00B543B3" w:rsidRPr="0035519F" w:rsidRDefault="00B543B3" w:rsidP="002C5221">
      <w:pPr>
        <w:numPr>
          <w:ilvl w:val="0"/>
          <w:numId w:val="40"/>
        </w:numPr>
        <w:spacing w:after="0" w:line="240" w:lineRule="auto"/>
        <w:ind w:left="720" w:right="21"/>
        <w:jc w:val="both"/>
        <w:rPr>
          <w:rFonts w:ascii="Arial" w:hAnsi="Arial" w:cs="Arial"/>
          <w:sz w:val="24"/>
          <w:szCs w:val="24"/>
        </w:rPr>
      </w:pPr>
      <w:r w:rsidRPr="0035519F">
        <w:rPr>
          <w:rFonts w:ascii="Arial" w:hAnsi="Arial" w:cs="Arial"/>
          <w:sz w:val="24"/>
          <w:szCs w:val="24"/>
        </w:rPr>
        <w:lastRenderedPageBreak/>
        <w:t>Dokter atau petugas media akan membalut lengan dengan pengikat lengan atau tourniquet. Tujuannya untuk memperlambat aliran darah dan menjadikan pembuluh vena lebih menonjol. Hal ini membuat proses pengambilan darah menjadi lebih mudah.</w:t>
      </w:r>
    </w:p>
    <w:p w14:paraId="23838282" w14:textId="77777777" w:rsidR="00B543B3" w:rsidRPr="0035519F" w:rsidRDefault="00B543B3" w:rsidP="002C5221">
      <w:pPr>
        <w:numPr>
          <w:ilvl w:val="0"/>
          <w:numId w:val="40"/>
        </w:numPr>
        <w:spacing w:after="0" w:line="240" w:lineRule="auto"/>
        <w:ind w:left="720" w:right="21"/>
        <w:jc w:val="both"/>
        <w:rPr>
          <w:rFonts w:ascii="Arial" w:hAnsi="Arial" w:cs="Arial"/>
          <w:sz w:val="24"/>
          <w:szCs w:val="24"/>
        </w:rPr>
      </w:pPr>
      <w:r w:rsidRPr="0035519F">
        <w:rPr>
          <w:rFonts w:ascii="Arial" w:hAnsi="Arial" w:cs="Arial"/>
          <w:sz w:val="24"/>
          <w:szCs w:val="24"/>
        </w:rPr>
        <w:t xml:space="preserve">Petugas medis mengidentifikasi letak pembuluh vena, lalu membersihkan area tersebut dengan alkohol. </w:t>
      </w:r>
    </w:p>
    <w:p w14:paraId="07326EDA" w14:textId="77777777" w:rsidR="00B543B3" w:rsidRPr="0035519F" w:rsidRDefault="00B543B3" w:rsidP="002C5221">
      <w:pPr>
        <w:numPr>
          <w:ilvl w:val="0"/>
          <w:numId w:val="40"/>
        </w:numPr>
        <w:spacing w:after="0" w:line="240" w:lineRule="auto"/>
        <w:ind w:left="720" w:right="21"/>
        <w:jc w:val="both"/>
        <w:rPr>
          <w:rFonts w:ascii="Arial" w:hAnsi="Arial" w:cs="Arial"/>
          <w:sz w:val="24"/>
          <w:szCs w:val="24"/>
        </w:rPr>
      </w:pPr>
      <w:r w:rsidRPr="0035519F">
        <w:rPr>
          <w:rFonts w:ascii="Arial" w:hAnsi="Arial" w:cs="Arial"/>
          <w:sz w:val="24"/>
          <w:szCs w:val="24"/>
        </w:rPr>
        <w:t xml:space="preserve">Petugas medis mengambil darah menggunakan jarum. </w:t>
      </w:r>
    </w:p>
    <w:p w14:paraId="34D34875" w14:textId="77777777" w:rsidR="00B543B3" w:rsidRPr="0035519F" w:rsidRDefault="00B543B3" w:rsidP="002C5221">
      <w:pPr>
        <w:numPr>
          <w:ilvl w:val="0"/>
          <w:numId w:val="40"/>
        </w:numPr>
        <w:spacing w:after="0" w:line="240" w:lineRule="auto"/>
        <w:ind w:left="720" w:right="21"/>
        <w:jc w:val="both"/>
        <w:rPr>
          <w:rFonts w:ascii="Arial" w:hAnsi="Arial" w:cs="Arial"/>
          <w:sz w:val="24"/>
          <w:szCs w:val="24"/>
        </w:rPr>
      </w:pPr>
      <w:r w:rsidRPr="0035519F">
        <w:rPr>
          <w:rFonts w:ascii="Arial" w:hAnsi="Arial" w:cs="Arial"/>
          <w:sz w:val="24"/>
          <w:szCs w:val="24"/>
        </w:rPr>
        <w:t xml:space="preserve">Bekas tusukan ditutup menggunakan plester. </w:t>
      </w:r>
    </w:p>
    <w:p w14:paraId="288F913D" w14:textId="77777777" w:rsidR="00B543B3" w:rsidRPr="0035519F" w:rsidRDefault="00B543B3" w:rsidP="00304D34">
      <w:pPr>
        <w:ind w:right="21"/>
        <w:jc w:val="both"/>
        <w:rPr>
          <w:rFonts w:ascii="Arial" w:hAnsi="Arial" w:cs="Arial"/>
          <w:sz w:val="24"/>
          <w:szCs w:val="24"/>
        </w:rPr>
      </w:pPr>
    </w:p>
    <w:p w14:paraId="26C397BF" w14:textId="77777777" w:rsidR="00B543B3" w:rsidRPr="0035519F" w:rsidRDefault="00B543B3" w:rsidP="00304D34">
      <w:pPr>
        <w:ind w:right="21" w:firstLine="720"/>
        <w:jc w:val="both"/>
        <w:rPr>
          <w:rFonts w:ascii="Arial" w:hAnsi="Arial" w:cs="Arial"/>
          <w:sz w:val="24"/>
          <w:szCs w:val="24"/>
        </w:rPr>
      </w:pPr>
      <w:r w:rsidRPr="0035519F">
        <w:rPr>
          <w:rFonts w:ascii="Arial" w:hAnsi="Arial" w:cs="Arial"/>
          <w:sz w:val="24"/>
          <w:szCs w:val="24"/>
        </w:rPr>
        <w:t xml:space="preserve">Prosedur pengambilan darah biasanya berlangsung 5-10 menit. Proses ini bisa lebih cepat jika pembuluh vena mudah ditemukan. Efek samping dari pengambilan darah ini bersifat ringan berupa nyeri, atau adanya memar biru dan hitam pada daerah suntikan. Kemungkinan hal tersebut sangat jarang terjadi karena pengambilan darah dilakukan oleh tenaga medis yang kompeten. Jika hal tersebut terjadi, biasanya tidak membutuhkan penanganan khusus dan akan membaik dalam waktu beberapa hari dengan melakukan kompres dingin pada area pengambilan darah. </w:t>
      </w:r>
    </w:p>
    <w:p w14:paraId="38A131E9" w14:textId="3933A219" w:rsidR="00B543B3" w:rsidRPr="0035519F" w:rsidRDefault="00B543B3" w:rsidP="00304D34">
      <w:pPr>
        <w:ind w:right="21" w:firstLine="720"/>
        <w:jc w:val="both"/>
        <w:rPr>
          <w:rFonts w:ascii="Arial" w:hAnsi="Arial" w:cs="Arial"/>
          <w:sz w:val="24"/>
          <w:szCs w:val="24"/>
        </w:rPr>
      </w:pPr>
      <w:r w:rsidRPr="0035519F">
        <w:rPr>
          <w:rFonts w:ascii="Arial" w:hAnsi="Arial" w:cs="Arial"/>
          <w:sz w:val="24"/>
          <w:szCs w:val="24"/>
        </w:rPr>
        <w:t xml:space="preserve">Dalam penelitian ini, kami akan memberitahu hasil pengukuran </w:t>
      </w:r>
      <w:r w:rsidR="009768AE" w:rsidRPr="0035519F">
        <w:rPr>
          <w:rFonts w:ascii="Arial" w:hAnsi="Arial" w:cs="Arial"/>
          <w:sz w:val="24"/>
          <w:szCs w:val="24"/>
        </w:rPr>
        <w:t>nilai HOMA</w:t>
      </w:r>
      <w:r w:rsidRPr="0035519F">
        <w:rPr>
          <w:rFonts w:ascii="Arial" w:hAnsi="Arial" w:cs="Arial"/>
          <w:sz w:val="24"/>
          <w:szCs w:val="24"/>
        </w:rPr>
        <w:t xml:space="preserve">-IR dan IGF-1 Bapak / Ibu / saudara (i). segala biaya dalam pemeriksaan ini sepenuhnya akan ditanggung oleh pihak peneliti sehingga Bapak / Ibu / saudara (i) tidak perlu khawatir. </w:t>
      </w:r>
    </w:p>
    <w:p w14:paraId="1B0481FA" w14:textId="77777777" w:rsidR="00B543B3" w:rsidRPr="0035519F" w:rsidRDefault="00B543B3" w:rsidP="00304D34">
      <w:pPr>
        <w:ind w:right="21" w:firstLine="720"/>
        <w:jc w:val="both"/>
        <w:rPr>
          <w:rFonts w:ascii="Arial" w:hAnsi="Arial" w:cs="Arial"/>
          <w:sz w:val="24"/>
          <w:szCs w:val="24"/>
        </w:rPr>
      </w:pPr>
      <w:r w:rsidRPr="0035519F">
        <w:rPr>
          <w:rFonts w:ascii="Arial" w:hAnsi="Arial" w:cs="Arial"/>
          <w:sz w:val="24"/>
          <w:szCs w:val="24"/>
        </w:rPr>
        <w:t>Kami menjamin keamanan dan kerahasiaan semua data pada penelitian ini. Data akan disimpan dengan baik dan aman, sehingga hanya bisa dilihat oleh yang berkepentingan saja. Data pribadi disamarkan pada semua catatan dan pada pelaporan baik lisan ataupun tertulis tidak akan menggunakan data pribadi. Bila Bapak / Ibu / saudara (i) merasa masih ada hal yang belum jelas atau belum dimengerti dengan baik, maka ibu dapat menanyakan atau minta penjelasan pada saya dr. Abd. Rahim Mubarak (085242752185)</w:t>
      </w:r>
    </w:p>
    <w:p w14:paraId="16FB0E7E"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3867B3DE"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7D6C190C"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3709D38D"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0F059B2C"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651E9D61"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62888D7E"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2BA91342" w14:textId="26922172"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4F19C717" w14:textId="77777777" w:rsidR="005D5F8D" w:rsidRPr="0035519F" w:rsidRDefault="005D5F8D" w:rsidP="00304D34">
      <w:pPr>
        <w:pStyle w:val="ListParagraph"/>
        <w:spacing w:line="360" w:lineRule="auto"/>
        <w:ind w:left="1350" w:right="18" w:hanging="1350"/>
        <w:jc w:val="both"/>
        <w:rPr>
          <w:rFonts w:ascii="Arial" w:hAnsi="Arial" w:cs="Arial"/>
          <w:b/>
          <w:sz w:val="24"/>
          <w:szCs w:val="24"/>
        </w:rPr>
      </w:pPr>
    </w:p>
    <w:p w14:paraId="1054A7D1" w14:textId="308C37ED" w:rsidR="00B543B3" w:rsidRPr="0035519F" w:rsidRDefault="00147B41" w:rsidP="00147B41">
      <w:pPr>
        <w:pStyle w:val="Caption"/>
        <w:rPr>
          <w:rFonts w:ascii="Arial" w:hAnsi="Arial" w:cs="Arial"/>
          <w:b/>
          <w:i w:val="0"/>
          <w:color w:val="auto"/>
          <w:sz w:val="24"/>
          <w:szCs w:val="24"/>
        </w:rPr>
      </w:pPr>
      <w:bookmarkStart w:id="96" w:name="_Toc111022801"/>
      <w:bookmarkStart w:id="97" w:name="_Toc111025459"/>
      <w:r w:rsidRPr="0035519F">
        <w:rPr>
          <w:rFonts w:ascii="Arial" w:hAnsi="Arial" w:cs="Arial"/>
          <w:b/>
          <w:i w:val="0"/>
          <w:color w:val="auto"/>
          <w:sz w:val="24"/>
          <w:szCs w:val="24"/>
        </w:rPr>
        <w:t xml:space="preserve">Lampiran </w:t>
      </w:r>
      <w:r w:rsidRPr="0035519F">
        <w:rPr>
          <w:rFonts w:ascii="Arial" w:hAnsi="Arial" w:cs="Arial"/>
          <w:b/>
          <w:i w:val="0"/>
          <w:color w:val="auto"/>
          <w:sz w:val="24"/>
          <w:szCs w:val="24"/>
        </w:rPr>
        <w:fldChar w:fldCharType="begin"/>
      </w:r>
      <w:r w:rsidRPr="0035519F">
        <w:rPr>
          <w:rFonts w:ascii="Arial" w:hAnsi="Arial" w:cs="Arial"/>
          <w:b/>
          <w:i w:val="0"/>
          <w:color w:val="auto"/>
          <w:sz w:val="24"/>
          <w:szCs w:val="24"/>
        </w:rPr>
        <w:instrText xml:space="preserve"> SEQ Lampiran \* ARABIC </w:instrText>
      </w:r>
      <w:r w:rsidRPr="0035519F">
        <w:rPr>
          <w:rFonts w:ascii="Arial" w:hAnsi="Arial" w:cs="Arial"/>
          <w:b/>
          <w:i w:val="0"/>
          <w:color w:val="auto"/>
          <w:sz w:val="24"/>
          <w:szCs w:val="24"/>
        </w:rPr>
        <w:fldChar w:fldCharType="separate"/>
      </w:r>
      <w:r w:rsidR="005B4074">
        <w:rPr>
          <w:rFonts w:ascii="Arial" w:hAnsi="Arial" w:cs="Arial"/>
          <w:b/>
          <w:i w:val="0"/>
          <w:noProof/>
          <w:color w:val="auto"/>
          <w:sz w:val="24"/>
          <w:szCs w:val="24"/>
        </w:rPr>
        <w:t>3</w:t>
      </w:r>
      <w:r w:rsidRPr="0035519F">
        <w:rPr>
          <w:rFonts w:ascii="Arial" w:hAnsi="Arial" w:cs="Arial"/>
          <w:b/>
          <w:i w:val="0"/>
          <w:color w:val="auto"/>
          <w:sz w:val="24"/>
          <w:szCs w:val="24"/>
        </w:rPr>
        <w:fldChar w:fldCharType="end"/>
      </w:r>
      <w:r w:rsidR="00B543B3" w:rsidRPr="0035519F">
        <w:rPr>
          <w:rFonts w:ascii="Arial" w:hAnsi="Arial" w:cs="Arial"/>
          <w:b/>
          <w:i w:val="0"/>
          <w:color w:val="auto"/>
          <w:sz w:val="24"/>
          <w:szCs w:val="24"/>
        </w:rPr>
        <w:t>. Formulir Informed Consent</w:t>
      </w:r>
      <w:bookmarkEnd w:id="96"/>
      <w:bookmarkEnd w:id="97"/>
    </w:p>
    <w:p w14:paraId="1AB6B26D" w14:textId="77777777" w:rsidR="00B543B3" w:rsidRPr="0035519F" w:rsidRDefault="00B543B3" w:rsidP="00304D34">
      <w:pPr>
        <w:pStyle w:val="BodyText"/>
        <w:spacing w:before="10"/>
        <w:rPr>
          <w:b/>
          <w:i/>
          <w:sz w:val="20"/>
        </w:rPr>
      </w:pPr>
    </w:p>
    <w:p w14:paraId="6DE7CD98" w14:textId="77777777" w:rsidR="00B543B3" w:rsidRPr="0035519F" w:rsidRDefault="00B543B3" w:rsidP="00304D34">
      <w:pPr>
        <w:jc w:val="center"/>
        <w:rPr>
          <w:rFonts w:ascii="Arial" w:hAnsi="Arial" w:cs="Arial"/>
          <w:b/>
          <w:sz w:val="24"/>
          <w:szCs w:val="24"/>
        </w:rPr>
      </w:pPr>
      <w:r w:rsidRPr="0035519F">
        <w:rPr>
          <w:rFonts w:ascii="Arial" w:hAnsi="Arial" w:cs="Arial"/>
          <w:b/>
          <w:sz w:val="24"/>
          <w:szCs w:val="24"/>
        </w:rPr>
        <w:t>FORMULIR PERSETUJUAN MENGIKUTI PENELITIAN</w:t>
      </w:r>
    </w:p>
    <w:p w14:paraId="70C743CA" w14:textId="77777777" w:rsidR="00B543B3" w:rsidRPr="0035519F" w:rsidRDefault="00B543B3" w:rsidP="00304D34">
      <w:pPr>
        <w:spacing w:before="214"/>
        <w:ind w:right="21"/>
        <w:jc w:val="both"/>
        <w:rPr>
          <w:rFonts w:ascii="Arial" w:hAnsi="Arial" w:cs="Arial"/>
          <w:sz w:val="24"/>
        </w:rPr>
      </w:pPr>
      <w:r w:rsidRPr="0035519F">
        <w:rPr>
          <w:rFonts w:ascii="Arial" w:hAnsi="Arial" w:cs="Arial"/>
          <w:b/>
          <w:sz w:val="24"/>
        </w:rPr>
        <w:t xml:space="preserve">Judul penelitian: </w:t>
      </w:r>
      <w:r w:rsidRPr="0035519F">
        <w:rPr>
          <w:rFonts w:ascii="Arial" w:hAnsi="Arial" w:cs="Arial"/>
          <w:sz w:val="24"/>
        </w:rPr>
        <w:t xml:space="preserve">Analisis Resistensi Insulin dan </w:t>
      </w:r>
      <w:r w:rsidRPr="0035519F">
        <w:rPr>
          <w:rFonts w:ascii="Arial" w:hAnsi="Arial" w:cs="Arial"/>
          <w:i/>
          <w:sz w:val="24"/>
        </w:rPr>
        <w:t xml:space="preserve">Insulin-like Growth Hormone-1 (IGF-1) </w:t>
      </w:r>
      <w:r w:rsidRPr="0035519F">
        <w:rPr>
          <w:rFonts w:ascii="Arial" w:hAnsi="Arial" w:cs="Arial"/>
          <w:sz w:val="24"/>
        </w:rPr>
        <w:t xml:space="preserve">pada Dewasa </w:t>
      </w:r>
      <w:r w:rsidRPr="0035519F">
        <w:rPr>
          <w:rFonts w:ascii="Arial" w:hAnsi="Arial" w:cs="Arial"/>
          <w:i/>
          <w:sz w:val="24"/>
        </w:rPr>
        <w:t>Non Diabetes Mellitus</w:t>
      </w:r>
      <w:r w:rsidRPr="0035519F">
        <w:rPr>
          <w:rFonts w:ascii="Arial" w:hAnsi="Arial" w:cs="Arial"/>
          <w:sz w:val="24"/>
        </w:rPr>
        <w:t xml:space="preserve"> (DM) Dengan dan Tanpa Obesitas Sentral</w:t>
      </w:r>
    </w:p>
    <w:p w14:paraId="27809B17" w14:textId="77777777" w:rsidR="00B543B3" w:rsidRPr="0035519F" w:rsidRDefault="00B543B3" w:rsidP="00304D34">
      <w:pPr>
        <w:pStyle w:val="BodyText"/>
        <w:tabs>
          <w:tab w:val="left" w:pos="2668"/>
        </w:tabs>
        <w:ind w:right="21"/>
      </w:pPr>
      <w:r w:rsidRPr="0035519F">
        <w:t>Saya yang bertanda tangan dibawah</w:t>
      </w:r>
      <w:r w:rsidRPr="0035519F">
        <w:rPr>
          <w:spacing w:val="-20"/>
        </w:rPr>
        <w:t xml:space="preserve"> </w:t>
      </w:r>
      <w:r w:rsidRPr="0035519F">
        <w:t xml:space="preserve">ini </w:t>
      </w:r>
    </w:p>
    <w:p w14:paraId="0BCA7AD4" w14:textId="77777777" w:rsidR="00B543B3" w:rsidRPr="0035519F" w:rsidRDefault="00B543B3" w:rsidP="00304D34">
      <w:pPr>
        <w:pStyle w:val="BodyText"/>
        <w:ind w:right="21"/>
      </w:pPr>
      <w:r w:rsidRPr="0035519F">
        <w:t>Nama</w:t>
      </w:r>
      <w:r w:rsidRPr="0035519F">
        <w:tab/>
      </w:r>
      <w:r w:rsidRPr="0035519F">
        <w:tab/>
      </w:r>
      <w:r w:rsidRPr="0035519F">
        <w:tab/>
        <w:t>:</w:t>
      </w:r>
    </w:p>
    <w:p w14:paraId="71D6D6B4" w14:textId="77777777" w:rsidR="00B543B3" w:rsidRPr="0035519F" w:rsidRDefault="00B543B3" w:rsidP="00304D34">
      <w:pPr>
        <w:pStyle w:val="BodyText"/>
        <w:ind w:right="21"/>
      </w:pPr>
      <w:r w:rsidRPr="0035519F">
        <w:t>Jenis</w:t>
      </w:r>
      <w:r w:rsidRPr="0035519F">
        <w:rPr>
          <w:spacing w:val="-3"/>
        </w:rPr>
        <w:t xml:space="preserve"> </w:t>
      </w:r>
      <w:r w:rsidRPr="0035519F">
        <w:t>kelamin</w:t>
      </w:r>
      <w:r w:rsidRPr="0035519F">
        <w:tab/>
        <w:t>:</w:t>
      </w:r>
    </w:p>
    <w:p w14:paraId="59F7A05D" w14:textId="77777777" w:rsidR="00B543B3" w:rsidRPr="0035519F" w:rsidRDefault="00B543B3" w:rsidP="00304D34">
      <w:pPr>
        <w:pStyle w:val="BodyText"/>
        <w:ind w:right="21"/>
      </w:pPr>
      <w:r w:rsidRPr="0035519F">
        <w:t>Umur</w:t>
      </w:r>
      <w:r w:rsidRPr="0035519F">
        <w:tab/>
      </w:r>
      <w:r w:rsidRPr="0035519F">
        <w:tab/>
      </w:r>
      <w:r w:rsidRPr="0035519F">
        <w:tab/>
        <w:t>:</w:t>
      </w:r>
    </w:p>
    <w:p w14:paraId="0BCFFC0F" w14:textId="77777777" w:rsidR="00B543B3" w:rsidRPr="0035519F" w:rsidRDefault="00B543B3" w:rsidP="00304D34">
      <w:pPr>
        <w:pStyle w:val="BodyText"/>
        <w:ind w:right="21"/>
      </w:pPr>
      <w:r w:rsidRPr="0035519F">
        <w:t>Alamat</w:t>
      </w:r>
      <w:r w:rsidRPr="0035519F">
        <w:tab/>
      </w:r>
      <w:r w:rsidRPr="0035519F">
        <w:tab/>
        <w:t>:</w:t>
      </w:r>
    </w:p>
    <w:p w14:paraId="450590FC" w14:textId="77777777" w:rsidR="00B543B3" w:rsidRPr="0035519F" w:rsidRDefault="00B543B3" w:rsidP="00304D34">
      <w:pPr>
        <w:pStyle w:val="BodyText"/>
        <w:ind w:right="21" w:firstLine="720"/>
        <w:jc w:val="both"/>
      </w:pPr>
      <w:r w:rsidRPr="0035519F">
        <w:t>Setelah mendengar dan mengerti penjelasan yang diberikan mengenai tujuan penelitian, dengan ini saya menyatakan bersedia secara sukarela tanpa paksaan dari pihak manapun untuk berpartisipasi dalam penelitian ini dan saya yakin hasilnya bersifat rahasia hanya peneliti utama dan tim komite etik yang mengetahuinya.</w:t>
      </w:r>
    </w:p>
    <w:p w14:paraId="0197DC9B" w14:textId="77777777" w:rsidR="00B543B3" w:rsidRPr="0035519F" w:rsidRDefault="00B543B3" w:rsidP="00304D34">
      <w:pPr>
        <w:pStyle w:val="BodyText"/>
        <w:spacing w:before="1"/>
        <w:ind w:right="21" w:firstLine="720"/>
        <w:jc w:val="both"/>
      </w:pPr>
      <w:r w:rsidRPr="0035519F">
        <w:t xml:space="preserve">Saya mengetahui bahwa saya berhak untuk menolak atau berhenti dari penelitian ini. Biaya pemeriksaan kadar </w:t>
      </w:r>
      <w:r w:rsidRPr="0035519F">
        <w:rPr>
          <w:i/>
        </w:rPr>
        <w:t>IGF-1</w:t>
      </w:r>
      <w:r w:rsidRPr="0035519F">
        <w:t>, glukosa puasa dan insulin puasa dalam penelitian ini ditanggung oleh peneliti.</w:t>
      </w:r>
    </w:p>
    <w:p w14:paraId="39F6DD9B" w14:textId="77777777" w:rsidR="00B543B3" w:rsidRPr="0035519F" w:rsidRDefault="00B543B3" w:rsidP="00304D34">
      <w:pPr>
        <w:pStyle w:val="BodyText"/>
        <w:ind w:right="21" w:firstLine="720"/>
        <w:jc w:val="both"/>
      </w:pPr>
      <w:r w:rsidRPr="0035519F">
        <w:t>Bila masih ada hal yang belum saya mengerti atau saya ingin mendapatkan penjelasan lebih lanjut, saya bisa mendapatkannya dari dokter</w:t>
      </w:r>
      <w:r w:rsidRPr="0035519F">
        <w:rPr>
          <w:spacing w:val="-9"/>
        </w:rPr>
        <w:t xml:space="preserve"> </w:t>
      </w:r>
      <w:r w:rsidRPr="0035519F">
        <w:t>peneliti</w:t>
      </w:r>
      <w:r w:rsidRPr="0035519F">
        <w:rPr>
          <w:spacing w:val="-9"/>
        </w:rPr>
        <w:t xml:space="preserve"> </w:t>
      </w:r>
      <w:r w:rsidRPr="0035519F">
        <w:t>sebagai</w:t>
      </w:r>
      <w:r w:rsidRPr="0035519F">
        <w:rPr>
          <w:spacing w:val="-7"/>
        </w:rPr>
        <w:t xml:space="preserve"> </w:t>
      </w:r>
      <w:r w:rsidRPr="0035519F">
        <w:rPr>
          <w:i/>
        </w:rPr>
        <w:t>contact</w:t>
      </w:r>
      <w:r w:rsidRPr="0035519F">
        <w:rPr>
          <w:i/>
          <w:spacing w:val="-7"/>
        </w:rPr>
        <w:t xml:space="preserve"> </w:t>
      </w:r>
      <w:r w:rsidRPr="0035519F">
        <w:rPr>
          <w:i/>
        </w:rPr>
        <w:t>person</w:t>
      </w:r>
      <w:r w:rsidRPr="0035519F">
        <w:rPr>
          <w:i/>
          <w:spacing w:val="-6"/>
        </w:rPr>
        <w:t xml:space="preserve"> </w:t>
      </w:r>
      <w:r w:rsidRPr="0035519F">
        <w:t>(alamat</w:t>
      </w:r>
      <w:r w:rsidRPr="0035519F">
        <w:rPr>
          <w:spacing w:val="-7"/>
        </w:rPr>
        <w:t xml:space="preserve"> </w:t>
      </w:r>
      <w:r w:rsidRPr="0035519F">
        <w:t>dan</w:t>
      </w:r>
      <w:r w:rsidRPr="0035519F">
        <w:rPr>
          <w:spacing w:val="-10"/>
        </w:rPr>
        <w:t xml:space="preserve"> </w:t>
      </w:r>
      <w:r w:rsidRPr="0035519F">
        <w:t>nomor</w:t>
      </w:r>
      <w:r w:rsidRPr="0035519F">
        <w:rPr>
          <w:spacing w:val="-8"/>
        </w:rPr>
        <w:t xml:space="preserve"> </w:t>
      </w:r>
      <w:r w:rsidRPr="0035519F">
        <w:t>telepon</w:t>
      </w:r>
      <w:r w:rsidRPr="0035519F">
        <w:rPr>
          <w:spacing w:val="-10"/>
        </w:rPr>
        <w:t xml:space="preserve"> </w:t>
      </w:r>
      <w:r w:rsidRPr="0035519F">
        <w:t>tertera</w:t>
      </w:r>
      <w:r w:rsidRPr="0035519F">
        <w:rPr>
          <w:spacing w:val="-10"/>
        </w:rPr>
        <w:t xml:space="preserve"> </w:t>
      </w:r>
      <w:r w:rsidRPr="0035519F">
        <w:t>di bawah).</w:t>
      </w:r>
    </w:p>
    <w:p w14:paraId="4EA05F19" w14:textId="77777777" w:rsidR="00B543B3" w:rsidRPr="0035519F" w:rsidRDefault="00B543B3" w:rsidP="00304D34">
      <w:pPr>
        <w:pStyle w:val="BodyText"/>
        <w:ind w:right="21"/>
      </w:pPr>
    </w:p>
    <w:p w14:paraId="796D1493" w14:textId="77777777" w:rsidR="00B543B3" w:rsidRPr="0035519F" w:rsidRDefault="00B543B3" w:rsidP="00304D34">
      <w:pPr>
        <w:pStyle w:val="BodyText"/>
        <w:ind w:right="21"/>
      </w:pPr>
      <w:r w:rsidRPr="0035519F">
        <w:t>Makassar, Juni 2022</w:t>
      </w:r>
    </w:p>
    <w:p w14:paraId="68BB4B14" w14:textId="77777777" w:rsidR="00B543B3" w:rsidRPr="0035519F" w:rsidRDefault="00B543B3" w:rsidP="00304D34">
      <w:pPr>
        <w:pStyle w:val="BodyText"/>
        <w:spacing w:before="1"/>
        <w:ind w:right="21"/>
      </w:pPr>
    </w:p>
    <w:p w14:paraId="743C2BE2" w14:textId="77777777" w:rsidR="00B543B3" w:rsidRPr="0035519F" w:rsidRDefault="00B543B3" w:rsidP="00304D34">
      <w:pPr>
        <w:pStyle w:val="BodyText"/>
        <w:ind w:right="21"/>
      </w:pPr>
      <w:r w:rsidRPr="0035519F">
        <w:t>.......................................</w:t>
      </w:r>
    </w:p>
    <w:p w14:paraId="436C7357" w14:textId="77777777" w:rsidR="00B543B3" w:rsidRPr="0035519F" w:rsidRDefault="00B543B3" w:rsidP="00304D34">
      <w:pPr>
        <w:pStyle w:val="BodyText"/>
        <w:ind w:right="21"/>
      </w:pPr>
      <w:r w:rsidRPr="0035519F">
        <w:t>……..............................................................</w:t>
      </w:r>
    </w:p>
    <w:p w14:paraId="32919C5C" w14:textId="77777777" w:rsidR="00B543B3" w:rsidRPr="0035519F" w:rsidRDefault="00B543B3" w:rsidP="00304D34">
      <w:pPr>
        <w:pStyle w:val="BodyText"/>
        <w:tabs>
          <w:tab w:val="left" w:pos="6370"/>
        </w:tabs>
        <w:ind w:right="21"/>
      </w:pPr>
      <w:r w:rsidRPr="0035519F">
        <w:t>Nama</w:t>
      </w:r>
      <w:r w:rsidRPr="0035519F">
        <w:rPr>
          <w:spacing w:val="-4"/>
        </w:rPr>
        <w:t xml:space="preserve"> </w:t>
      </w:r>
      <w:r w:rsidRPr="0035519F">
        <w:t>subyek</w:t>
      </w:r>
      <w:r w:rsidRPr="0035519F">
        <w:tab/>
        <w:t>Dokter penanggung</w:t>
      </w:r>
      <w:r w:rsidRPr="0035519F">
        <w:rPr>
          <w:spacing w:val="-18"/>
        </w:rPr>
        <w:t xml:space="preserve"> </w:t>
      </w:r>
      <w:r w:rsidRPr="0035519F">
        <w:t>jawab klinis</w:t>
      </w:r>
    </w:p>
    <w:p w14:paraId="17284167" w14:textId="77777777" w:rsidR="00B543B3" w:rsidRPr="0035519F" w:rsidRDefault="00B543B3" w:rsidP="00304D34">
      <w:pPr>
        <w:pStyle w:val="BodyText"/>
        <w:ind w:right="21"/>
      </w:pPr>
    </w:p>
    <w:p w14:paraId="7E61C6EF" w14:textId="77777777" w:rsidR="00B543B3" w:rsidRPr="0035519F" w:rsidRDefault="00B543B3" w:rsidP="00304D34">
      <w:pPr>
        <w:pStyle w:val="BodyText"/>
        <w:tabs>
          <w:tab w:val="left" w:pos="6366"/>
        </w:tabs>
        <w:ind w:right="21"/>
      </w:pPr>
      <w:r w:rsidRPr="0035519F">
        <w:t>No.</w:t>
      </w:r>
      <w:r w:rsidRPr="0035519F">
        <w:rPr>
          <w:spacing w:val="64"/>
        </w:rPr>
        <w:t xml:space="preserve"> </w:t>
      </w:r>
      <w:r w:rsidRPr="0035519F">
        <w:t>Nama</w:t>
      </w:r>
      <w:r w:rsidRPr="0035519F">
        <w:rPr>
          <w:spacing w:val="-3"/>
        </w:rPr>
        <w:t xml:space="preserve"> </w:t>
      </w:r>
      <w:r w:rsidRPr="0035519F">
        <w:t>Saksi</w:t>
      </w:r>
      <w:r w:rsidRPr="0035519F">
        <w:tab/>
        <w:t>Tanda</w:t>
      </w:r>
      <w:r w:rsidRPr="0035519F">
        <w:rPr>
          <w:spacing w:val="-1"/>
        </w:rPr>
        <w:t xml:space="preserve"> </w:t>
      </w:r>
      <w:r w:rsidRPr="0035519F">
        <w:t>tangan</w:t>
      </w:r>
    </w:p>
    <w:p w14:paraId="0819B9B6" w14:textId="77777777" w:rsidR="00B543B3" w:rsidRPr="0035519F" w:rsidRDefault="00B543B3" w:rsidP="00304D34">
      <w:pPr>
        <w:pStyle w:val="BodyText"/>
        <w:tabs>
          <w:tab w:val="left" w:pos="4887"/>
        </w:tabs>
        <w:ind w:right="21"/>
      </w:pPr>
      <w:r w:rsidRPr="0035519F">
        <w:t>1.</w:t>
      </w:r>
      <w:r w:rsidRPr="0035519F">
        <w:rPr>
          <w:spacing w:val="-6"/>
        </w:rPr>
        <w:t xml:space="preserve"> </w:t>
      </w:r>
      <w:r w:rsidRPr="0035519F">
        <w:t>……………………..</w:t>
      </w:r>
      <w:r w:rsidRPr="0035519F">
        <w:tab/>
        <w:t>……………………………………….……..</w:t>
      </w:r>
    </w:p>
    <w:p w14:paraId="5DF62A65" w14:textId="77777777" w:rsidR="00B543B3" w:rsidRPr="0035519F" w:rsidRDefault="00B543B3" w:rsidP="00304D34">
      <w:pPr>
        <w:pStyle w:val="BodyText"/>
        <w:tabs>
          <w:tab w:val="left" w:pos="5080"/>
        </w:tabs>
        <w:ind w:right="21"/>
      </w:pPr>
      <w:r w:rsidRPr="0035519F">
        <w:t>2.</w:t>
      </w:r>
      <w:r w:rsidRPr="0035519F">
        <w:rPr>
          <w:spacing w:val="2"/>
        </w:rPr>
        <w:t xml:space="preserve"> </w:t>
      </w:r>
      <w:r w:rsidRPr="0035519F">
        <w:t>…………………….</w:t>
      </w:r>
      <w:r w:rsidRPr="0035519F">
        <w:tab/>
        <w:t>…………………………………...</w:t>
      </w:r>
    </w:p>
    <w:p w14:paraId="47C55622" w14:textId="77777777" w:rsidR="00B543B3" w:rsidRPr="0035519F" w:rsidRDefault="00B543B3" w:rsidP="00304D34">
      <w:pPr>
        <w:pStyle w:val="BodyText"/>
        <w:ind w:left="1228"/>
      </w:pPr>
      <w:r w:rsidRPr="0035519F">
        <w:t>………..</w:t>
      </w:r>
    </w:p>
    <w:p w14:paraId="78863056" w14:textId="77777777"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4EF95937" w14:textId="4CE8F68D" w:rsidR="00B543B3" w:rsidRPr="0035519F" w:rsidRDefault="00B543B3" w:rsidP="00304D34">
      <w:pPr>
        <w:pStyle w:val="ListParagraph"/>
        <w:spacing w:line="360" w:lineRule="auto"/>
        <w:ind w:left="1350" w:right="18" w:hanging="1350"/>
        <w:jc w:val="both"/>
        <w:rPr>
          <w:rFonts w:ascii="Arial" w:hAnsi="Arial" w:cs="Arial"/>
          <w:b/>
          <w:sz w:val="24"/>
          <w:szCs w:val="24"/>
        </w:rPr>
      </w:pPr>
    </w:p>
    <w:p w14:paraId="20474B21" w14:textId="77777777" w:rsidR="00147B41" w:rsidRPr="0035519F" w:rsidRDefault="00147B41" w:rsidP="00304D34">
      <w:pPr>
        <w:pStyle w:val="ListParagraph"/>
        <w:spacing w:line="360" w:lineRule="auto"/>
        <w:ind w:left="1350" w:right="18" w:hanging="1350"/>
        <w:jc w:val="both"/>
        <w:rPr>
          <w:rFonts w:ascii="Arial" w:hAnsi="Arial" w:cs="Arial"/>
          <w:b/>
          <w:sz w:val="24"/>
          <w:szCs w:val="24"/>
        </w:rPr>
      </w:pPr>
    </w:p>
    <w:p w14:paraId="116E14F7" w14:textId="2BFD81DD" w:rsidR="00B543B3" w:rsidRPr="0035519F" w:rsidRDefault="00147B41" w:rsidP="00147B41">
      <w:pPr>
        <w:pStyle w:val="Caption"/>
        <w:jc w:val="both"/>
        <w:rPr>
          <w:i w:val="0"/>
          <w:color w:val="auto"/>
        </w:rPr>
      </w:pPr>
      <w:bookmarkStart w:id="98" w:name="_Toc111022802"/>
      <w:bookmarkStart w:id="99" w:name="_Toc111025460"/>
      <w:r w:rsidRPr="0035519F">
        <w:rPr>
          <w:rFonts w:ascii="Arial" w:hAnsi="Arial" w:cs="Arial"/>
          <w:b/>
          <w:i w:val="0"/>
          <w:color w:val="auto"/>
          <w:sz w:val="24"/>
          <w:szCs w:val="24"/>
        </w:rPr>
        <w:t xml:space="preserve">Lampiran </w:t>
      </w:r>
      <w:r w:rsidRPr="0035519F">
        <w:rPr>
          <w:rFonts w:ascii="Arial" w:hAnsi="Arial" w:cs="Arial"/>
          <w:b/>
          <w:i w:val="0"/>
          <w:color w:val="auto"/>
          <w:sz w:val="24"/>
          <w:szCs w:val="24"/>
        </w:rPr>
        <w:fldChar w:fldCharType="begin"/>
      </w:r>
      <w:r w:rsidRPr="0035519F">
        <w:rPr>
          <w:rFonts w:ascii="Arial" w:hAnsi="Arial" w:cs="Arial"/>
          <w:b/>
          <w:i w:val="0"/>
          <w:color w:val="auto"/>
          <w:sz w:val="24"/>
          <w:szCs w:val="24"/>
        </w:rPr>
        <w:instrText xml:space="preserve"> SEQ Lampiran \* ARABIC </w:instrText>
      </w:r>
      <w:r w:rsidRPr="0035519F">
        <w:rPr>
          <w:rFonts w:ascii="Arial" w:hAnsi="Arial" w:cs="Arial"/>
          <w:b/>
          <w:i w:val="0"/>
          <w:color w:val="auto"/>
          <w:sz w:val="24"/>
          <w:szCs w:val="24"/>
        </w:rPr>
        <w:fldChar w:fldCharType="separate"/>
      </w:r>
      <w:r w:rsidR="005B4074">
        <w:rPr>
          <w:rFonts w:ascii="Arial" w:hAnsi="Arial" w:cs="Arial"/>
          <w:b/>
          <w:i w:val="0"/>
          <w:noProof/>
          <w:color w:val="auto"/>
          <w:sz w:val="24"/>
          <w:szCs w:val="24"/>
        </w:rPr>
        <w:t>4</w:t>
      </w:r>
      <w:r w:rsidRPr="0035519F">
        <w:rPr>
          <w:rFonts w:ascii="Arial" w:hAnsi="Arial" w:cs="Arial"/>
          <w:b/>
          <w:i w:val="0"/>
          <w:color w:val="auto"/>
          <w:sz w:val="24"/>
          <w:szCs w:val="24"/>
        </w:rPr>
        <w:fldChar w:fldCharType="end"/>
      </w:r>
      <w:r w:rsidR="00B543B3" w:rsidRPr="0035519F">
        <w:rPr>
          <w:rFonts w:ascii="Arial" w:hAnsi="Arial" w:cs="Arial"/>
          <w:b/>
          <w:i w:val="0"/>
          <w:color w:val="auto"/>
          <w:sz w:val="24"/>
          <w:szCs w:val="24"/>
        </w:rPr>
        <w:t>. Data Penelitian</w:t>
      </w:r>
      <w:bookmarkEnd w:id="98"/>
      <w:bookmarkEnd w:id="99"/>
      <w:r w:rsidR="00B543B3" w:rsidRPr="0035519F">
        <w:rPr>
          <w:rFonts w:ascii="Arial" w:hAnsi="Arial" w:cs="Arial"/>
          <w:b/>
          <w:i w:val="0"/>
          <w:color w:val="auto"/>
          <w:sz w:val="24"/>
          <w:szCs w:val="24"/>
        </w:rPr>
        <w:t xml:space="preserve"> </w:t>
      </w:r>
    </w:p>
    <w:p w14:paraId="47270C71" w14:textId="77777777" w:rsidR="00B543B3" w:rsidRPr="0035519F" w:rsidRDefault="00B543B3" w:rsidP="00304D34">
      <w:pPr>
        <w:pStyle w:val="ListParagraph"/>
        <w:spacing w:line="240" w:lineRule="auto"/>
        <w:ind w:left="1080" w:right="18" w:hanging="1080"/>
        <w:jc w:val="both"/>
        <w:rPr>
          <w:rFonts w:ascii="Arial" w:hAnsi="Arial" w:cs="Arial"/>
          <w:b/>
          <w:sz w:val="24"/>
          <w:szCs w:val="24"/>
        </w:rPr>
      </w:pPr>
    </w:p>
    <w:tbl>
      <w:tblPr>
        <w:tblW w:w="8957" w:type="dxa"/>
        <w:tblInd w:w="-796" w:type="dxa"/>
        <w:tblLook w:val="04A0" w:firstRow="1" w:lastRow="0" w:firstColumn="1" w:lastColumn="0" w:noHBand="0" w:noVBand="1"/>
      </w:tblPr>
      <w:tblGrid>
        <w:gridCol w:w="560"/>
        <w:gridCol w:w="960"/>
        <w:gridCol w:w="850"/>
        <w:gridCol w:w="1036"/>
        <w:gridCol w:w="977"/>
        <w:gridCol w:w="977"/>
        <w:gridCol w:w="916"/>
        <w:gridCol w:w="817"/>
        <w:gridCol w:w="967"/>
        <w:gridCol w:w="967"/>
      </w:tblGrid>
      <w:tr w:rsidR="00117F69" w:rsidRPr="0035519F" w14:paraId="74F94FFB" w14:textId="77777777" w:rsidTr="00B543B3">
        <w:trPr>
          <w:trHeight w:val="144"/>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142E"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No</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3B40D58"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Jenis Kelamin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D709A46"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Umur (tahun)</w:t>
            </w:r>
          </w:p>
        </w:tc>
        <w:tc>
          <w:tcPr>
            <w:tcW w:w="1022" w:type="dxa"/>
            <w:tcBorders>
              <w:top w:val="single" w:sz="4" w:space="0" w:color="auto"/>
              <w:left w:val="nil"/>
              <w:bottom w:val="single" w:sz="4" w:space="0" w:color="auto"/>
              <w:right w:val="single" w:sz="4" w:space="0" w:color="auto"/>
            </w:tcBorders>
            <w:shd w:val="clear" w:color="auto" w:fill="auto"/>
            <w:noWrap/>
            <w:vAlign w:val="center"/>
            <w:hideMark/>
          </w:tcPr>
          <w:p w14:paraId="53DB36D6"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Lingkar Pinggang (cm)</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14:paraId="1BD38D8E"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Obesitas Sentral</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14:paraId="1DEA43F3"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Obesitas Non Sentral</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14:paraId="3F3D8011"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GDP (mg/dL)</w:t>
            </w:r>
          </w:p>
        </w:tc>
        <w:tc>
          <w:tcPr>
            <w:tcW w:w="817" w:type="dxa"/>
            <w:tcBorders>
              <w:top w:val="single" w:sz="4" w:space="0" w:color="auto"/>
              <w:left w:val="nil"/>
              <w:bottom w:val="single" w:sz="4" w:space="0" w:color="auto"/>
              <w:right w:val="single" w:sz="4" w:space="0" w:color="auto"/>
            </w:tcBorders>
            <w:shd w:val="clear" w:color="auto" w:fill="auto"/>
            <w:noWrap/>
            <w:vAlign w:val="center"/>
            <w:hideMark/>
          </w:tcPr>
          <w:p w14:paraId="3566EE42"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Insulin Puasa</w:t>
            </w:r>
          </w:p>
        </w:tc>
        <w:tc>
          <w:tcPr>
            <w:tcW w:w="966" w:type="dxa"/>
            <w:tcBorders>
              <w:top w:val="single" w:sz="4" w:space="0" w:color="auto"/>
              <w:left w:val="nil"/>
              <w:bottom w:val="single" w:sz="4" w:space="0" w:color="auto"/>
              <w:right w:val="single" w:sz="4" w:space="0" w:color="auto"/>
            </w:tcBorders>
            <w:shd w:val="clear" w:color="auto" w:fill="auto"/>
            <w:noWrap/>
            <w:vAlign w:val="center"/>
            <w:hideMark/>
          </w:tcPr>
          <w:p w14:paraId="48CF2AE6"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HOMA IR</w:t>
            </w:r>
          </w:p>
        </w:tc>
        <w:tc>
          <w:tcPr>
            <w:tcW w:w="966" w:type="dxa"/>
            <w:tcBorders>
              <w:top w:val="single" w:sz="4" w:space="0" w:color="auto"/>
              <w:left w:val="nil"/>
              <w:bottom w:val="single" w:sz="4" w:space="0" w:color="auto"/>
              <w:right w:val="single" w:sz="4" w:space="0" w:color="auto"/>
            </w:tcBorders>
            <w:shd w:val="clear" w:color="auto" w:fill="auto"/>
            <w:noWrap/>
            <w:vAlign w:val="center"/>
            <w:hideMark/>
          </w:tcPr>
          <w:p w14:paraId="4EAD99FD" w14:textId="77777777" w:rsidR="00B543B3" w:rsidRPr="0035519F" w:rsidRDefault="00B543B3" w:rsidP="00304D34">
            <w:pPr>
              <w:spacing w:line="240" w:lineRule="auto"/>
              <w:jc w:val="center"/>
              <w:rPr>
                <w:rFonts w:ascii="Arial" w:eastAsia="Times New Roman" w:hAnsi="Arial" w:cs="Arial"/>
                <w:b/>
                <w:sz w:val="18"/>
                <w:szCs w:val="18"/>
              </w:rPr>
            </w:pPr>
            <w:r w:rsidRPr="0035519F">
              <w:rPr>
                <w:rFonts w:ascii="Arial" w:eastAsia="Times New Roman" w:hAnsi="Arial" w:cs="Arial"/>
                <w:b/>
                <w:sz w:val="18"/>
                <w:szCs w:val="18"/>
              </w:rPr>
              <w:t>IGF-1 (ng/mL)</w:t>
            </w:r>
          </w:p>
        </w:tc>
      </w:tr>
      <w:tr w:rsidR="00117F69" w:rsidRPr="0035519F" w14:paraId="29EDB35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B7E3E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553296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0C42F8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36</w:t>
            </w:r>
          </w:p>
        </w:tc>
        <w:tc>
          <w:tcPr>
            <w:tcW w:w="1022" w:type="dxa"/>
            <w:tcBorders>
              <w:top w:val="nil"/>
              <w:left w:val="nil"/>
              <w:bottom w:val="single" w:sz="4" w:space="0" w:color="auto"/>
              <w:right w:val="single" w:sz="4" w:space="0" w:color="auto"/>
            </w:tcBorders>
            <w:shd w:val="clear" w:color="000000" w:fill="FFFFFF"/>
            <w:noWrap/>
            <w:vAlign w:val="center"/>
            <w:hideMark/>
          </w:tcPr>
          <w:p w14:paraId="515EFF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w:t>
            </w:r>
          </w:p>
        </w:tc>
        <w:tc>
          <w:tcPr>
            <w:tcW w:w="950" w:type="dxa"/>
            <w:tcBorders>
              <w:top w:val="nil"/>
              <w:left w:val="nil"/>
              <w:bottom w:val="single" w:sz="4" w:space="0" w:color="auto"/>
              <w:right w:val="single" w:sz="4" w:space="0" w:color="auto"/>
            </w:tcBorders>
            <w:shd w:val="clear" w:color="000000" w:fill="FFFFFF"/>
            <w:noWrap/>
            <w:vAlign w:val="center"/>
            <w:hideMark/>
          </w:tcPr>
          <w:p w14:paraId="446FDAE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22DB84C"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F03F00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64.2</w:t>
            </w:r>
          </w:p>
        </w:tc>
        <w:tc>
          <w:tcPr>
            <w:tcW w:w="817" w:type="dxa"/>
            <w:tcBorders>
              <w:top w:val="nil"/>
              <w:left w:val="nil"/>
              <w:bottom w:val="single" w:sz="4" w:space="0" w:color="auto"/>
              <w:right w:val="single" w:sz="4" w:space="0" w:color="auto"/>
            </w:tcBorders>
            <w:shd w:val="clear" w:color="auto" w:fill="auto"/>
            <w:noWrap/>
            <w:vAlign w:val="center"/>
            <w:hideMark/>
          </w:tcPr>
          <w:p w14:paraId="551D4EF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22.52</w:t>
            </w:r>
          </w:p>
        </w:tc>
        <w:tc>
          <w:tcPr>
            <w:tcW w:w="966" w:type="dxa"/>
            <w:tcBorders>
              <w:top w:val="nil"/>
              <w:left w:val="nil"/>
              <w:bottom w:val="single" w:sz="4" w:space="0" w:color="auto"/>
              <w:right w:val="single" w:sz="4" w:space="0" w:color="auto"/>
            </w:tcBorders>
            <w:shd w:val="clear" w:color="000000" w:fill="FFFFFF"/>
            <w:noWrap/>
            <w:vAlign w:val="center"/>
            <w:hideMark/>
          </w:tcPr>
          <w:p w14:paraId="606BE3C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3.569837</w:t>
            </w:r>
          </w:p>
        </w:tc>
        <w:tc>
          <w:tcPr>
            <w:tcW w:w="966" w:type="dxa"/>
            <w:tcBorders>
              <w:top w:val="nil"/>
              <w:left w:val="nil"/>
              <w:bottom w:val="single" w:sz="4" w:space="0" w:color="auto"/>
              <w:right w:val="single" w:sz="4" w:space="0" w:color="auto"/>
            </w:tcBorders>
            <w:shd w:val="clear" w:color="000000" w:fill="FFFFFF"/>
            <w:noWrap/>
            <w:vAlign w:val="center"/>
            <w:hideMark/>
          </w:tcPr>
          <w:p w14:paraId="260F098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116.4866</w:t>
            </w:r>
          </w:p>
        </w:tc>
      </w:tr>
      <w:tr w:rsidR="00117F69" w:rsidRPr="0035519F" w14:paraId="09FADC51"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062A5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w:t>
            </w:r>
          </w:p>
        </w:tc>
        <w:tc>
          <w:tcPr>
            <w:tcW w:w="960" w:type="dxa"/>
            <w:tcBorders>
              <w:top w:val="nil"/>
              <w:left w:val="nil"/>
              <w:bottom w:val="single" w:sz="4" w:space="0" w:color="auto"/>
              <w:right w:val="single" w:sz="4" w:space="0" w:color="auto"/>
            </w:tcBorders>
            <w:shd w:val="clear" w:color="000000" w:fill="FFFFFF"/>
            <w:noWrap/>
            <w:vAlign w:val="center"/>
            <w:hideMark/>
          </w:tcPr>
          <w:p w14:paraId="4A93DAC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53C9F1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36</w:t>
            </w:r>
          </w:p>
        </w:tc>
        <w:tc>
          <w:tcPr>
            <w:tcW w:w="1022" w:type="dxa"/>
            <w:tcBorders>
              <w:top w:val="nil"/>
              <w:left w:val="nil"/>
              <w:bottom w:val="single" w:sz="4" w:space="0" w:color="auto"/>
              <w:right w:val="single" w:sz="4" w:space="0" w:color="auto"/>
            </w:tcBorders>
            <w:shd w:val="clear" w:color="000000" w:fill="FFFFFF"/>
            <w:noWrap/>
            <w:vAlign w:val="center"/>
            <w:hideMark/>
          </w:tcPr>
          <w:p w14:paraId="21B11C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101</w:t>
            </w:r>
          </w:p>
        </w:tc>
        <w:tc>
          <w:tcPr>
            <w:tcW w:w="950" w:type="dxa"/>
            <w:tcBorders>
              <w:top w:val="nil"/>
              <w:left w:val="nil"/>
              <w:bottom w:val="single" w:sz="4" w:space="0" w:color="auto"/>
              <w:right w:val="single" w:sz="4" w:space="0" w:color="auto"/>
            </w:tcBorders>
            <w:shd w:val="clear" w:color="000000" w:fill="FFFFFF"/>
            <w:noWrap/>
            <w:vAlign w:val="center"/>
            <w:hideMark/>
          </w:tcPr>
          <w:p w14:paraId="22AA318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763AA7BC"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4341D1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61.7</w:t>
            </w:r>
          </w:p>
        </w:tc>
        <w:tc>
          <w:tcPr>
            <w:tcW w:w="817" w:type="dxa"/>
            <w:tcBorders>
              <w:top w:val="nil"/>
              <w:left w:val="nil"/>
              <w:bottom w:val="single" w:sz="4" w:space="0" w:color="auto"/>
              <w:right w:val="single" w:sz="4" w:space="0" w:color="auto"/>
            </w:tcBorders>
            <w:shd w:val="clear" w:color="auto" w:fill="auto"/>
            <w:noWrap/>
            <w:vAlign w:val="center"/>
            <w:hideMark/>
          </w:tcPr>
          <w:p w14:paraId="4F00C65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6.46</w:t>
            </w:r>
          </w:p>
        </w:tc>
        <w:tc>
          <w:tcPr>
            <w:tcW w:w="966" w:type="dxa"/>
            <w:tcBorders>
              <w:top w:val="nil"/>
              <w:left w:val="nil"/>
              <w:bottom w:val="single" w:sz="4" w:space="0" w:color="auto"/>
              <w:right w:val="single" w:sz="4" w:space="0" w:color="auto"/>
            </w:tcBorders>
            <w:shd w:val="clear" w:color="000000" w:fill="FFFFFF"/>
            <w:noWrap/>
            <w:vAlign w:val="center"/>
            <w:hideMark/>
          </w:tcPr>
          <w:p w14:paraId="6BC4D7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0.984153</w:t>
            </w:r>
          </w:p>
        </w:tc>
        <w:tc>
          <w:tcPr>
            <w:tcW w:w="966" w:type="dxa"/>
            <w:tcBorders>
              <w:top w:val="nil"/>
              <w:left w:val="nil"/>
              <w:bottom w:val="single" w:sz="4" w:space="0" w:color="auto"/>
              <w:right w:val="single" w:sz="4" w:space="0" w:color="auto"/>
            </w:tcBorders>
            <w:shd w:val="clear" w:color="000000" w:fill="FFFFFF"/>
            <w:noWrap/>
            <w:vAlign w:val="center"/>
            <w:hideMark/>
          </w:tcPr>
          <w:p w14:paraId="7988A3A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371.9793</w:t>
            </w:r>
          </w:p>
        </w:tc>
      </w:tr>
      <w:tr w:rsidR="00117F69" w:rsidRPr="0035519F" w14:paraId="01A0E1E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7E2CE2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530B163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B5F2AD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3CFB808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103</w:t>
            </w:r>
          </w:p>
        </w:tc>
        <w:tc>
          <w:tcPr>
            <w:tcW w:w="950" w:type="dxa"/>
            <w:tcBorders>
              <w:top w:val="nil"/>
              <w:left w:val="nil"/>
              <w:bottom w:val="single" w:sz="4" w:space="0" w:color="auto"/>
              <w:right w:val="single" w:sz="4" w:space="0" w:color="auto"/>
            </w:tcBorders>
            <w:shd w:val="clear" w:color="000000" w:fill="FFFFFF"/>
            <w:noWrap/>
            <w:vAlign w:val="center"/>
            <w:hideMark/>
          </w:tcPr>
          <w:p w14:paraId="177E8F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6D5EFC91"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00C2B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43.5</w:t>
            </w:r>
          </w:p>
        </w:tc>
        <w:tc>
          <w:tcPr>
            <w:tcW w:w="817" w:type="dxa"/>
            <w:tcBorders>
              <w:top w:val="nil"/>
              <w:left w:val="nil"/>
              <w:bottom w:val="single" w:sz="4" w:space="0" w:color="auto"/>
              <w:right w:val="single" w:sz="4" w:space="0" w:color="auto"/>
            </w:tcBorders>
            <w:shd w:val="clear" w:color="auto" w:fill="auto"/>
            <w:noWrap/>
            <w:vAlign w:val="center"/>
            <w:hideMark/>
          </w:tcPr>
          <w:p w14:paraId="1DF7664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966" w:type="dxa"/>
            <w:tcBorders>
              <w:top w:val="nil"/>
              <w:left w:val="nil"/>
              <w:bottom w:val="single" w:sz="4" w:space="0" w:color="auto"/>
              <w:right w:val="single" w:sz="4" w:space="0" w:color="auto"/>
            </w:tcBorders>
            <w:shd w:val="clear" w:color="000000" w:fill="FFFFFF"/>
            <w:noWrap/>
            <w:vAlign w:val="center"/>
            <w:hideMark/>
          </w:tcPr>
          <w:p w14:paraId="371C740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3.437037</w:t>
            </w:r>
          </w:p>
        </w:tc>
        <w:tc>
          <w:tcPr>
            <w:tcW w:w="966" w:type="dxa"/>
            <w:tcBorders>
              <w:top w:val="nil"/>
              <w:left w:val="nil"/>
              <w:bottom w:val="single" w:sz="4" w:space="0" w:color="auto"/>
              <w:right w:val="single" w:sz="4" w:space="0" w:color="auto"/>
            </w:tcBorders>
            <w:shd w:val="clear" w:color="000000" w:fill="FFFFFF"/>
            <w:noWrap/>
            <w:vAlign w:val="center"/>
            <w:hideMark/>
          </w:tcPr>
          <w:p w14:paraId="599D46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763.8271</w:t>
            </w:r>
          </w:p>
        </w:tc>
      </w:tr>
      <w:tr w:rsidR="00117F69" w:rsidRPr="0035519F" w14:paraId="5343FE0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075A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7931269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6DA1F54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794AE66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w:t>
            </w:r>
          </w:p>
        </w:tc>
        <w:tc>
          <w:tcPr>
            <w:tcW w:w="950" w:type="dxa"/>
            <w:tcBorders>
              <w:top w:val="nil"/>
              <w:left w:val="nil"/>
              <w:bottom w:val="single" w:sz="4" w:space="0" w:color="auto"/>
              <w:right w:val="single" w:sz="4" w:space="0" w:color="auto"/>
            </w:tcBorders>
            <w:shd w:val="clear" w:color="000000" w:fill="FFFFFF"/>
            <w:noWrap/>
            <w:vAlign w:val="center"/>
            <w:hideMark/>
          </w:tcPr>
          <w:p w14:paraId="4974E5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490F230"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7A7F28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64.1</w:t>
            </w:r>
          </w:p>
        </w:tc>
        <w:tc>
          <w:tcPr>
            <w:tcW w:w="817" w:type="dxa"/>
            <w:tcBorders>
              <w:top w:val="nil"/>
              <w:left w:val="nil"/>
              <w:bottom w:val="single" w:sz="4" w:space="0" w:color="auto"/>
              <w:right w:val="single" w:sz="4" w:space="0" w:color="auto"/>
            </w:tcBorders>
            <w:shd w:val="clear" w:color="auto" w:fill="auto"/>
            <w:noWrap/>
            <w:vAlign w:val="center"/>
            <w:hideMark/>
          </w:tcPr>
          <w:p w14:paraId="310F1B4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7.31</w:t>
            </w:r>
          </w:p>
        </w:tc>
        <w:tc>
          <w:tcPr>
            <w:tcW w:w="966" w:type="dxa"/>
            <w:tcBorders>
              <w:top w:val="nil"/>
              <w:left w:val="nil"/>
              <w:bottom w:val="single" w:sz="4" w:space="0" w:color="auto"/>
              <w:right w:val="single" w:sz="4" w:space="0" w:color="auto"/>
            </w:tcBorders>
            <w:shd w:val="clear" w:color="000000" w:fill="FFFFFF"/>
            <w:noWrap/>
            <w:vAlign w:val="center"/>
            <w:hideMark/>
          </w:tcPr>
          <w:p w14:paraId="2B953EA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1.156965</w:t>
            </w:r>
          </w:p>
        </w:tc>
        <w:tc>
          <w:tcPr>
            <w:tcW w:w="966" w:type="dxa"/>
            <w:tcBorders>
              <w:top w:val="nil"/>
              <w:left w:val="nil"/>
              <w:bottom w:val="single" w:sz="4" w:space="0" w:color="auto"/>
              <w:right w:val="single" w:sz="4" w:space="0" w:color="auto"/>
            </w:tcBorders>
            <w:shd w:val="clear" w:color="000000" w:fill="FFFFFF"/>
            <w:noWrap/>
            <w:vAlign w:val="center"/>
            <w:hideMark/>
          </w:tcPr>
          <w:p w14:paraId="1791E6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43.6809</w:t>
            </w:r>
          </w:p>
        </w:tc>
      </w:tr>
      <w:tr w:rsidR="00117F69" w:rsidRPr="0035519F" w14:paraId="582639D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274803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w:t>
            </w:r>
          </w:p>
        </w:tc>
        <w:tc>
          <w:tcPr>
            <w:tcW w:w="960" w:type="dxa"/>
            <w:tcBorders>
              <w:top w:val="nil"/>
              <w:left w:val="nil"/>
              <w:bottom w:val="single" w:sz="4" w:space="0" w:color="auto"/>
              <w:right w:val="single" w:sz="4" w:space="0" w:color="auto"/>
            </w:tcBorders>
            <w:shd w:val="clear" w:color="000000" w:fill="FFFFFF"/>
            <w:noWrap/>
            <w:vAlign w:val="center"/>
            <w:hideMark/>
          </w:tcPr>
          <w:p w14:paraId="7A66E67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8A4371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w:t>
            </w:r>
          </w:p>
        </w:tc>
        <w:tc>
          <w:tcPr>
            <w:tcW w:w="1022" w:type="dxa"/>
            <w:tcBorders>
              <w:top w:val="nil"/>
              <w:left w:val="nil"/>
              <w:bottom w:val="single" w:sz="4" w:space="0" w:color="auto"/>
              <w:right w:val="single" w:sz="4" w:space="0" w:color="auto"/>
            </w:tcBorders>
            <w:shd w:val="clear" w:color="000000" w:fill="FFFFFF"/>
            <w:noWrap/>
            <w:vAlign w:val="center"/>
            <w:hideMark/>
          </w:tcPr>
          <w:p w14:paraId="2EE1B7A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88</w:t>
            </w:r>
          </w:p>
        </w:tc>
        <w:tc>
          <w:tcPr>
            <w:tcW w:w="950" w:type="dxa"/>
            <w:tcBorders>
              <w:top w:val="nil"/>
              <w:left w:val="nil"/>
              <w:bottom w:val="single" w:sz="4" w:space="0" w:color="auto"/>
              <w:right w:val="single" w:sz="4" w:space="0" w:color="auto"/>
            </w:tcBorders>
            <w:shd w:val="clear" w:color="000000" w:fill="FFFFFF"/>
            <w:noWrap/>
            <w:vAlign w:val="center"/>
            <w:hideMark/>
          </w:tcPr>
          <w:p w14:paraId="244E92A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755BD69E"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F456B1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48</w:t>
            </w:r>
          </w:p>
        </w:tc>
        <w:tc>
          <w:tcPr>
            <w:tcW w:w="817" w:type="dxa"/>
            <w:tcBorders>
              <w:top w:val="nil"/>
              <w:left w:val="nil"/>
              <w:bottom w:val="single" w:sz="4" w:space="0" w:color="auto"/>
              <w:right w:val="single" w:sz="4" w:space="0" w:color="auto"/>
            </w:tcBorders>
            <w:shd w:val="clear" w:color="auto" w:fill="auto"/>
            <w:noWrap/>
            <w:vAlign w:val="center"/>
            <w:hideMark/>
          </w:tcPr>
          <w:p w14:paraId="0529A58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15.48</w:t>
            </w:r>
          </w:p>
        </w:tc>
        <w:tc>
          <w:tcPr>
            <w:tcW w:w="966" w:type="dxa"/>
            <w:tcBorders>
              <w:top w:val="nil"/>
              <w:left w:val="nil"/>
              <w:bottom w:val="single" w:sz="4" w:space="0" w:color="auto"/>
              <w:right w:val="single" w:sz="4" w:space="0" w:color="auto"/>
            </w:tcBorders>
            <w:shd w:val="clear" w:color="000000" w:fill="FFFFFF"/>
            <w:noWrap/>
            <w:vAlign w:val="center"/>
            <w:hideMark/>
          </w:tcPr>
          <w:p w14:paraId="29BFD5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1.834667</w:t>
            </w:r>
          </w:p>
        </w:tc>
        <w:tc>
          <w:tcPr>
            <w:tcW w:w="966" w:type="dxa"/>
            <w:tcBorders>
              <w:top w:val="nil"/>
              <w:left w:val="nil"/>
              <w:bottom w:val="single" w:sz="4" w:space="0" w:color="auto"/>
              <w:right w:val="single" w:sz="4" w:space="0" w:color="auto"/>
            </w:tcBorders>
            <w:shd w:val="clear" w:color="000000" w:fill="FFFFFF"/>
            <w:noWrap/>
            <w:vAlign w:val="center"/>
            <w:hideMark/>
          </w:tcPr>
          <w:p w14:paraId="3F7074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42.12307</w:t>
            </w:r>
          </w:p>
        </w:tc>
      </w:tr>
      <w:tr w:rsidR="00117F69" w:rsidRPr="0035519F" w14:paraId="4BA6B56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D85D63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w:t>
            </w:r>
          </w:p>
        </w:tc>
        <w:tc>
          <w:tcPr>
            <w:tcW w:w="960" w:type="dxa"/>
            <w:tcBorders>
              <w:top w:val="nil"/>
              <w:left w:val="nil"/>
              <w:bottom w:val="single" w:sz="4" w:space="0" w:color="auto"/>
              <w:right w:val="single" w:sz="4" w:space="0" w:color="auto"/>
            </w:tcBorders>
            <w:shd w:val="clear" w:color="000000" w:fill="FFFFFF"/>
            <w:noWrap/>
            <w:vAlign w:val="center"/>
            <w:hideMark/>
          </w:tcPr>
          <w:p w14:paraId="2278693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068CC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1022" w:type="dxa"/>
            <w:tcBorders>
              <w:top w:val="nil"/>
              <w:left w:val="nil"/>
              <w:bottom w:val="single" w:sz="4" w:space="0" w:color="auto"/>
              <w:right w:val="single" w:sz="4" w:space="0" w:color="auto"/>
            </w:tcBorders>
            <w:shd w:val="clear" w:color="000000" w:fill="FFFFFF"/>
            <w:noWrap/>
            <w:vAlign w:val="center"/>
            <w:hideMark/>
          </w:tcPr>
          <w:p w14:paraId="4F7D17B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w:t>
            </w:r>
          </w:p>
        </w:tc>
        <w:tc>
          <w:tcPr>
            <w:tcW w:w="950" w:type="dxa"/>
            <w:tcBorders>
              <w:top w:val="nil"/>
              <w:left w:val="nil"/>
              <w:bottom w:val="single" w:sz="4" w:space="0" w:color="auto"/>
              <w:right w:val="single" w:sz="4" w:space="0" w:color="auto"/>
            </w:tcBorders>
            <w:shd w:val="clear" w:color="000000" w:fill="FFFFFF"/>
            <w:noWrap/>
            <w:vAlign w:val="center"/>
            <w:hideMark/>
          </w:tcPr>
          <w:p w14:paraId="0D02B78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C483A58"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39F31C8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50.7</w:t>
            </w:r>
          </w:p>
        </w:tc>
        <w:tc>
          <w:tcPr>
            <w:tcW w:w="817" w:type="dxa"/>
            <w:tcBorders>
              <w:top w:val="nil"/>
              <w:left w:val="nil"/>
              <w:bottom w:val="single" w:sz="4" w:space="0" w:color="auto"/>
              <w:right w:val="single" w:sz="4" w:space="0" w:color="auto"/>
            </w:tcBorders>
            <w:shd w:val="clear" w:color="auto" w:fill="auto"/>
            <w:noWrap/>
            <w:vAlign w:val="center"/>
            <w:hideMark/>
          </w:tcPr>
          <w:p w14:paraId="3E9B649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4.76</w:t>
            </w:r>
          </w:p>
        </w:tc>
        <w:tc>
          <w:tcPr>
            <w:tcW w:w="966" w:type="dxa"/>
            <w:tcBorders>
              <w:top w:val="nil"/>
              <w:left w:val="nil"/>
              <w:bottom w:val="single" w:sz="4" w:space="0" w:color="auto"/>
              <w:right w:val="single" w:sz="4" w:space="0" w:color="auto"/>
            </w:tcBorders>
            <w:shd w:val="clear" w:color="000000" w:fill="FFFFFF"/>
            <w:noWrap/>
            <w:vAlign w:val="center"/>
            <w:hideMark/>
          </w:tcPr>
          <w:p w14:paraId="6A6E584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0.595881</w:t>
            </w:r>
          </w:p>
        </w:tc>
        <w:tc>
          <w:tcPr>
            <w:tcW w:w="966" w:type="dxa"/>
            <w:tcBorders>
              <w:top w:val="nil"/>
              <w:left w:val="nil"/>
              <w:bottom w:val="single" w:sz="4" w:space="0" w:color="auto"/>
              <w:right w:val="single" w:sz="4" w:space="0" w:color="auto"/>
            </w:tcBorders>
            <w:shd w:val="clear" w:color="000000" w:fill="FFFFFF"/>
            <w:noWrap/>
            <w:vAlign w:val="center"/>
            <w:hideMark/>
          </w:tcPr>
          <w:p w14:paraId="263EA0A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119.3978</w:t>
            </w:r>
          </w:p>
        </w:tc>
      </w:tr>
      <w:tr w:rsidR="00117F69" w:rsidRPr="0035519F" w14:paraId="382EB80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58954B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w:t>
            </w:r>
          </w:p>
        </w:tc>
        <w:tc>
          <w:tcPr>
            <w:tcW w:w="960" w:type="dxa"/>
            <w:tcBorders>
              <w:top w:val="nil"/>
              <w:left w:val="nil"/>
              <w:bottom w:val="single" w:sz="4" w:space="0" w:color="auto"/>
              <w:right w:val="single" w:sz="4" w:space="0" w:color="auto"/>
            </w:tcBorders>
            <w:shd w:val="clear" w:color="000000" w:fill="FFFFFF"/>
            <w:noWrap/>
            <w:vAlign w:val="center"/>
            <w:hideMark/>
          </w:tcPr>
          <w:p w14:paraId="1083710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1D93179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2EFDE3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w:t>
            </w:r>
          </w:p>
        </w:tc>
        <w:tc>
          <w:tcPr>
            <w:tcW w:w="950" w:type="dxa"/>
            <w:tcBorders>
              <w:top w:val="nil"/>
              <w:left w:val="nil"/>
              <w:bottom w:val="single" w:sz="4" w:space="0" w:color="auto"/>
              <w:right w:val="single" w:sz="4" w:space="0" w:color="auto"/>
            </w:tcBorders>
            <w:shd w:val="clear" w:color="000000" w:fill="FFFFFF"/>
            <w:noWrap/>
            <w:vAlign w:val="center"/>
            <w:hideMark/>
          </w:tcPr>
          <w:p w14:paraId="5D10CD81"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8A8A9C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986F27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64.3</w:t>
            </w:r>
          </w:p>
        </w:tc>
        <w:tc>
          <w:tcPr>
            <w:tcW w:w="817" w:type="dxa"/>
            <w:tcBorders>
              <w:top w:val="nil"/>
              <w:left w:val="nil"/>
              <w:bottom w:val="single" w:sz="4" w:space="0" w:color="auto"/>
              <w:right w:val="single" w:sz="4" w:space="0" w:color="auto"/>
            </w:tcBorders>
            <w:shd w:val="clear" w:color="auto" w:fill="auto"/>
            <w:noWrap/>
            <w:vAlign w:val="center"/>
            <w:hideMark/>
          </w:tcPr>
          <w:p w14:paraId="390FB22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7.87</w:t>
            </w:r>
          </w:p>
        </w:tc>
        <w:tc>
          <w:tcPr>
            <w:tcW w:w="966" w:type="dxa"/>
            <w:tcBorders>
              <w:top w:val="nil"/>
              <w:left w:val="nil"/>
              <w:bottom w:val="single" w:sz="4" w:space="0" w:color="auto"/>
              <w:right w:val="single" w:sz="4" w:space="0" w:color="auto"/>
            </w:tcBorders>
            <w:shd w:val="clear" w:color="000000" w:fill="FFFFFF"/>
            <w:noWrap/>
            <w:vAlign w:val="center"/>
            <w:hideMark/>
          </w:tcPr>
          <w:p w14:paraId="2A31E7C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1.249484</w:t>
            </w:r>
          </w:p>
        </w:tc>
        <w:tc>
          <w:tcPr>
            <w:tcW w:w="966" w:type="dxa"/>
            <w:tcBorders>
              <w:top w:val="nil"/>
              <w:left w:val="nil"/>
              <w:bottom w:val="single" w:sz="4" w:space="0" w:color="auto"/>
              <w:right w:val="single" w:sz="4" w:space="0" w:color="auto"/>
            </w:tcBorders>
            <w:shd w:val="clear" w:color="000000" w:fill="FFFFFF"/>
            <w:noWrap/>
            <w:vAlign w:val="center"/>
            <w:hideMark/>
          </w:tcPr>
          <w:p w14:paraId="579632F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287.7234</w:t>
            </w:r>
          </w:p>
        </w:tc>
      </w:tr>
      <w:tr w:rsidR="00117F69" w:rsidRPr="0035519F" w14:paraId="61FC6F9E"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356AD2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w:t>
            </w:r>
          </w:p>
        </w:tc>
        <w:tc>
          <w:tcPr>
            <w:tcW w:w="960" w:type="dxa"/>
            <w:tcBorders>
              <w:top w:val="nil"/>
              <w:left w:val="nil"/>
              <w:bottom w:val="single" w:sz="4" w:space="0" w:color="auto"/>
              <w:right w:val="single" w:sz="4" w:space="0" w:color="auto"/>
            </w:tcBorders>
            <w:shd w:val="clear" w:color="000000" w:fill="FFFFFF"/>
            <w:noWrap/>
            <w:vAlign w:val="center"/>
            <w:hideMark/>
          </w:tcPr>
          <w:p w14:paraId="5F3D650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1593E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67D174E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w:t>
            </w:r>
          </w:p>
        </w:tc>
        <w:tc>
          <w:tcPr>
            <w:tcW w:w="950" w:type="dxa"/>
            <w:tcBorders>
              <w:top w:val="nil"/>
              <w:left w:val="nil"/>
              <w:bottom w:val="single" w:sz="4" w:space="0" w:color="auto"/>
              <w:right w:val="single" w:sz="4" w:space="0" w:color="auto"/>
            </w:tcBorders>
            <w:shd w:val="clear" w:color="000000" w:fill="FFFFFF"/>
            <w:noWrap/>
            <w:vAlign w:val="center"/>
            <w:hideMark/>
          </w:tcPr>
          <w:p w14:paraId="697DABD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5361141"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6409C4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62.4</w:t>
            </w:r>
          </w:p>
        </w:tc>
        <w:tc>
          <w:tcPr>
            <w:tcW w:w="817" w:type="dxa"/>
            <w:tcBorders>
              <w:top w:val="nil"/>
              <w:left w:val="nil"/>
              <w:bottom w:val="single" w:sz="4" w:space="0" w:color="auto"/>
              <w:right w:val="single" w:sz="4" w:space="0" w:color="auto"/>
            </w:tcBorders>
            <w:shd w:val="clear" w:color="auto" w:fill="auto"/>
            <w:noWrap/>
            <w:vAlign w:val="center"/>
            <w:hideMark/>
          </w:tcPr>
          <w:p w14:paraId="07B8AD2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11.6</w:t>
            </w:r>
          </w:p>
        </w:tc>
        <w:tc>
          <w:tcPr>
            <w:tcW w:w="966" w:type="dxa"/>
            <w:tcBorders>
              <w:top w:val="nil"/>
              <w:left w:val="nil"/>
              <w:bottom w:val="single" w:sz="4" w:space="0" w:color="auto"/>
              <w:right w:val="single" w:sz="4" w:space="0" w:color="auto"/>
            </w:tcBorders>
            <w:shd w:val="clear" w:color="000000" w:fill="FFFFFF"/>
            <w:noWrap/>
            <w:vAlign w:val="center"/>
            <w:hideMark/>
          </w:tcPr>
          <w:p w14:paraId="52D6BA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1.787259</w:t>
            </w:r>
          </w:p>
        </w:tc>
        <w:tc>
          <w:tcPr>
            <w:tcW w:w="966" w:type="dxa"/>
            <w:tcBorders>
              <w:top w:val="nil"/>
              <w:left w:val="nil"/>
              <w:bottom w:val="single" w:sz="4" w:space="0" w:color="auto"/>
              <w:right w:val="single" w:sz="4" w:space="0" w:color="auto"/>
            </w:tcBorders>
            <w:shd w:val="clear" w:color="000000" w:fill="FFFFFF"/>
            <w:noWrap/>
            <w:vAlign w:val="center"/>
            <w:hideMark/>
          </w:tcPr>
          <w:p w14:paraId="12BFC5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310.0408</w:t>
            </w:r>
          </w:p>
        </w:tc>
      </w:tr>
      <w:tr w:rsidR="00117F69" w:rsidRPr="0035519F" w14:paraId="5E59ED8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52EE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w:t>
            </w:r>
          </w:p>
        </w:tc>
        <w:tc>
          <w:tcPr>
            <w:tcW w:w="960" w:type="dxa"/>
            <w:tcBorders>
              <w:top w:val="nil"/>
              <w:left w:val="nil"/>
              <w:bottom w:val="single" w:sz="4" w:space="0" w:color="auto"/>
              <w:right w:val="single" w:sz="4" w:space="0" w:color="auto"/>
            </w:tcBorders>
            <w:shd w:val="clear" w:color="000000" w:fill="FFFFFF"/>
            <w:noWrap/>
            <w:vAlign w:val="center"/>
            <w:hideMark/>
          </w:tcPr>
          <w:p w14:paraId="049624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0F0E082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285B0DB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w:t>
            </w:r>
          </w:p>
        </w:tc>
        <w:tc>
          <w:tcPr>
            <w:tcW w:w="950" w:type="dxa"/>
            <w:tcBorders>
              <w:top w:val="nil"/>
              <w:left w:val="nil"/>
              <w:bottom w:val="single" w:sz="4" w:space="0" w:color="auto"/>
              <w:right w:val="single" w:sz="4" w:space="0" w:color="auto"/>
            </w:tcBorders>
            <w:shd w:val="clear" w:color="000000" w:fill="FFFFFF"/>
            <w:noWrap/>
            <w:vAlign w:val="center"/>
            <w:hideMark/>
          </w:tcPr>
          <w:p w14:paraId="482B027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50B9F20"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19E4521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88.4</w:t>
            </w:r>
          </w:p>
        </w:tc>
        <w:tc>
          <w:tcPr>
            <w:tcW w:w="817" w:type="dxa"/>
            <w:tcBorders>
              <w:top w:val="nil"/>
              <w:left w:val="nil"/>
              <w:bottom w:val="single" w:sz="4" w:space="0" w:color="auto"/>
              <w:right w:val="single" w:sz="4" w:space="0" w:color="auto"/>
            </w:tcBorders>
            <w:shd w:val="clear" w:color="auto" w:fill="auto"/>
            <w:noWrap/>
            <w:vAlign w:val="center"/>
            <w:hideMark/>
          </w:tcPr>
          <w:p w14:paraId="672CF59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11.17</w:t>
            </w:r>
          </w:p>
        </w:tc>
        <w:tc>
          <w:tcPr>
            <w:tcW w:w="966" w:type="dxa"/>
            <w:tcBorders>
              <w:top w:val="nil"/>
              <w:left w:val="nil"/>
              <w:bottom w:val="single" w:sz="4" w:space="0" w:color="auto"/>
              <w:right w:val="single" w:sz="4" w:space="0" w:color="auto"/>
            </w:tcBorders>
            <w:shd w:val="clear" w:color="000000" w:fill="FFFFFF"/>
            <w:noWrap/>
            <w:vAlign w:val="center"/>
            <w:hideMark/>
          </w:tcPr>
          <w:p w14:paraId="42D5C00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2.438094</w:t>
            </w:r>
          </w:p>
        </w:tc>
        <w:tc>
          <w:tcPr>
            <w:tcW w:w="966" w:type="dxa"/>
            <w:tcBorders>
              <w:top w:val="nil"/>
              <w:left w:val="nil"/>
              <w:bottom w:val="single" w:sz="4" w:space="0" w:color="auto"/>
              <w:right w:val="single" w:sz="4" w:space="0" w:color="auto"/>
            </w:tcBorders>
            <w:shd w:val="clear" w:color="000000" w:fill="FFFFFF"/>
            <w:noWrap/>
            <w:vAlign w:val="center"/>
            <w:hideMark/>
          </w:tcPr>
          <w:p w14:paraId="1D33914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459.6917</w:t>
            </w:r>
          </w:p>
        </w:tc>
      </w:tr>
      <w:tr w:rsidR="00117F69" w:rsidRPr="0035519F" w14:paraId="6768E0EF"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AF9EA2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w:t>
            </w:r>
          </w:p>
        </w:tc>
        <w:tc>
          <w:tcPr>
            <w:tcW w:w="960" w:type="dxa"/>
            <w:tcBorders>
              <w:top w:val="nil"/>
              <w:left w:val="nil"/>
              <w:bottom w:val="single" w:sz="4" w:space="0" w:color="auto"/>
              <w:right w:val="single" w:sz="4" w:space="0" w:color="auto"/>
            </w:tcBorders>
            <w:shd w:val="clear" w:color="000000" w:fill="FFFFFF"/>
            <w:noWrap/>
            <w:vAlign w:val="center"/>
            <w:hideMark/>
          </w:tcPr>
          <w:p w14:paraId="20987DB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151A80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34B379B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w:t>
            </w:r>
          </w:p>
        </w:tc>
        <w:tc>
          <w:tcPr>
            <w:tcW w:w="950" w:type="dxa"/>
            <w:tcBorders>
              <w:top w:val="nil"/>
              <w:left w:val="nil"/>
              <w:bottom w:val="single" w:sz="4" w:space="0" w:color="auto"/>
              <w:right w:val="single" w:sz="4" w:space="0" w:color="auto"/>
            </w:tcBorders>
            <w:shd w:val="clear" w:color="000000" w:fill="FFFFFF"/>
            <w:noWrap/>
            <w:vAlign w:val="center"/>
            <w:hideMark/>
          </w:tcPr>
          <w:p w14:paraId="64512CA2"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192A23D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0AC97B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87.6</w:t>
            </w:r>
          </w:p>
        </w:tc>
        <w:tc>
          <w:tcPr>
            <w:tcW w:w="817" w:type="dxa"/>
            <w:tcBorders>
              <w:top w:val="nil"/>
              <w:left w:val="nil"/>
              <w:bottom w:val="single" w:sz="4" w:space="0" w:color="auto"/>
              <w:right w:val="single" w:sz="4" w:space="0" w:color="auto"/>
            </w:tcBorders>
            <w:shd w:val="clear" w:color="auto" w:fill="auto"/>
            <w:noWrap/>
            <w:vAlign w:val="center"/>
            <w:hideMark/>
          </w:tcPr>
          <w:p w14:paraId="78440C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14.93</w:t>
            </w:r>
          </w:p>
        </w:tc>
        <w:tc>
          <w:tcPr>
            <w:tcW w:w="966" w:type="dxa"/>
            <w:tcBorders>
              <w:top w:val="nil"/>
              <w:left w:val="nil"/>
              <w:bottom w:val="single" w:sz="4" w:space="0" w:color="auto"/>
              <w:right w:val="single" w:sz="4" w:space="0" w:color="auto"/>
            </w:tcBorders>
            <w:shd w:val="clear" w:color="000000" w:fill="FFFFFF"/>
            <w:noWrap/>
            <w:vAlign w:val="center"/>
            <w:hideMark/>
          </w:tcPr>
          <w:p w14:paraId="659ED65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3.229304</w:t>
            </w:r>
          </w:p>
        </w:tc>
        <w:tc>
          <w:tcPr>
            <w:tcW w:w="966" w:type="dxa"/>
            <w:tcBorders>
              <w:top w:val="nil"/>
              <w:left w:val="nil"/>
              <w:bottom w:val="single" w:sz="4" w:space="0" w:color="auto"/>
              <w:right w:val="single" w:sz="4" w:space="0" w:color="auto"/>
            </w:tcBorders>
            <w:shd w:val="clear" w:color="000000" w:fill="FFFFFF"/>
            <w:noWrap/>
            <w:vAlign w:val="center"/>
            <w:hideMark/>
          </w:tcPr>
          <w:p w14:paraId="1990E9D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412.9044</w:t>
            </w:r>
          </w:p>
        </w:tc>
      </w:tr>
      <w:tr w:rsidR="00117F69" w:rsidRPr="0035519F" w14:paraId="489FEE6F"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8A114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w:t>
            </w:r>
          </w:p>
        </w:tc>
        <w:tc>
          <w:tcPr>
            <w:tcW w:w="960" w:type="dxa"/>
            <w:tcBorders>
              <w:top w:val="nil"/>
              <w:left w:val="nil"/>
              <w:bottom w:val="single" w:sz="4" w:space="0" w:color="auto"/>
              <w:right w:val="single" w:sz="4" w:space="0" w:color="auto"/>
            </w:tcBorders>
            <w:shd w:val="clear" w:color="000000" w:fill="FFFFFF"/>
            <w:noWrap/>
            <w:vAlign w:val="center"/>
            <w:hideMark/>
          </w:tcPr>
          <w:p w14:paraId="74C4E20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4020D4B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468DD2D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w:t>
            </w:r>
          </w:p>
        </w:tc>
        <w:tc>
          <w:tcPr>
            <w:tcW w:w="950" w:type="dxa"/>
            <w:tcBorders>
              <w:top w:val="nil"/>
              <w:left w:val="nil"/>
              <w:bottom w:val="single" w:sz="4" w:space="0" w:color="auto"/>
              <w:right w:val="single" w:sz="4" w:space="0" w:color="auto"/>
            </w:tcBorders>
            <w:shd w:val="clear" w:color="000000" w:fill="FFFFFF"/>
            <w:noWrap/>
            <w:vAlign w:val="center"/>
            <w:hideMark/>
          </w:tcPr>
          <w:p w14:paraId="49DE51D4"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0F6160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BB890A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56.6</w:t>
            </w:r>
          </w:p>
        </w:tc>
        <w:tc>
          <w:tcPr>
            <w:tcW w:w="817" w:type="dxa"/>
            <w:tcBorders>
              <w:top w:val="nil"/>
              <w:left w:val="nil"/>
              <w:bottom w:val="single" w:sz="4" w:space="0" w:color="auto"/>
              <w:right w:val="single" w:sz="4" w:space="0" w:color="auto"/>
            </w:tcBorders>
            <w:shd w:val="clear" w:color="auto" w:fill="auto"/>
            <w:noWrap/>
            <w:vAlign w:val="center"/>
            <w:hideMark/>
          </w:tcPr>
          <w:p w14:paraId="6291CC1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5.12</w:t>
            </w:r>
          </w:p>
        </w:tc>
        <w:tc>
          <w:tcPr>
            <w:tcW w:w="966" w:type="dxa"/>
            <w:tcBorders>
              <w:top w:val="nil"/>
              <w:left w:val="nil"/>
              <w:bottom w:val="single" w:sz="4" w:space="0" w:color="auto"/>
              <w:right w:val="single" w:sz="4" w:space="0" w:color="auto"/>
            </w:tcBorders>
            <w:shd w:val="clear" w:color="000000" w:fill="FFFFFF"/>
            <w:noWrap/>
            <w:vAlign w:val="center"/>
            <w:hideMark/>
          </w:tcPr>
          <w:p w14:paraId="0E4FEA3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0.715536</w:t>
            </w:r>
          </w:p>
        </w:tc>
        <w:tc>
          <w:tcPr>
            <w:tcW w:w="966" w:type="dxa"/>
            <w:tcBorders>
              <w:top w:val="nil"/>
              <w:left w:val="nil"/>
              <w:bottom w:val="single" w:sz="4" w:space="0" w:color="auto"/>
              <w:right w:val="single" w:sz="4" w:space="0" w:color="auto"/>
            </w:tcBorders>
            <w:shd w:val="clear" w:color="000000" w:fill="FFFFFF"/>
            <w:noWrap/>
            <w:vAlign w:val="center"/>
            <w:hideMark/>
          </w:tcPr>
          <w:p w14:paraId="2AD857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165.6681</w:t>
            </w:r>
          </w:p>
        </w:tc>
      </w:tr>
      <w:tr w:rsidR="00117F69" w:rsidRPr="0035519F" w14:paraId="30962FD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A8AE46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w:t>
            </w:r>
          </w:p>
        </w:tc>
        <w:tc>
          <w:tcPr>
            <w:tcW w:w="960" w:type="dxa"/>
            <w:tcBorders>
              <w:top w:val="nil"/>
              <w:left w:val="nil"/>
              <w:bottom w:val="single" w:sz="4" w:space="0" w:color="auto"/>
              <w:right w:val="single" w:sz="4" w:space="0" w:color="auto"/>
            </w:tcBorders>
            <w:shd w:val="clear" w:color="000000" w:fill="FFFFFF"/>
            <w:noWrap/>
            <w:vAlign w:val="center"/>
            <w:hideMark/>
          </w:tcPr>
          <w:p w14:paraId="7D681EB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E6F95F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1022" w:type="dxa"/>
            <w:tcBorders>
              <w:top w:val="nil"/>
              <w:left w:val="nil"/>
              <w:bottom w:val="single" w:sz="4" w:space="0" w:color="auto"/>
              <w:right w:val="single" w:sz="4" w:space="0" w:color="auto"/>
            </w:tcBorders>
            <w:shd w:val="clear" w:color="000000" w:fill="FFFFFF"/>
            <w:noWrap/>
            <w:vAlign w:val="center"/>
            <w:hideMark/>
          </w:tcPr>
          <w:p w14:paraId="39D921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w:t>
            </w:r>
          </w:p>
        </w:tc>
        <w:tc>
          <w:tcPr>
            <w:tcW w:w="950" w:type="dxa"/>
            <w:tcBorders>
              <w:top w:val="nil"/>
              <w:left w:val="nil"/>
              <w:bottom w:val="single" w:sz="4" w:space="0" w:color="auto"/>
              <w:right w:val="single" w:sz="4" w:space="0" w:color="auto"/>
            </w:tcBorders>
            <w:shd w:val="clear" w:color="000000" w:fill="FFFFFF"/>
            <w:noWrap/>
            <w:vAlign w:val="center"/>
            <w:hideMark/>
          </w:tcPr>
          <w:p w14:paraId="59DAFCF6"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12750F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C5B022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87.8</w:t>
            </w:r>
          </w:p>
        </w:tc>
        <w:tc>
          <w:tcPr>
            <w:tcW w:w="817" w:type="dxa"/>
            <w:tcBorders>
              <w:top w:val="nil"/>
              <w:left w:val="nil"/>
              <w:bottom w:val="single" w:sz="4" w:space="0" w:color="auto"/>
              <w:right w:val="single" w:sz="4" w:space="0" w:color="auto"/>
            </w:tcBorders>
            <w:shd w:val="clear" w:color="auto" w:fill="auto"/>
            <w:noWrap/>
            <w:vAlign w:val="center"/>
            <w:hideMark/>
          </w:tcPr>
          <w:p w14:paraId="6A6D8E5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7.04</w:t>
            </w:r>
          </w:p>
        </w:tc>
        <w:tc>
          <w:tcPr>
            <w:tcW w:w="966" w:type="dxa"/>
            <w:tcBorders>
              <w:top w:val="nil"/>
              <w:left w:val="nil"/>
              <w:bottom w:val="single" w:sz="4" w:space="0" w:color="auto"/>
              <w:right w:val="single" w:sz="4" w:space="0" w:color="auto"/>
            </w:tcBorders>
            <w:shd w:val="clear" w:color="000000" w:fill="FFFFFF"/>
            <w:noWrap/>
            <w:vAlign w:val="center"/>
            <w:hideMark/>
          </w:tcPr>
          <w:p w14:paraId="07FB98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1.526202</w:t>
            </w:r>
          </w:p>
        </w:tc>
        <w:tc>
          <w:tcPr>
            <w:tcW w:w="966" w:type="dxa"/>
            <w:tcBorders>
              <w:top w:val="nil"/>
              <w:left w:val="nil"/>
              <w:bottom w:val="single" w:sz="4" w:space="0" w:color="auto"/>
              <w:right w:val="single" w:sz="4" w:space="0" w:color="auto"/>
            </w:tcBorders>
            <w:shd w:val="clear" w:color="000000" w:fill="FFFFFF"/>
            <w:noWrap/>
            <w:vAlign w:val="center"/>
            <w:hideMark/>
          </w:tcPr>
          <w:p w14:paraId="5A274BD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1360.439</w:t>
            </w:r>
          </w:p>
        </w:tc>
      </w:tr>
      <w:tr w:rsidR="00117F69" w:rsidRPr="0035519F" w14:paraId="1DB4D54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B6C4D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w:t>
            </w:r>
          </w:p>
        </w:tc>
        <w:tc>
          <w:tcPr>
            <w:tcW w:w="960" w:type="dxa"/>
            <w:tcBorders>
              <w:top w:val="nil"/>
              <w:left w:val="nil"/>
              <w:bottom w:val="single" w:sz="4" w:space="0" w:color="auto"/>
              <w:right w:val="single" w:sz="4" w:space="0" w:color="auto"/>
            </w:tcBorders>
            <w:shd w:val="clear" w:color="000000" w:fill="FFFFFF"/>
            <w:noWrap/>
            <w:vAlign w:val="center"/>
            <w:hideMark/>
          </w:tcPr>
          <w:p w14:paraId="5AAA559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3A2EB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1022" w:type="dxa"/>
            <w:tcBorders>
              <w:top w:val="nil"/>
              <w:left w:val="nil"/>
              <w:bottom w:val="single" w:sz="4" w:space="0" w:color="auto"/>
              <w:right w:val="single" w:sz="4" w:space="0" w:color="auto"/>
            </w:tcBorders>
            <w:shd w:val="clear" w:color="000000" w:fill="FFFFFF"/>
            <w:noWrap/>
            <w:vAlign w:val="center"/>
            <w:hideMark/>
          </w:tcPr>
          <w:p w14:paraId="2C33950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w:t>
            </w:r>
          </w:p>
        </w:tc>
        <w:tc>
          <w:tcPr>
            <w:tcW w:w="950" w:type="dxa"/>
            <w:tcBorders>
              <w:top w:val="nil"/>
              <w:left w:val="nil"/>
              <w:bottom w:val="single" w:sz="4" w:space="0" w:color="auto"/>
              <w:right w:val="single" w:sz="4" w:space="0" w:color="auto"/>
            </w:tcBorders>
            <w:shd w:val="clear" w:color="000000" w:fill="FFFFFF"/>
            <w:noWrap/>
            <w:vAlign w:val="center"/>
            <w:hideMark/>
          </w:tcPr>
          <w:p w14:paraId="51E923B4"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80B9B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0550D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w:t>
            </w:r>
          </w:p>
        </w:tc>
        <w:tc>
          <w:tcPr>
            <w:tcW w:w="817" w:type="dxa"/>
            <w:tcBorders>
              <w:top w:val="nil"/>
              <w:left w:val="nil"/>
              <w:bottom w:val="single" w:sz="4" w:space="0" w:color="auto"/>
              <w:right w:val="single" w:sz="4" w:space="0" w:color="auto"/>
            </w:tcBorders>
            <w:shd w:val="clear" w:color="auto" w:fill="auto"/>
            <w:noWrap/>
            <w:vAlign w:val="center"/>
            <w:hideMark/>
          </w:tcPr>
          <w:p w14:paraId="09F35D3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4.15</w:t>
            </w:r>
          </w:p>
        </w:tc>
        <w:tc>
          <w:tcPr>
            <w:tcW w:w="966" w:type="dxa"/>
            <w:tcBorders>
              <w:top w:val="nil"/>
              <w:left w:val="nil"/>
              <w:bottom w:val="single" w:sz="4" w:space="0" w:color="auto"/>
              <w:right w:val="single" w:sz="4" w:space="0" w:color="auto"/>
            </w:tcBorders>
            <w:shd w:val="clear" w:color="000000" w:fill="FFFFFF"/>
            <w:noWrap/>
            <w:vAlign w:val="center"/>
            <w:hideMark/>
          </w:tcPr>
          <w:p w14:paraId="584CA5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0.635309</w:t>
            </w:r>
          </w:p>
        </w:tc>
        <w:tc>
          <w:tcPr>
            <w:tcW w:w="966" w:type="dxa"/>
            <w:tcBorders>
              <w:top w:val="nil"/>
              <w:left w:val="nil"/>
              <w:bottom w:val="single" w:sz="4" w:space="0" w:color="auto"/>
              <w:right w:val="single" w:sz="4" w:space="0" w:color="auto"/>
            </w:tcBorders>
            <w:shd w:val="clear" w:color="000000" w:fill="FFFFFF"/>
            <w:noWrap/>
            <w:vAlign w:val="center"/>
            <w:hideMark/>
          </w:tcPr>
          <w:p w14:paraId="0F67D7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70.03973</w:t>
            </w:r>
          </w:p>
        </w:tc>
      </w:tr>
      <w:tr w:rsidR="00117F69" w:rsidRPr="0035519F" w14:paraId="794A97E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6782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w:t>
            </w:r>
          </w:p>
        </w:tc>
        <w:tc>
          <w:tcPr>
            <w:tcW w:w="960" w:type="dxa"/>
            <w:tcBorders>
              <w:top w:val="nil"/>
              <w:left w:val="nil"/>
              <w:bottom w:val="single" w:sz="4" w:space="0" w:color="auto"/>
              <w:right w:val="single" w:sz="4" w:space="0" w:color="auto"/>
            </w:tcBorders>
            <w:shd w:val="clear" w:color="000000" w:fill="FFFFFF"/>
            <w:noWrap/>
            <w:vAlign w:val="center"/>
            <w:hideMark/>
          </w:tcPr>
          <w:p w14:paraId="471782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6C060E4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3F5F316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w:t>
            </w:r>
          </w:p>
        </w:tc>
        <w:tc>
          <w:tcPr>
            <w:tcW w:w="950" w:type="dxa"/>
            <w:tcBorders>
              <w:top w:val="nil"/>
              <w:left w:val="nil"/>
              <w:bottom w:val="single" w:sz="4" w:space="0" w:color="auto"/>
              <w:right w:val="single" w:sz="4" w:space="0" w:color="auto"/>
            </w:tcBorders>
            <w:shd w:val="clear" w:color="000000" w:fill="FFFFFF"/>
            <w:noWrap/>
            <w:vAlign w:val="center"/>
            <w:hideMark/>
          </w:tcPr>
          <w:p w14:paraId="41F82F3D"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9390EA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4CF4E2A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w:t>
            </w:r>
          </w:p>
        </w:tc>
        <w:tc>
          <w:tcPr>
            <w:tcW w:w="817" w:type="dxa"/>
            <w:tcBorders>
              <w:top w:val="nil"/>
              <w:left w:val="nil"/>
              <w:bottom w:val="single" w:sz="4" w:space="0" w:color="auto"/>
              <w:right w:val="single" w:sz="4" w:space="0" w:color="auto"/>
            </w:tcBorders>
            <w:shd w:val="clear" w:color="auto" w:fill="auto"/>
            <w:noWrap/>
            <w:vAlign w:val="center"/>
            <w:hideMark/>
          </w:tcPr>
          <w:p w14:paraId="69A9134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5.49</w:t>
            </w:r>
          </w:p>
        </w:tc>
        <w:tc>
          <w:tcPr>
            <w:tcW w:w="966" w:type="dxa"/>
            <w:tcBorders>
              <w:top w:val="nil"/>
              <w:left w:val="nil"/>
              <w:bottom w:val="single" w:sz="4" w:space="0" w:color="auto"/>
              <w:right w:val="single" w:sz="4" w:space="0" w:color="auto"/>
            </w:tcBorders>
            <w:shd w:val="clear" w:color="000000" w:fill="FFFFFF"/>
            <w:noWrap/>
            <w:vAlign w:val="center"/>
            <w:hideMark/>
          </w:tcPr>
          <w:p w14:paraId="1654DA5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0.826889</w:t>
            </w:r>
          </w:p>
        </w:tc>
        <w:tc>
          <w:tcPr>
            <w:tcW w:w="966" w:type="dxa"/>
            <w:tcBorders>
              <w:top w:val="nil"/>
              <w:left w:val="nil"/>
              <w:bottom w:val="single" w:sz="4" w:space="0" w:color="auto"/>
              <w:right w:val="single" w:sz="4" w:space="0" w:color="auto"/>
            </w:tcBorders>
            <w:shd w:val="clear" w:color="000000" w:fill="FFFFFF"/>
            <w:noWrap/>
            <w:vAlign w:val="center"/>
            <w:hideMark/>
          </w:tcPr>
          <w:p w14:paraId="50481B4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133.0704</w:t>
            </w:r>
          </w:p>
        </w:tc>
      </w:tr>
      <w:tr w:rsidR="00117F69" w:rsidRPr="0035519F" w14:paraId="2447537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B26C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w:t>
            </w:r>
          </w:p>
        </w:tc>
        <w:tc>
          <w:tcPr>
            <w:tcW w:w="960" w:type="dxa"/>
            <w:tcBorders>
              <w:top w:val="nil"/>
              <w:left w:val="nil"/>
              <w:bottom w:val="single" w:sz="4" w:space="0" w:color="auto"/>
              <w:right w:val="single" w:sz="4" w:space="0" w:color="auto"/>
            </w:tcBorders>
            <w:shd w:val="clear" w:color="000000" w:fill="FFFFFF"/>
            <w:noWrap/>
            <w:vAlign w:val="center"/>
            <w:hideMark/>
          </w:tcPr>
          <w:p w14:paraId="00F7A1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70C616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7102B2B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99</w:t>
            </w:r>
          </w:p>
        </w:tc>
        <w:tc>
          <w:tcPr>
            <w:tcW w:w="950" w:type="dxa"/>
            <w:tcBorders>
              <w:top w:val="nil"/>
              <w:left w:val="nil"/>
              <w:bottom w:val="single" w:sz="4" w:space="0" w:color="auto"/>
              <w:right w:val="single" w:sz="4" w:space="0" w:color="auto"/>
            </w:tcBorders>
            <w:shd w:val="clear" w:color="000000" w:fill="FFFFFF"/>
            <w:noWrap/>
            <w:vAlign w:val="center"/>
            <w:hideMark/>
          </w:tcPr>
          <w:p w14:paraId="0F8F288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2122A8C"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DF6E1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w:t>
            </w:r>
          </w:p>
        </w:tc>
        <w:tc>
          <w:tcPr>
            <w:tcW w:w="817" w:type="dxa"/>
            <w:tcBorders>
              <w:top w:val="nil"/>
              <w:left w:val="nil"/>
              <w:bottom w:val="single" w:sz="4" w:space="0" w:color="auto"/>
              <w:right w:val="single" w:sz="4" w:space="0" w:color="auto"/>
            </w:tcBorders>
            <w:shd w:val="clear" w:color="auto" w:fill="auto"/>
            <w:noWrap/>
            <w:vAlign w:val="center"/>
            <w:hideMark/>
          </w:tcPr>
          <w:p w14:paraId="53275F2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9.24</w:t>
            </w:r>
          </w:p>
        </w:tc>
        <w:tc>
          <w:tcPr>
            <w:tcW w:w="966" w:type="dxa"/>
            <w:tcBorders>
              <w:top w:val="nil"/>
              <w:left w:val="nil"/>
              <w:bottom w:val="single" w:sz="4" w:space="0" w:color="auto"/>
              <w:right w:val="single" w:sz="4" w:space="0" w:color="auto"/>
            </w:tcBorders>
            <w:shd w:val="clear" w:color="000000" w:fill="FFFFFF"/>
            <w:noWrap/>
            <w:vAlign w:val="center"/>
            <w:hideMark/>
          </w:tcPr>
          <w:p w14:paraId="287ADD9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1.505778</w:t>
            </w:r>
          </w:p>
        </w:tc>
        <w:tc>
          <w:tcPr>
            <w:tcW w:w="966" w:type="dxa"/>
            <w:tcBorders>
              <w:top w:val="nil"/>
              <w:left w:val="nil"/>
              <w:bottom w:val="single" w:sz="4" w:space="0" w:color="auto"/>
              <w:right w:val="single" w:sz="4" w:space="0" w:color="auto"/>
            </w:tcBorders>
            <w:shd w:val="clear" w:color="000000" w:fill="FFFFFF"/>
            <w:noWrap/>
            <w:vAlign w:val="center"/>
            <w:hideMark/>
          </w:tcPr>
          <w:p w14:paraId="0C93FC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272.2624</w:t>
            </w:r>
          </w:p>
        </w:tc>
      </w:tr>
      <w:tr w:rsidR="00117F69" w:rsidRPr="0035519F" w14:paraId="0FF4A4F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F58BCD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16</w:t>
            </w:r>
          </w:p>
        </w:tc>
        <w:tc>
          <w:tcPr>
            <w:tcW w:w="960" w:type="dxa"/>
            <w:tcBorders>
              <w:top w:val="nil"/>
              <w:left w:val="nil"/>
              <w:bottom w:val="single" w:sz="4" w:space="0" w:color="auto"/>
              <w:right w:val="single" w:sz="4" w:space="0" w:color="auto"/>
            </w:tcBorders>
            <w:shd w:val="clear" w:color="000000" w:fill="FFFFFF"/>
            <w:noWrap/>
            <w:vAlign w:val="center"/>
            <w:hideMark/>
          </w:tcPr>
          <w:p w14:paraId="6A52479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71908B5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513EB0F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96</w:t>
            </w:r>
          </w:p>
        </w:tc>
        <w:tc>
          <w:tcPr>
            <w:tcW w:w="950" w:type="dxa"/>
            <w:tcBorders>
              <w:top w:val="nil"/>
              <w:left w:val="nil"/>
              <w:bottom w:val="single" w:sz="4" w:space="0" w:color="auto"/>
              <w:right w:val="single" w:sz="4" w:space="0" w:color="auto"/>
            </w:tcBorders>
            <w:shd w:val="clear" w:color="000000" w:fill="FFFFFF"/>
            <w:noWrap/>
            <w:vAlign w:val="center"/>
            <w:hideMark/>
          </w:tcPr>
          <w:p w14:paraId="6D17F9A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4BD05FAB"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13F2F65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w:t>
            </w:r>
          </w:p>
        </w:tc>
        <w:tc>
          <w:tcPr>
            <w:tcW w:w="817" w:type="dxa"/>
            <w:tcBorders>
              <w:top w:val="nil"/>
              <w:left w:val="nil"/>
              <w:bottom w:val="single" w:sz="4" w:space="0" w:color="auto"/>
              <w:right w:val="single" w:sz="4" w:space="0" w:color="auto"/>
            </w:tcBorders>
            <w:shd w:val="clear" w:color="auto" w:fill="auto"/>
            <w:noWrap/>
            <w:vAlign w:val="center"/>
            <w:hideMark/>
          </w:tcPr>
          <w:p w14:paraId="6AE246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6.99</w:t>
            </w:r>
          </w:p>
        </w:tc>
        <w:tc>
          <w:tcPr>
            <w:tcW w:w="966" w:type="dxa"/>
            <w:tcBorders>
              <w:top w:val="nil"/>
              <w:left w:val="nil"/>
              <w:bottom w:val="single" w:sz="4" w:space="0" w:color="auto"/>
              <w:right w:val="single" w:sz="4" w:space="0" w:color="auto"/>
            </w:tcBorders>
            <w:shd w:val="clear" w:color="000000" w:fill="FFFFFF"/>
            <w:noWrap/>
            <w:vAlign w:val="center"/>
            <w:hideMark/>
          </w:tcPr>
          <w:p w14:paraId="05B461A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1.121852</w:t>
            </w:r>
          </w:p>
        </w:tc>
        <w:tc>
          <w:tcPr>
            <w:tcW w:w="966" w:type="dxa"/>
            <w:tcBorders>
              <w:top w:val="nil"/>
              <w:left w:val="nil"/>
              <w:bottom w:val="single" w:sz="4" w:space="0" w:color="auto"/>
              <w:right w:val="single" w:sz="4" w:space="0" w:color="auto"/>
            </w:tcBorders>
            <w:shd w:val="clear" w:color="000000" w:fill="FFFFFF"/>
            <w:noWrap/>
            <w:vAlign w:val="center"/>
            <w:hideMark/>
          </w:tcPr>
          <w:p w14:paraId="7412CAA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112.6588</w:t>
            </w:r>
          </w:p>
        </w:tc>
      </w:tr>
      <w:tr w:rsidR="00117F69" w:rsidRPr="0035519F" w14:paraId="57F433E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76836D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w:t>
            </w:r>
          </w:p>
        </w:tc>
        <w:tc>
          <w:tcPr>
            <w:tcW w:w="960" w:type="dxa"/>
            <w:tcBorders>
              <w:top w:val="nil"/>
              <w:left w:val="nil"/>
              <w:bottom w:val="single" w:sz="4" w:space="0" w:color="auto"/>
              <w:right w:val="single" w:sz="4" w:space="0" w:color="auto"/>
            </w:tcBorders>
            <w:shd w:val="clear" w:color="000000" w:fill="FFFFFF"/>
            <w:noWrap/>
            <w:vAlign w:val="center"/>
            <w:hideMark/>
          </w:tcPr>
          <w:p w14:paraId="340DDEE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32C3DB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2348AFD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94</w:t>
            </w:r>
          </w:p>
        </w:tc>
        <w:tc>
          <w:tcPr>
            <w:tcW w:w="950" w:type="dxa"/>
            <w:tcBorders>
              <w:top w:val="nil"/>
              <w:left w:val="nil"/>
              <w:bottom w:val="single" w:sz="4" w:space="0" w:color="auto"/>
              <w:right w:val="single" w:sz="4" w:space="0" w:color="auto"/>
            </w:tcBorders>
            <w:shd w:val="clear" w:color="000000" w:fill="FFFFFF"/>
            <w:noWrap/>
            <w:vAlign w:val="center"/>
            <w:hideMark/>
          </w:tcPr>
          <w:p w14:paraId="368E5F1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EE3A21F"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4DCF36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80.9</w:t>
            </w:r>
          </w:p>
        </w:tc>
        <w:tc>
          <w:tcPr>
            <w:tcW w:w="817" w:type="dxa"/>
            <w:tcBorders>
              <w:top w:val="nil"/>
              <w:left w:val="nil"/>
              <w:bottom w:val="single" w:sz="4" w:space="0" w:color="auto"/>
              <w:right w:val="single" w:sz="4" w:space="0" w:color="auto"/>
            </w:tcBorders>
            <w:shd w:val="clear" w:color="auto" w:fill="auto"/>
            <w:noWrap/>
            <w:vAlign w:val="center"/>
            <w:hideMark/>
          </w:tcPr>
          <w:p w14:paraId="217587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23.2</w:t>
            </w:r>
          </w:p>
        </w:tc>
        <w:tc>
          <w:tcPr>
            <w:tcW w:w="966" w:type="dxa"/>
            <w:tcBorders>
              <w:top w:val="nil"/>
              <w:left w:val="nil"/>
              <w:bottom w:val="single" w:sz="4" w:space="0" w:color="auto"/>
              <w:right w:val="single" w:sz="4" w:space="0" w:color="auto"/>
            </w:tcBorders>
            <w:shd w:val="clear" w:color="000000" w:fill="FFFFFF"/>
            <w:noWrap/>
            <w:vAlign w:val="center"/>
            <w:hideMark/>
          </w:tcPr>
          <w:p w14:paraId="34D6425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4.634272</w:t>
            </w:r>
          </w:p>
        </w:tc>
        <w:tc>
          <w:tcPr>
            <w:tcW w:w="966" w:type="dxa"/>
            <w:tcBorders>
              <w:top w:val="nil"/>
              <w:left w:val="nil"/>
              <w:bottom w:val="single" w:sz="4" w:space="0" w:color="auto"/>
              <w:right w:val="single" w:sz="4" w:space="0" w:color="auto"/>
            </w:tcBorders>
            <w:shd w:val="clear" w:color="000000" w:fill="FFFFFF"/>
            <w:noWrap/>
            <w:vAlign w:val="center"/>
            <w:hideMark/>
          </w:tcPr>
          <w:p w14:paraId="1ABCCC3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39.16768</w:t>
            </w:r>
          </w:p>
        </w:tc>
      </w:tr>
      <w:tr w:rsidR="00117F69" w:rsidRPr="0035519F" w14:paraId="301F9D8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78D6E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w:t>
            </w:r>
          </w:p>
        </w:tc>
        <w:tc>
          <w:tcPr>
            <w:tcW w:w="960" w:type="dxa"/>
            <w:tcBorders>
              <w:top w:val="nil"/>
              <w:left w:val="nil"/>
              <w:bottom w:val="single" w:sz="4" w:space="0" w:color="auto"/>
              <w:right w:val="single" w:sz="4" w:space="0" w:color="auto"/>
            </w:tcBorders>
            <w:shd w:val="clear" w:color="000000" w:fill="FFFFFF"/>
            <w:noWrap/>
            <w:vAlign w:val="center"/>
            <w:hideMark/>
          </w:tcPr>
          <w:p w14:paraId="0CDA150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56623C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5A769E5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89</w:t>
            </w:r>
          </w:p>
        </w:tc>
        <w:tc>
          <w:tcPr>
            <w:tcW w:w="950" w:type="dxa"/>
            <w:tcBorders>
              <w:top w:val="nil"/>
              <w:left w:val="nil"/>
              <w:bottom w:val="single" w:sz="4" w:space="0" w:color="auto"/>
              <w:right w:val="single" w:sz="4" w:space="0" w:color="auto"/>
            </w:tcBorders>
            <w:shd w:val="clear" w:color="000000" w:fill="FFFFFF"/>
            <w:noWrap/>
            <w:vAlign w:val="center"/>
            <w:hideMark/>
          </w:tcPr>
          <w:p w14:paraId="13A674A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3D547A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82C06C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50.1</w:t>
            </w:r>
          </w:p>
        </w:tc>
        <w:tc>
          <w:tcPr>
            <w:tcW w:w="817" w:type="dxa"/>
            <w:tcBorders>
              <w:top w:val="nil"/>
              <w:left w:val="nil"/>
              <w:bottom w:val="single" w:sz="4" w:space="0" w:color="auto"/>
              <w:right w:val="single" w:sz="4" w:space="0" w:color="auto"/>
            </w:tcBorders>
            <w:shd w:val="clear" w:color="auto" w:fill="auto"/>
            <w:noWrap/>
            <w:vAlign w:val="center"/>
            <w:hideMark/>
          </w:tcPr>
          <w:p w14:paraId="2C0DB4A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10.45</w:t>
            </w:r>
          </w:p>
        </w:tc>
        <w:tc>
          <w:tcPr>
            <w:tcW w:w="966" w:type="dxa"/>
            <w:tcBorders>
              <w:top w:val="nil"/>
              <w:left w:val="nil"/>
              <w:bottom w:val="single" w:sz="4" w:space="0" w:color="auto"/>
              <w:right w:val="single" w:sz="4" w:space="0" w:color="auto"/>
            </w:tcBorders>
            <w:shd w:val="clear" w:color="000000" w:fill="FFFFFF"/>
            <w:noWrap/>
            <w:vAlign w:val="center"/>
            <w:hideMark/>
          </w:tcPr>
          <w:p w14:paraId="24D722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1.292704</w:t>
            </w:r>
          </w:p>
        </w:tc>
        <w:tc>
          <w:tcPr>
            <w:tcW w:w="966" w:type="dxa"/>
            <w:tcBorders>
              <w:top w:val="nil"/>
              <w:left w:val="nil"/>
              <w:bottom w:val="single" w:sz="4" w:space="0" w:color="auto"/>
              <w:right w:val="single" w:sz="4" w:space="0" w:color="auto"/>
            </w:tcBorders>
            <w:shd w:val="clear" w:color="000000" w:fill="FFFFFF"/>
            <w:noWrap/>
            <w:vAlign w:val="center"/>
            <w:hideMark/>
          </w:tcPr>
          <w:p w14:paraId="6C6314B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283.7875</w:t>
            </w:r>
          </w:p>
        </w:tc>
      </w:tr>
      <w:tr w:rsidR="00117F69" w:rsidRPr="0035519F" w14:paraId="3B188B7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7EB42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19</w:t>
            </w:r>
          </w:p>
        </w:tc>
        <w:tc>
          <w:tcPr>
            <w:tcW w:w="960" w:type="dxa"/>
            <w:tcBorders>
              <w:top w:val="nil"/>
              <w:left w:val="nil"/>
              <w:bottom w:val="single" w:sz="4" w:space="0" w:color="auto"/>
              <w:right w:val="single" w:sz="4" w:space="0" w:color="auto"/>
            </w:tcBorders>
            <w:shd w:val="clear" w:color="000000" w:fill="FFFFFF"/>
            <w:noWrap/>
            <w:vAlign w:val="center"/>
            <w:hideMark/>
          </w:tcPr>
          <w:p w14:paraId="2760F9A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4E56B7F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6FDC43F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90</w:t>
            </w:r>
          </w:p>
        </w:tc>
        <w:tc>
          <w:tcPr>
            <w:tcW w:w="950" w:type="dxa"/>
            <w:tcBorders>
              <w:top w:val="nil"/>
              <w:left w:val="nil"/>
              <w:bottom w:val="single" w:sz="4" w:space="0" w:color="auto"/>
              <w:right w:val="single" w:sz="4" w:space="0" w:color="auto"/>
            </w:tcBorders>
            <w:shd w:val="clear" w:color="000000" w:fill="FFFFFF"/>
            <w:noWrap/>
            <w:vAlign w:val="center"/>
            <w:hideMark/>
          </w:tcPr>
          <w:p w14:paraId="70282E4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508421A6"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80BBEA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44.7</w:t>
            </w:r>
          </w:p>
        </w:tc>
        <w:tc>
          <w:tcPr>
            <w:tcW w:w="817" w:type="dxa"/>
            <w:tcBorders>
              <w:top w:val="nil"/>
              <w:left w:val="nil"/>
              <w:bottom w:val="single" w:sz="4" w:space="0" w:color="auto"/>
              <w:right w:val="single" w:sz="4" w:space="0" w:color="auto"/>
            </w:tcBorders>
            <w:shd w:val="clear" w:color="auto" w:fill="auto"/>
            <w:noWrap/>
            <w:vAlign w:val="center"/>
            <w:hideMark/>
          </w:tcPr>
          <w:p w14:paraId="759D4B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14.47</w:t>
            </w:r>
          </w:p>
        </w:tc>
        <w:tc>
          <w:tcPr>
            <w:tcW w:w="966" w:type="dxa"/>
            <w:tcBorders>
              <w:top w:val="nil"/>
              <w:left w:val="nil"/>
              <w:bottom w:val="single" w:sz="4" w:space="0" w:color="auto"/>
              <w:right w:val="single" w:sz="4" w:space="0" w:color="auto"/>
            </w:tcBorders>
            <w:shd w:val="clear" w:color="000000" w:fill="FFFFFF"/>
            <w:noWrap/>
            <w:vAlign w:val="center"/>
            <w:hideMark/>
          </w:tcPr>
          <w:p w14:paraId="2E5A072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1.597059</w:t>
            </w:r>
          </w:p>
        </w:tc>
        <w:tc>
          <w:tcPr>
            <w:tcW w:w="966" w:type="dxa"/>
            <w:tcBorders>
              <w:top w:val="nil"/>
              <w:left w:val="nil"/>
              <w:bottom w:val="single" w:sz="4" w:space="0" w:color="auto"/>
              <w:right w:val="single" w:sz="4" w:space="0" w:color="auto"/>
            </w:tcBorders>
            <w:shd w:val="clear" w:color="000000" w:fill="FFFFFF"/>
            <w:noWrap/>
            <w:vAlign w:val="center"/>
            <w:hideMark/>
          </w:tcPr>
          <w:p w14:paraId="4ED0CB6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39.42308</w:t>
            </w:r>
          </w:p>
        </w:tc>
      </w:tr>
      <w:tr w:rsidR="00117F69" w:rsidRPr="0035519F" w14:paraId="0B6DBD6E"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7AADB3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20</w:t>
            </w:r>
          </w:p>
        </w:tc>
        <w:tc>
          <w:tcPr>
            <w:tcW w:w="960" w:type="dxa"/>
            <w:tcBorders>
              <w:top w:val="nil"/>
              <w:left w:val="nil"/>
              <w:bottom w:val="single" w:sz="4" w:space="0" w:color="auto"/>
              <w:right w:val="single" w:sz="4" w:space="0" w:color="auto"/>
            </w:tcBorders>
            <w:shd w:val="clear" w:color="000000" w:fill="FFFFFF"/>
            <w:noWrap/>
            <w:vAlign w:val="center"/>
            <w:hideMark/>
          </w:tcPr>
          <w:p w14:paraId="30A8093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97787E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39A6B1B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w:t>
            </w:r>
          </w:p>
        </w:tc>
        <w:tc>
          <w:tcPr>
            <w:tcW w:w="950" w:type="dxa"/>
            <w:tcBorders>
              <w:top w:val="nil"/>
              <w:left w:val="nil"/>
              <w:bottom w:val="single" w:sz="4" w:space="0" w:color="auto"/>
              <w:right w:val="single" w:sz="4" w:space="0" w:color="auto"/>
            </w:tcBorders>
            <w:shd w:val="clear" w:color="000000" w:fill="FFFFFF"/>
            <w:noWrap/>
            <w:vAlign w:val="center"/>
            <w:hideMark/>
          </w:tcPr>
          <w:p w14:paraId="4AFBB349"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3519C52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38ACFD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28.1</w:t>
            </w:r>
          </w:p>
        </w:tc>
        <w:tc>
          <w:tcPr>
            <w:tcW w:w="817" w:type="dxa"/>
            <w:tcBorders>
              <w:top w:val="nil"/>
              <w:left w:val="nil"/>
              <w:bottom w:val="single" w:sz="4" w:space="0" w:color="auto"/>
              <w:right w:val="single" w:sz="4" w:space="0" w:color="auto"/>
            </w:tcBorders>
            <w:shd w:val="clear" w:color="auto" w:fill="auto"/>
            <w:noWrap/>
            <w:vAlign w:val="center"/>
            <w:hideMark/>
          </w:tcPr>
          <w:p w14:paraId="5F796DE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9.54</w:t>
            </w:r>
          </w:p>
        </w:tc>
        <w:tc>
          <w:tcPr>
            <w:tcW w:w="966" w:type="dxa"/>
            <w:tcBorders>
              <w:top w:val="nil"/>
              <w:left w:val="nil"/>
              <w:bottom w:val="single" w:sz="4" w:space="0" w:color="auto"/>
              <w:right w:val="single" w:sz="4" w:space="0" w:color="auto"/>
            </w:tcBorders>
            <w:shd w:val="clear" w:color="000000" w:fill="FFFFFF"/>
            <w:noWrap/>
            <w:vAlign w:val="center"/>
            <w:hideMark/>
          </w:tcPr>
          <w:p w14:paraId="507B215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0.661911</w:t>
            </w:r>
          </w:p>
        </w:tc>
        <w:tc>
          <w:tcPr>
            <w:tcW w:w="966" w:type="dxa"/>
            <w:tcBorders>
              <w:top w:val="nil"/>
              <w:left w:val="nil"/>
              <w:bottom w:val="single" w:sz="4" w:space="0" w:color="auto"/>
              <w:right w:val="single" w:sz="4" w:space="0" w:color="auto"/>
            </w:tcBorders>
            <w:shd w:val="clear" w:color="000000" w:fill="FFFFFF"/>
            <w:noWrap/>
            <w:vAlign w:val="center"/>
            <w:hideMark/>
          </w:tcPr>
          <w:p w14:paraId="1EBB1DA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374.4785</w:t>
            </w:r>
          </w:p>
        </w:tc>
      </w:tr>
      <w:tr w:rsidR="00117F69" w:rsidRPr="0035519F" w14:paraId="604D1C3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08E10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21</w:t>
            </w:r>
          </w:p>
        </w:tc>
        <w:tc>
          <w:tcPr>
            <w:tcW w:w="960" w:type="dxa"/>
            <w:tcBorders>
              <w:top w:val="nil"/>
              <w:left w:val="nil"/>
              <w:bottom w:val="single" w:sz="4" w:space="0" w:color="auto"/>
              <w:right w:val="single" w:sz="4" w:space="0" w:color="auto"/>
            </w:tcBorders>
            <w:shd w:val="clear" w:color="000000" w:fill="FFFFFF"/>
            <w:noWrap/>
            <w:vAlign w:val="center"/>
            <w:hideMark/>
          </w:tcPr>
          <w:p w14:paraId="4BAEA3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5C2BE3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w:t>
            </w:r>
          </w:p>
        </w:tc>
        <w:tc>
          <w:tcPr>
            <w:tcW w:w="1022" w:type="dxa"/>
            <w:tcBorders>
              <w:top w:val="nil"/>
              <w:left w:val="nil"/>
              <w:bottom w:val="single" w:sz="4" w:space="0" w:color="auto"/>
              <w:right w:val="single" w:sz="4" w:space="0" w:color="auto"/>
            </w:tcBorders>
            <w:shd w:val="clear" w:color="000000" w:fill="FFFFFF"/>
            <w:noWrap/>
            <w:vAlign w:val="center"/>
            <w:hideMark/>
          </w:tcPr>
          <w:p w14:paraId="1B08FD1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89</w:t>
            </w:r>
          </w:p>
        </w:tc>
        <w:tc>
          <w:tcPr>
            <w:tcW w:w="950" w:type="dxa"/>
            <w:tcBorders>
              <w:top w:val="nil"/>
              <w:left w:val="nil"/>
              <w:bottom w:val="single" w:sz="4" w:space="0" w:color="auto"/>
              <w:right w:val="single" w:sz="4" w:space="0" w:color="auto"/>
            </w:tcBorders>
            <w:shd w:val="clear" w:color="000000" w:fill="FFFFFF"/>
            <w:noWrap/>
            <w:vAlign w:val="center"/>
            <w:hideMark/>
          </w:tcPr>
          <w:p w14:paraId="42E2D19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28EA2F0"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50D7C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71.4</w:t>
            </w:r>
          </w:p>
        </w:tc>
        <w:tc>
          <w:tcPr>
            <w:tcW w:w="817" w:type="dxa"/>
            <w:tcBorders>
              <w:top w:val="nil"/>
              <w:left w:val="nil"/>
              <w:bottom w:val="single" w:sz="4" w:space="0" w:color="auto"/>
              <w:right w:val="single" w:sz="4" w:space="0" w:color="auto"/>
            </w:tcBorders>
            <w:shd w:val="clear" w:color="auto" w:fill="auto"/>
            <w:noWrap/>
            <w:vAlign w:val="center"/>
            <w:hideMark/>
          </w:tcPr>
          <w:p w14:paraId="717F2CB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11.98</w:t>
            </w:r>
          </w:p>
        </w:tc>
        <w:tc>
          <w:tcPr>
            <w:tcW w:w="966" w:type="dxa"/>
            <w:tcBorders>
              <w:top w:val="nil"/>
              <w:left w:val="nil"/>
              <w:bottom w:val="single" w:sz="4" w:space="0" w:color="auto"/>
              <w:right w:val="single" w:sz="4" w:space="0" w:color="auto"/>
            </w:tcBorders>
            <w:shd w:val="clear" w:color="000000" w:fill="FFFFFF"/>
            <w:noWrap/>
            <w:vAlign w:val="center"/>
            <w:hideMark/>
          </w:tcPr>
          <w:p w14:paraId="36E49D9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2.11203</w:t>
            </w:r>
          </w:p>
        </w:tc>
        <w:tc>
          <w:tcPr>
            <w:tcW w:w="966" w:type="dxa"/>
            <w:tcBorders>
              <w:top w:val="nil"/>
              <w:left w:val="nil"/>
              <w:bottom w:val="single" w:sz="4" w:space="0" w:color="auto"/>
              <w:right w:val="single" w:sz="4" w:space="0" w:color="auto"/>
            </w:tcBorders>
            <w:shd w:val="clear" w:color="000000" w:fill="FFFFFF"/>
            <w:noWrap/>
            <w:vAlign w:val="center"/>
            <w:hideMark/>
          </w:tcPr>
          <w:p w14:paraId="7B7F5E2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55.11861</w:t>
            </w:r>
          </w:p>
        </w:tc>
      </w:tr>
      <w:tr w:rsidR="00117F69" w:rsidRPr="0035519F" w14:paraId="31A93DD4"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94086F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w:t>
            </w:r>
          </w:p>
        </w:tc>
        <w:tc>
          <w:tcPr>
            <w:tcW w:w="960" w:type="dxa"/>
            <w:tcBorders>
              <w:top w:val="nil"/>
              <w:left w:val="nil"/>
              <w:bottom w:val="single" w:sz="4" w:space="0" w:color="auto"/>
              <w:right w:val="single" w:sz="4" w:space="0" w:color="auto"/>
            </w:tcBorders>
            <w:shd w:val="clear" w:color="000000" w:fill="FFFFFF"/>
            <w:noWrap/>
            <w:vAlign w:val="center"/>
            <w:hideMark/>
          </w:tcPr>
          <w:p w14:paraId="0B862D1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357C74C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0299546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w:t>
            </w:r>
          </w:p>
        </w:tc>
        <w:tc>
          <w:tcPr>
            <w:tcW w:w="950" w:type="dxa"/>
            <w:tcBorders>
              <w:top w:val="nil"/>
              <w:left w:val="nil"/>
              <w:bottom w:val="single" w:sz="4" w:space="0" w:color="auto"/>
              <w:right w:val="single" w:sz="4" w:space="0" w:color="auto"/>
            </w:tcBorders>
            <w:shd w:val="clear" w:color="000000" w:fill="FFFFFF"/>
            <w:noWrap/>
            <w:vAlign w:val="center"/>
            <w:hideMark/>
          </w:tcPr>
          <w:p w14:paraId="4F46F5C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04F229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6EEE92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45.4</w:t>
            </w:r>
          </w:p>
        </w:tc>
        <w:tc>
          <w:tcPr>
            <w:tcW w:w="817" w:type="dxa"/>
            <w:tcBorders>
              <w:top w:val="nil"/>
              <w:left w:val="nil"/>
              <w:bottom w:val="single" w:sz="4" w:space="0" w:color="auto"/>
              <w:right w:val="single" w:sz="4" w:space="0" w:color="auto"/>
            </w:tcBorders>
            <w:shd w:val="clear" w:color="auto" w:fill="auto"/>
            <w:noWrap/>
            <w:vAlign w:val="center"/>
            <w:hideMark/>
          </w:tcPr>
          <w:p w14:paraId="36733F0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6.74</w:t>
            </w:r>
          </w:p>
        </w:tc>
        <w:tc>
          <w:tcPr>
            <w:tcW w:w="966" w:type="dxa"/>
            <w:tcBorders>
              <w:top w:val="nil"/>
              <w:left w:val="nil"/>
              <w:bottom w:val="single" w:sz="4" w:space="0" w:color="auto"/>
              <w:right w:val="single" w:sz="4" w:space="0" w:color="auto"/>
            </w:tcBorders>
            <w:shd w:val="clear" w:color="000000" w:fill="FFFFFF"/>
            <w:noWrap/>
            <w:vAlign w:val="center"/>
            <w:hideMark/>
          </w:tcPr>
          <w:p w14:paraId="7E45E2C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0.755546</w:t>
            </w:r>
          </w:p>
        </w:tc>
        <w:tc>
          <w:tcPr>
            <w:tcW w:w="966" w:type="dxa"/>
            <w:tcBorders>
              <w:top w:val="nil"/>
              <w:left w:val="nil"/>
              <w:bottom w:val="single" w:sz="4" w:space="0" w:color="auto"/>
              <w:right w:val="single" w:sz="4" w:space="0" w:color="auto"/>
            </w:tcBorders>
            <w:shd w:val="clear" w:color="000000" w:fill="FFFFFF"/>
            <w:noWrap/>
            <w:vAlign w:val="center"/>
            <w:hideMark/>
          </w:tcPr>
          <w:p w14:paraId="5A19FA6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380.1058</w:t>
            </w:r>
          </w:p>
        </w:tc>
      </w:tr>
      <w:tr w:rsidR="00117F69" w:rsidRPr="0035519F" w14:paraId="2963DE4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4B5CF1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w:t>
            </w:r>
          </w:p>
        </w:tc>
        <w:tc>
          <w:tcPr>
            <w:tcW w:w="960" w:type="dxa"/>
            <w:tcBorders>
              <w:top w:val="nil"/>
              <w:left w:val="nil"/>
              <w:bottom w:val="single" w:sz="4" w:space="0" w:color="auto"/>
              <w:right w:val="single" w:sz="4" w:space="0" w:color="auto"/>
            </w:tcBorders>
            <w:shd w:val="clear" w:color="000000" w:fill="FFFFFF"/>
            <w:noWrap/>
            <w:vAlign w:val="center"/>
            <w:hideMark/>
          </w:tcPr>
          <w:p w14:paraId="0DD7C1B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92E463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1022" w:type="dxa"/>
            <w:tcBorders>
              <w:top w:val="nil"/>
              <w:left w:val="nil"/>
              <w:bottom w:val="single" w:sz="4" w:space="0" w:color="auto"/>
              <w:right w:val="single" w:sz="4" w:space="0" w:color="auto"/>
            </w:tcBorders>
            <w:shd w:val="clear" w:color="000000" w:fill="FFFFFF"/>
            <w:noWrap/>
            <w:vAlign w:val="center"/>
            <w:hideMark/>
          </w:tcPr>
          <w:p w14:paraId="6F489E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w:t>
            </w:r>
          </w:p>
        </w:tc>
        <w:tc>
          <w:tcPr>
            <w:tcW w:w="950" w:type="dxa"/>
            <w:tcBorders>
              <w:top w:val="nil"/>
              <w:left w:val="nil"/>
              <w:bottom w:val="single" w:sz="4" w:space="0" w:color="auto"/>
              <w:right w:val="single" w:sz="4" w:space="0" w:color="auto"/>
            </w:tcBorders>
            <w:shd w:val="clear" w:color="000000" w:fill="FFFFFF"/>
            <w:noWrap/>
            <w:vAlign w:val="center"/>
            <w:hideMark/>
          </w:tcPr>
          <w:p w14:paraId="4FF7304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590428AD"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F994B9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79.12</w:t>
            </w:r>
          </w:p>
        </w:tc>
        <w:tc>
          <w:tcPr>
            <w:tcW w:w="817" w:type="dxa"/>
            <w:tcBorders>
              <w:top w:val="nil"/>
              <w:left w:val="nil"/>
              <w:bottom w:val="single" w:sz="4" w:space="0" w:color="auto"/>
              <w:right w:val="single" w:sz="4" w:space="0" w:color="auto"/>
            </w:tcBorders>
            <w:shd w:val="clear" w:color="auto" w:fill="auto"/>
            <w:noWrap/>
            <w:vAlign w:val="center"/>
            <w:hideMark/>
          </w:tcPr>
          <w:p w14:paraId="06F6ACE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38.02</w:t>
            </w:r>
          </w:p>
        </w:tc>
        <w:tc>
          <w:tcPr>
            <w:tcW w:w="966" w:type="dxa"/>
            <w:tcBorders>
              <w:top w:val="nil"/>
              <w:left w:val="nil"/>
              <w:bottom w:val="single" w:sz="4" w:space="0" w:color="auto"/>
              <w:right w:val="single" w:sz="4" w:space="0" w:color="auto"/>
            </w:tcBorders>
            <w:shd w:val="clear" w:color="000000" w:fill="FFFFFF"/>
            <w:noWrap/>
            <w:vAlign w:val="center"/>
            <w:hideMark/>
          </w:tcPr>
          <w:p w14:paraId="40544F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7.427512</w:t>
            </w:r>
          </w:p>
        </w:tc>
        <w:tc>
          <w:tcPr>
            <w:tcW w:w="966" w:type="dxa"/>
            <w:tcBorders>
              <w:top w:val="nil"/>
              <w:left w:val="nil"/>
              <w:bottom w:val="single" w:sz="4" w:space="0" w:color="auto"/>
              <w:right w:val="single" w:sz="4" w:space="0" w:color="auto"/>
            </w:tcBorders>
            <w:shd w:val="clear" w:color="000000" w:fill="FFFFFF"/>
            <w:noWrap/>
            <w:vAlign w:val="center"/>
            <w:hideMark/>
          </w:tcPr>
          <w:p w14:paraId="7D7C6CB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44.59467</w:t>
            </w:r>
          </w:p>
        </w:tc>
      </w:tr>
      <w:tr w:rsidR="00117F69" w:rsidRPr="0035519F" w14:paraId="077F9D1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75256E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w:t>
            </w:r>
          </w:p>
        </w:tc>
        <w:tc>
          <w:tcPr>
            <w:tcW w:w="960" w:type="dxa"/>
            <w:tcBorders>
              <w:top w:val="nil"/>
              <w:left w:val="nil"/>
              <w:bottom w:val="single" w:sz="4" w:space="0" w:color="auto"/>
              <w:right w:val="single" w:sz="4" w:space="0" w:color="auto"/>
            </w:tcBorders>
            <w:shd w:val="clear" w:color="000000" w:fill="FFFFFF"/>
            <w:noWrap/>
            <w:vAlign w:val="center"/>
            <w:hideMark/>
          </w:tcPr>
          <w:p w14:paraId="2CDDB0D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4FD613E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62C7538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84</w:t>
            </w:r>
          </w:p>
        </w:tc>
        <w:tc>
          <w:tcPr>
            <w:tcW w:w="950" w:type="dxa"/>
            <w:tcBorders>
              <w:top w:val="nil"/>
              <w:left w:val="nil"/>
              <w:bottom w:val="single" w:sz="4" w:space="0" w:color="auto"/>
              <w:right w:val="single" w:sz="4" w:space="0" w:color="auto"/>
            </w:tcBorders>
            <w:shd w:val="clear" w:color="000000" w:fill="FFFFFF"/>
            <w:noWrap/>
            <w:vAlign w:val="center"/>
            <w:hideMark/>
          </w:tcPr>
          <w:p w14:paraId="13DD03A5"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0E185F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6DE2BD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68.9</w:t>
            </w:r>
          </w:p>
        </w:tc>
        <w:tc>
          <w:tcPr>
            <w:tcW w:w="817" w:type="dxa"/>
            <w:tcBorders>
              <w:top w:val="nil"/>
              <w:left w:val="nil"/>
              <w:bottom w:val="single" w:sz="4" w:space="0" w:color="auto"/>
              <w:right w:val="single" w:sz="4" w:space="0" w:color="auto"/>
            </w:tcBorders>
            <w:shd w:val="clear" w:color="auto" w:fill="auto"/>
            <w:noWrap/>
            <w:vAlign w:val="center"/>
            <w:hideMark/>
          </w:tcPr>
          <w:p w14:paraId="1444339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3.33</w:t>
            </w:r>
          </w:p>
        </w:tc>
        <w:tc>
          <w:tcPr>
            <w:tcW w:w="966" w:type="dxa"/>
            <w:tcBorders>
              <w:top w:val="nil"/>
              <w:left w:val="nil"/>
              <w:bottom w:val="single" w:sz="4" w:space="0" w:color="auto"/>
              <w:right w:val="single" w:sz="4" w:space="0" w:color="auto"/>
            </w:tcBorders>
            <w:shd w:val="clear" w:color="000000" w:fill="FFFFFF"/>
            <w:noWrap/>
            <w:vAlign w:val="center"/>
            <w:hideMark/>
          </w:tcPr>
          <w:p w14:paraId="177BFD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0.566511</w:t>
            </w:r>
          </w:p>
        </w:tc>
        <w:tc>
          <w:tcPr>
            <w:tcW w:w="966" w:type="dxa"/>
            <w:tcBorders>
              <w:top w:val="nil"/>
              <w:left w:val="nil"/>
              <w:bottom w:val="single" w:sz="4" w:space="0" w:color="auto"/>
              <w:right w:val="single" w:sz="4" w:space="0" w:color="auto"/>
            </w:tcBorders>
            <w:shd w:val="clear" w:color="000000" w:fill="FFFFFF"/>
            <w:noWrap/>
            <w:vAlign w:val="center"/>
            <w:hideMark/>
          </w:tcPr>
          <w:p w14:paraId="0ACA21C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305.0316</w:t>
            </w:r>
          </w:p>
        </w:tc>
      </w:tr>
      <w:tr w:rsidR="00117F69" w:rsidRPr="0035519F" w14:paraId="5878EC4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5BAA9F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25</w:t>
            </w:r>
          </w:p>
        </w:tc>
        <w:tc>
          <w:tcPr>
            <w:tcW w:w="960" w:type="dxa"/>
            <w:tcBorders>
              <w:top w:val="nil"/>
              <w:left w:val="nil"/>
              <w:bottom w:val="single" w:sz="4" w:space="0" w:color="auto"/>
              <w:right w:val="single" w:sz="4" w:space="0" w:color="auto"/>
            </w:tcBorders>
            <w:shd w:val="clear" w:color="000000" w:fill="FFFFFF"/>
            <w:noWrap/>
            <w:vAlign w:val="center"/>
            <w:hideMark/>
          </w:tcPr>
          <w:p w14:paraId="25163E9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16B2D7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67BC4AE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w:t>
            </w:r>
          </w:p>
        </w:tc>
        <w:tc>
          <w:tcPr>
            <w:tcW w:w="950" w:type="dxa"/>
            <w:tcBorders>
              <w:top w:val="nil"/>
              <w:left w:val="nil"/>
              <w:bottom w:val="single" w:sz="4" w:space="0" w:color="auto"/>
              <w:right w:val="single" w:sz="4" w:space="0" w:color="auto"/>
            </w:tcBorders>
            <w:shd w:val="clear" w:color="000000" w:fill="FFFFFF"/>
            <w:noWrap/>
            <w:vAlign w:val="center"/>
            <w:hideMark/>
          </w:tcPr>
          <w:p w14:paraId="3D9278D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733237B"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3FE4E8D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57.4</w:t>
            </w:r>
          </w:p>
        </w:tc>
        <w:tc>
          <w:tcPr>
            <w:tcW w:w="817" w:type="dxa"/>
            <w:tcBorders>
              <w:top w:val="nil"/>
              <w:left w:val="nil"/>
              <w:bottom w:val="single" w:sz="4" w:space="0" w:color="auto"/>
              <w:right w:val="single" w:sz="4" w:space="0" w:color="auto"/>
            </w:tcBorders>
            <w:shd w:val="clear" w:color="auto" w:fill="auto"/>
            <w:noWrap/>
            <w:vAlign w:val="center"/>
            <w:hideMark/>
          </w:tcPr>
          <w:p w14:paraId="4BC4908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11.01</w:t>
            </w:r>
          </w:p>
        </w:tc>
        <w:tc>
          <w:tcPr>
            <w:tcW w:w="966" w:type="dxa"/>
            <w:tcBorders>
              <w:top w:val="nil"/>
              <w:left w:val="nil"/>
              <w:bottom w:val="single" w:sz="4" w:space="0" w:color="auto"/>
              <w:right w:val="single" w:sz="4" w:space="0" w:color="auto"/>
            </w:tcBorders>
            <w:shd w:val="clear" w:color="000000" w:fill="FFFFFF"/>
            <w:noWrap/>
            <w:vAlign w:val="center"/>
            <w:hideMark/>
          </w:tcPr>
          <w:p w14:paraId="4EE9C63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1.56043</w:t>
            </w:r>
          </w:p>
        </w:tc>
        <w:tc>
          <w:tcPr>
            <w:tcW w:w="966" w:type="dxa"/>
            <w:tcBorders>
              <w:top w:val="nil"/>
              <w:left w:val="nil"/>
              <w:bottom w:val="single" w:sz="4" w:space="0" w:color="auto"/>
              <w:right w:val="single" w:sz="4" w:space="0" w:color="auto"/>
            </w:tcBorders>
            <w:shd w:val="clear" w:color="000000" w:fill="FFFFFF"/>
            <w:noWrap/>
            <w:vAlign w:val="center"/>
            <w:hideMark/>
          </w:tcPr>
          <w:p w14:paraId="7965FBC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303.8439</w:t>
            </w:r>
          </w:p>
        </w:tc>
      </w:tr>
      <w:tr w:rsidR="00117F69" w:rsidRPr="0035519F" w14:paraId="2F5AE2E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0DBB6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lastRenderedPageBreak/>
              <w:t>26</w:t>
            </w:r>
          </w:p>
        </w:tc>
        <w:tc>
          <w:tcPr>
            <w:tcW w:w="960" w:type="dxa"/>
            <w:tcBorders>
              <w:top w:val="nil"/>
              <w:left w:val="nil"/>
              <w:bottom w:val="single" w:sz="4" w:space="0" w:color="auto"/>
              <w:right w:val="single" w:sz="4" w:space="0" w:color="auto"/>
            </w:tcBorders>
            <w:shd w:val="clear" w:color="000000" w:fill="FFFFFF"/>
            <w:noWrap/>
            <w:vAlign w:val="center"/>
            <w:hideMark/>
          </w:tcPr>
          <w:p w14:paraId="53DB6D8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405D1B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0E4A8AF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123</w:t>
            </w:r>
          </w:p>
        </w:tc>
        <w:tc>
          <w:tcPr>
            <w:tcW w:w="950" w:type="dxa"/>
            <w:tcBorders>
              <w:top w:val="nil"/>
              <w:left w:val="nil"/>
              <w:bottom w:val="single" w:sz="4" w:space="0" w:color="auto"/>
              <w:right w:val="single" w:sz="4" w:space="0" w:color="auto"/>
            </w:tcBorders>
            <w:shd w:val="clear" w:color="000000" w:fill="FFFFFF"/>
            <w:noWrap/>
            <w:vAlign w:val="center"/>
            <w:hideMark/>
          </w:tcPr>
          <w:p w14:paraId="5CC1A50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BE5F1F1"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F7F549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90.2</w:t>
            </w:r>
          </w:p>
        </w:tc>
        <w:tc>
          <w:tcPr>
            <w:tcW w:w="817" w:type="dxa"/>
            <w:tcBorders>
              <w:top w:val="nil"/>
              <w:left w:val="nil"/>
              <w:bottom w:val="single" w:sz="4" w:space="0" w:color="auto"/>
              <w:right w:val="single" w:sz="4" w:space="0" w:color="auto"/>
            </w:tcBorders>
            <w:shd w:val="clear" w:color="auto" w:fill="auto"/>
            <w:noWrap/>
            <w:vAlign w:val="center"/>
            <w:hideMark/>
          </w:tcPr>
          <w:p w14:paraId="22DCD48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128.2</w:t>
            </w:r>
          </w:p>
        </w:tc>
        <w:tc>
          <w:tcPr>
            <w:tcW w:w="966" w:type="dxa"/>
            <w:tcBorders>
              <w:top w:val="nil"/>
              <w:left w:val="nil"/>
              <w:bottom w:val="single" w:sz="4" w:space="0" w:color="auto"/>
              <w:right w:val="single" w:sz="4" w:space="0" w:color="auto"/>
            </w:tcBorders>
            <w:shd w:val="clear" w:color="000000" w:fill="FFFFFF"/>
            <w:noWrap/>
            <w:vAlign w:val="center"/>
            <w:hideMark/>
          </w:tcPr>
          <w:p w14:paraId="0CD16D2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28.5522</w:t>
            </w:r>
          </w:p>
        </w:tc>
        <w:tc>
          <w:tcPr>
            <w:tcW w:w="966" w:type="dxa"/>
            <w:tcBorders>
              <w:top w:val="nil"/>
              <w:left w:val="nil"/>
              <w:bottom w:val="single" w:sz="4" w:space="0" w:color="auto"/>
              <w:right w:val="single" w:sz="4" w:space="0" w:color="auto"/>
            </w:tcBorders>
            <w:shd w:val="clear" w:color="000000" w:fill="FFFFFF"/>
            <w:noWrap/>
            <w:vAlign w:val="center"/>
            <w:hideMark/>
          </w:tcPr>
          <w:p w14:paraId="595510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244.4696</w:t>
            </w:r>
          </w:p>
        </w:tc>
      </w:tr>
      <w:tr w:rsidR="00117F69" w:rsidRPr="0035519F" w14:paraId="29D43FF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CC0374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960" w:type="dxa"/>
            <w:tcBorders>
              <w:top w:val="nil"/>
              <w:left w:val="nil"/>
              <w:bottom w:val="single" w:sz="4" w:space="0" w:color="auto"/>
              <w:right w:val="single" w:sz="4" w:space="0" w:color="auto"/>
            </w:tcBorders>
            <w:shd w:val="clear" w:color="000000" w:fill="FFFFFF"/>
            <w:noWrap/>
            <w:vAlign w:val="center"/>
            <w:hideMark/>
          </w:tcPr>
          <w:p w14:paraId="0515537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E2FF0A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3030B44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w:t>
            </w:r>
          </w:p>
        </w:tc>
        <w:tc>
          <w:tcPr>
            <w:tcW w:w="950" w:type="dxa"/>
            <w:tcBorders>
              <w:top w:val="nil"/>
              <w:left w:val="nil"/>
              <w:bottom w:val="single" w:sz="4" w:space="0" w:color="auto"/>
              <w:right w:val="single" w:sz="4" w:space="0" w:color="auto"/>
            </w:tcBorders>
            <w:shd w:val="clear" w:color="000000" w:fill="FFFFFF"/>
            <w:noWrap/>
            <w:vAlign w:val="center"/>
            <w:hideMark/>
          </w:tcPr>
          <w:p w14:paraId="5781C23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803B1F0"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30CDF9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79.6</w:t>
            </w:r>
          </w:p>
        </w:tc>
        <w:tc>
          <w:tcPr>
            <w:tcW w:w="817" w:type="dxa"/>
            <w:tcBorders>
              <w:top w:val="nil"/>
              <w:left w:val="nil"/>
              <w:bottom w:val="single" w:sz="4" w:space="0" w:color="auto"/>
              <w:right w:val="single" w:sz="4" w:space="0" w:color="auto"/>
            </w:tcBorders>
            <w:shd w:val="clear" w:color="auto" w:fill="auto"/>
            <w:noWrap/>
            <w:vAlign w:val="center"/>
            <w:hideMark/>
          </w:tcPr>
          <w:p w14:paraId="68E5237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24.77</w:t>
            </w:r>
          </w:p>
        </w:tc>
        <w:tc>
          <w:tcPr>
            <w:tcW w:w="966" w:type="dxa"/>
            <w:tcBorders>
              <w:top w:val="nil"/>
              <w:left w:val="nil"/>
              <w:bottom w:val="single" w:sz="4" w:space="0" w:color="auto"/>
              <w:right w:val="single" w:sz="4" w:space="0" w:color="auto"/>
            </w:tcBorders>
            <w:shd w:val="clear" w:color="000000" w:fill="FFFFFF"/>
            <w:noWrap/>
            <w:vAlign w:val="center"/>
            <w:hideMark/>
          </w:tcPr>
          <w:p w14:paraId="398E06D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4.868375</w:t>
            </w:r>
          </w:p>
        </w:tc>
        <w:tc>
          <w:tcPr>
            <w:tcW w:w="966" w:type="dxa"/>
            <w:tcBorders>
              <w:top w:val="nil"/>
              <w:left w:val="nil"/>
              <w:bottom w:val="single" w:sz="4" w:space="0" w:color="auto"/>
              <w:right w:val="single" w:sz="4" w:space="0" w:color="auto"/>
            </w:tcBorders>
            <w:shd w:val="clear" w:color="000000" w:fill="FFFFFF"/>
            <w:noWrap/>
            <w:vAlign w:val="center"/>
            <w:hideMark/>
          </w:tcPr>
          <w:p w14:paraId="18A916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707.3275</w:t>
            </w:r>
          </w:p>
        </w:tc>
      </w:tr>
      <w:tr w:rsidR="00117F69" w:rsidRPr="0035519F" w14:paraId="103F69D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A7183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960" w:type="dxa"/>
            <w:tcBorders>
              <w:top w:val="nil"/>
              <w:left w:val="nil"/>
              <w:bottom w:val="single" w:sz="4" w:space="0" w:color="auto"/>
              <w:right w:val="single" w:sz="4" w:space="0" w:color="auto"/>
            </w:tcBorders>
            <w:shd w:val="clear" w:color="000000" w:fill="FFFFFF"/>
            <w:noWrap/>
            <w:vAlign w:val="center"/>
            <w:hideMark/>
          </w:tcPr>
          <w:p w14:paraId="7B599B6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37AB7D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48FD9BC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w:t>
            </w:r>
          </w:p>
        </w:tc>
        <w:tc>
          <w:tcPr>
            <w:tcW w:w="950" w:type="dxa"/>
            <w:tcBorders>
              <w:top w:val="nil"/>
              <w:left w:val="nil"/>
              <w:bottom w:val="single" w:sz="4" w:space="0" w:color="auto"/>
              <w:right w:val="single" w:sz="4" w:space="0" w:color="auto"/>
            </w:tcBorders>
            <w:shd w:val="clear" w:color="000000" w:fill="FFFFFF"/>
            <w:noWrap/>
            <w:vAlign w:val="center"/>
            <w:hideMark/>
          </w:tcPr>
          <w:p w14:paraId="444D717D"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A07A69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428EFB6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55.2</w:t>
            </w:r>
          </w:p>
        </w:tc>
        <w:tc>
          <w:tcPr>
            <w:tcW w:w="817" w:type="dxa"/>
            <w:tcBorders>
              <w:top w:val="nil"/>
              <w:left w:val="nil"/>
              <w:bottom w:val="single" w:sz="4" w:space="0" w:color="auto"/>
              <w:right w:val="single" w:sz="4" w:space="0" w:color="auto"/>
            </w:tcBorders>
            <w:shd w:val="clear" w:color="auto" w:fill="auto"/>
            <w:noWrap/>
            <w:vAlign w:val="center"/>
            <w:hideMark/>
          </w:tcPr>
          <w:p w14:paraId="02502EC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10.9</w:t>
            </w:r>
          </w:p>
        </w:tc>
        <w:tc>
          <w:tcPr>
            <w:tcW w:w="966" w:type="dxa"/>
            <w:tcBorders>
              <w:top w:val="nil"/>
              <w:left w:val="nil"/>
              <w:bottom w:val="single" w:sz="4" w:space="0" w:color="auto"/>
              <w:right w:val="single" w:sz="4" w:space="0" w:color="auto"/>
            </w:tcBorders>
            <w:shd w:val="clear" w:color="000000" w:fill="FFFFFF"/>
            <w:noWrap/>
            <w:vAlign w:val="center"/>
            <w:hideMark/>
          </w:tcPr>
          <w:p w14:paraId="591F929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1.48563</w:t>
            </w:r>
          </w:p>
        </w:tc>
        <w:tc>
          <w:tcPr>
            <w:tcW w:w="966" w:type="dxa"/>
            <w:tcBorders>
              <w:top w:val="nil"/>
              <w:left w:val="nil"/>
              <w:bottom w:val="single" w:sz="4" w:space="0" w:color="auto"/>
              <w:right w:val="single" w:sz="4" w:space="0" w:color="auto"/>
            </w:tcBorders>
            <w:shd w:val="clear" w:color="000000" w:fill="FFFFFF"/>
            <w:noWrap/>
            <w:vAlign w:val="center"/>
            <w:hideMark/>
          </w:tcPr>
          <w:p w14:paraId="2B4850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246.5767</w:t>
            </w:r>
          </w:p>
        </w:tc>
      </w:tr>
      <w:tr w:rsidR="00117F69" w:rsidRPr="0035519F" w14:paraId="4EF262D1"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CBE1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960" w:type="dxa"/>
            <w:tcBorders>
              <w:top w:val="nil"/>
              <w:left w:val="nil"/>
              <w:bottom w:val="single" w:sz="4" w:space="0" w:color="auto"/>
              <w:right w:val="single" w:sz="4" w:space="0" w:color="auto"/>
            </w:tcBorders>
            <w:shd w:val="clear" w:color="000000" w:fill="FFFFFF"/>
            <w:noWrap/>
            <w:vAlign w:val="center"/>
            <w:hideMark/>
          </w:tcPr>
          <w:p w14:paraId="07A066A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F8E0D4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36</w:t>
            </w:r>
          </w:p>
        </w:tc>
        <w:tc>
          <w:tcPr>
            <w:tcW w:w="1022" w:type="dxa"/>
            <w:tcBorders>
              <w:top w:val="nil"/>
              <w:left w:val="nil"/>
              <w:bottom w:val="single" w:sz="4" w:space="0" w:color="auto"/>
              <w:right w:val="single" w:sz="4" w:space="0" w:color="auto"/>
            </w:tcBorders>
            <w:shd w:val="clear" w:color="000000" w:fill="FFFFFF"/>
            <w:noWrap/>
            <w:vAlign w:val="center"/>
            <w:hideMark/>
          </w:tcPr>
          <w:p w14:paraId="77A007A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86</w:t>
            </w:r>
          </w:p>
        </w:tc>
        <w:tc>
          <w:tcPr>
            <w:tcW w:w="950" w:type="dxa"/>
            <w:tcBorders>
              <w:top w:val="nil"/>
              <w:left w:val="nil"/>
              <w:bottom w:val="single" w:sz="4" w:space="0" w:color="auto"/>
              <w:right w:val="single" w:sz="4" w:space="0" w:color="auto"/>
            </w:tcBorders>
            <w:shd w:val="clear" w:color="000000" w:fill="FFFFFF"/>
            <w:noWrap/>
            <w:vAlign w:val="center"/>
            <w:hideMark/>
          </w:tcPr>
          <w:p w14:paraId="5152679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615DB2B2"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29D4D8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56.2</w:t>
            </w:r>
          </w:p>
        </w:tc>
        <w:tc>
          <w:tcPr>
            <w:tcW w:w="817" w:type="dxa"/>
            <w:tcBorders>
              <w:top w:val="nil"/>
              <w:left w:val="nil"/>
              <w:bottom w:val="single" w:sz="4" w:space="0" w:color="auto"/>
              <w:right w:val="single" w:sz="4" w:space="0" w:color="auto"/>
            </w:tcBorders>
            <w:shd w:val="clear" w:color="auto" w:fill="auto"/>
            <w:noWrap/>
            <w:vAlign w:val="center"/>
            <w:hideMark/>
          </w:tcPr>
          <w:p w14:paraId="47B3047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6.77</w:t>
            </w:r>
          </w:p>
        </w:tc>
        <w:tc>
          <w:tcPr>
            <w:tcW w:w="966" w:type="dxa"/>
            <w:tcBorders>
              <w:top w:val="nil"/>
              <w:left w:val="nil"/>
              <w:bottom w:val="single" w:sz="4" w:space="0" w:color="auto"/>
              <w:right w:val="single" w:sz="4" w:space="0" w:color="auto"/>
            </w:tcBorders>
            <w:shd w:val="clear" w:color="000000" w:fill="FFFFFF"/>
            <w:noWrap/>
            <w:vAlign w:val="center"/>
            <w:hideMark/>
          </w:tcPr>
          <w:p w14:paraId="39BFF2D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0.939442</w:t>
            </w:r>
          </w:p>
        </w:tc>
        <w:tc>
          <w:tcPr>
            <w:tcW w:w="966" w:type="dxa"/>
            <w:tcBorders>
              <w:top w:val="nil"/>
              <w:left w:val="nil"/>
              <w:bottom w:val="single" w:sz="4" w:space="0" w:color="auto"/>
              <w:right w:val="single" w:sz="4" w:space="0" w:color="auto"/>
            </w:tcBorders>
            <w:shd w:val="clear" w:color="000000" w:fill="FFFFFF"/>
            <w:noWrap/>
            <w:vAlign w:val="center"/>
            <w:hideMark/>
          </w:tcPr>
          <w:p w14:paraId="13D4349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932.486</w:t>
            </w:r>
          </w:p>
        </w:tc>
      </w:tr>
      <w:tr w:rsidR="00117F69" w:rsidRPr="0035519F" w14:paraId="76FCD18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3C5BD3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960" w:type="dxa"/>
            <w:tcBorders>
              <w:top w:val="nil"/>
              <w:left w:val="nil"/>
              <w:bottom w:val="single" w:sz="4" w:space="0" w:color="auto"/>
              <w:right w:val="single" w:sz="4" w:space="0" w:color="auto"/>
            </w:tcBorders>
            <w:shd w:val="clear" w:color="000000" w:fill="FFFFFF"/>
            <w:noWrap/>
            <w:vAlign w:val="center"/>
            <w:hideMark/>
          </w:tcPr>
          <w:p w14:paraId="13F9109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4FF603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641B815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w:t>
            </w:r>
          </w:p>
        </w:tc>
        <w:tc>
          <w:tcPr>
            <w:tcW w:w="950" w:type="dxa"/>
            <w:tcBorders>
              <w:top w:val="nil"/>
              <w:left w:val="nil"/>
              <w:bottom w:val="single" w:sz="4" w:space="0" w:color="auto"/>
              <w:right w:val="single" w:sz="4" w:space="0" w:color="auto"/>
            </w:tcBorders>
            <w:shd w:val="clear" w:color="000000" w:fill="FFFFFF"/>
            <w:noWrap/>
            <w:vAlign w:val="center"/>
            <w:hideMark/>
          </w:tcPr>
          <w:p w14:paraId="0E3CB7A7"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A5E302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A6906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53.9</w:t>
            </w:r>
          </w:p>
        </w:tc>
        <w:tc>
          <w:tcPr>
            <w:tcW w:w="817" w:type="dxa"/>
            <w:tcBorders>
              <w:top w:val="nil"/>
              <w:left w:val="nil"/>
              <w:bottom w:val="single" w:sz="4" w:space="0" w:color="auto"/>
              <w:right w:val="single" w:sz="4" w:space="0" w:color="auto"/>
            </w:tcBorders>
            <w:shd w:val="clear" w:color="auto" w:fill="auto"/>
            <w:noWrap/>
            <w:vAlign w:val="center"/>
            <w:hideMark/>
          </w:tcPr>
          <w:p w14:paraId="4A35E14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5.28</w:t>
            </w:r>
          </w:p>
        </w:tc>
        <w:tc>
          <w:tcPr>
            <w:tcW w:w="966" w:type="dxa"/>
            <w:tcBorders>
              <w:top w:val="nil"/>
              <w:left w:val="nil"/>
              <w:bottom w:val="single" w:sz="4" w:space="0" w:color="auto"/>
              <w:right w:val="single" w:sz="4" w:space="0" w:color="auto"/>
            </w:tcBorders>
            <w:shd w:val="clear" w:color="000000" w:fill="FFFFFF"/>
            <w:noWrap/>
            <w:vAlign w:val="center"/>
            <w:hideMark/>
          </w:tcPr>
          <w:p w14:paraId="100F2FB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0.702696</w:t>
            </w:r>
          </w:p>
        </w:tc>
        <w:tc>
          <w:tcPr>
            <w:tcW w:w="966" w:type="dxa"/>
            <w:tcBorders>
              <w:top w:val="nil"/>
              <w:left w:val="nil"/>
              <w:bottom w:val="single" w:sz="4" w:space="0" w:color="auto"/>
              <w:right w:val="single" w:sz="4" w:space="0" w:color="auto"/>
            </w:tcBorders>
            <w:shd w:val="clear" w:color="000000" w:fill="FFFFFF"/>
            <w:noWrap/>
            <w:vAlign w:val="center"/>
            <w:hideMark/>
          </w:tcPr>
          <w:p w14:paraId="31A7372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395.521</w:t>
            </w:r>
          </w:p>
        </w:tc>
      </w:tr>
      <w:tr w:rsidR="00117F69" w:rsidRPr="0035519F" w14:paraId="36E58A3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BFEFE8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960" w:type="dxa"/>
            <w:tcBorders>
              <w:top w:val="nil"/>
              <w:left w:val="nil"/>
              <w:bottom w:val="single" w:sz="4" w:space="0" w:color="auto"/>
              <w:right w:val="single" w:sz="4" w:space="0" w:color="auto"/>
            </w:tcBorders>
            <w:shd w:val="clear" w:color="000000" w:fill="FFFFFF"/>
            <w:noWrap/>
            <w:vAlign w:val="center"/>
            <w:hideMark/>
          </w:tcPr>
          <w:p w14:paraId="6076B2B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44B403F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49098FA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w:t>
            </w:r>
          </w:p>
        </w:tc>
        <w:tc>
          <w:tcPr>
            <w:tcW w:w="950" w:type="dxa"/>
            <w:tcBorders>
              <w:top w:val="nil"/>
              <w:left w:val="nil"/>
              <w:bottom w:val="single" w:sz="4" w:space="0" w:color="auto"/>
              <w:right w:val="single" w:sz="4" w:space="0" w:color="auto"/>
            </w:tcBorders>
            <w:shd w:val="clear" w:color="000000" w:fill="FFFFFF"/>
            <w:noWrap/>
            <w:vAlign w:val="center"/>
            <w:hideMark/>
          </w:tcPr>
          <w:p w14:paraId="0ED98B02"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AB6972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9D296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65.3</w:t>
            </w:r>
          </w:p>
        </w:tc>
        <w:tc>
          <w:tcPr>
            <w:tcW w:w="817" w:type="dxa"/>
            <w:tcBorders>
              <w:top w:val="nil"/>
              <w:left w:val="nil"/>
              <w:bottom w:val="single" w:sz="4" w:space="0" w:color="auto"/>
              <w:right w:val="single" w:sz="4" w:space="0" w:color="auto"/>
            </w:tcBorders>
            <w:shd w:val="clear" w:color="auto" w:fill="auto"/>
            <w:noWrap/>
            <w:vAlign w:val="center"/>
            <w:hideMark/>
          </w:tcPr>
          <w:p w14:paraId="7ED82DB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9.78</w:t>
            </w:r>
          </w:p>
        </w:tc>
        <w:tc>
          <w:tcPr>
            <w:tcW w:w="966" w:type="dxa"/>
            <w:tcBorders>
              <w:top w:val="nil"/>
              <w:left w:val="nil"/>
              <w:bottom w:val="single" w:sz="4" w:space="0" w:color="auto"/>
              <w:right w:val="single" w:sz="4" w:space="0" w:color="auto"/>
            </w:tcBorders>
            <w:shd w:val="clear" w:color="000000" w:fill="FFFFFF"/>
            <w:noWrap/>
            <w:vAlign w:val="center"/>
            <w:hideMark/>
          </w:tcPr>
          <w:p w14:paraId="465E988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1.576874</w:t>
            </w:r>
          </w:p>
        </w:tc>
        <w:tc>
          <w:tcPr>
            <w:tcW w:w="966" w:type="dxa"/>
            <w:tcBorders>
              <w:top w:val="nil"/>
              <w:left w:val="nil"/>
              <w:bottom w:val="single" w:sz="4" w:space="0" w:color="auto"/>
              <w:right w:val="single" w:sz="4" w:space="0" w:color="auto"/>
            </w:tcBorders>
            <w:shd w:val="clear" w:color="000000" w:fill="FFFFFF"/>
            <w:noWrap/>
            <w:vAlign w:val="center"/>
            <w:hideMark/>
          </w:tcPr>
          <w:p w14:paraId="360D4A3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809.5085</w:t>
            </w:r>
          </w:p>
        </w:tc>
      </w:tr>
      <w:tr w:rsidR="00117F69" w:rsidRPr="0035519F" w14:paraId="05553F1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EF3E5C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960" w:type="dxa"/>
            <w:tcBorders>
              <w:top w:val="nil"/>
              <w:left w:val="nil"/>
              <w:bottom w:val="single" w:sz="4" w:space="0" w:color="auto"/>
              <w:right w:val="single" w:sz="4" w:space="0" w:color="auto"/>
            </w:tcBorders>
            <w:shd w:val="clear" w:color="000000" w:fill="FFFFFF"/>
            <w:noWrap/>
            <w:vAlign w:val="center"/>
            <w:hideMark/>
          </w:tcPr>
          <w:p w14:paraId="0DC1D01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F57E36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49BCE93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w:t>
            </w:r>
          </w:p>
        </w:tc>
        <w:tc>
          <w:tcPr>
            <w:tcW w:w="950" w:type="dxa"/>
            <w:tcBorders>
              <w:top w:val="nil"/>
              <w:left w:val="nil"/>
              <w:bottom w:val="single" w:sz="4" w:space="0" w:color="auto"/>
              <w:right w:val="single" w:sz="4" w:space="0" w:color="auto"/>
            </w:tcBorders>
            <w:shd w:val="clear" w:color="000000" w:fill="FFFFFF"/>
            <w:noWrap/>
            <w:vAlign w:val="center"/>
            <w:hideMark/>
          </w:tcPr>
          <w:p w14:paraId="6F4B1521"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E76776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1CF20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66.7</w:t>
            </w:r>
          </w:p>
        </w:tc>
        <w:tc>
          <w:tcPr>
            <w:tcW w:w="817" w:type="dxa"/>
            <w:tcBorders>
              <w:top w:val="nil"/>
              <w:left w:val="nil"/>
              <w:bottom w:val="single" w:sz="4" w:space="0" w:color="auto"/>
              <w:right w:val="single" w:sz="4" w:space="0" w:color="auto"/>
            </w:tcBorders>
            <w:shd w:val="clear" w:color="auto" w:fill="auto"/>
            <w:noWrap/>
            <w:vAlign w:val="center"/>
            <w:hideMark/>
          </w:tcPr>
          <w:p w14:paraId="521CD5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8.53</w:t>
            </w:r>
          </w:p>
        </w:tc>
        <w:tc>
          <w:tcPr>
            <w:tcW w:w="966" w:type="dxa"/>
            <w:tcBorders>
              <w:top w:val="nil"/>
              <w:left w:val="nil"/>
              <w:bottom w:val="single" w:sz="4" w:space="0" w:color="auto"/>
              <w:right w:val="single" w:sz="4" w:space="0" w:color="auto"/>
            </w:tcBorders>
            <w:shd w:val="clear" w:color="000000" w:fill="FFFFFF"/>
            <w:noWrap/>
            <w:vAlign w:val="center"/>
            <w:hideMark/>
          </w:tcPr>
          <w:p w14:paraId="3747285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1.404817</w:t>
            </w:r>
          </w:p>
        </w:tc>
        <w:tc>
          <w:tcPr>
            <w:tcW w:w="966" w:type="dxa"/>
            <w:tcBorders>
              <w:top w:val="nil"/>
              <w:left w:val="nil"/>
              <w:bottom w:val="single" w:sz="4" w:space="0" w:color="auto"/>
              <w:right w:val="single" w:sz="4" w:space="0" w:color="auto"/>
            </w:tcBorders>
            <w:shd w:val="clear" w:color="000000" w:fill="FFFFFF"/>
            <w:noWrap/>
            <w:vAlign w:val="center"/>
            <w:hideMark/>
          </w:tcPr>
          <w:p w14:paraId="3FE312C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259.9622</w:t>
            </w:r>
          </w:p>
        </w:tc>
      </w:tr>
      <w:tr w:rsidR="00117F69" w:rsidRPr="0035519F" w14:paraId="6AF7285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61BEB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960" w:type="dxa"/>
            <w:tcBorders>
              <w:top w:val="nil"/>
              <w:left w:val="nil"/>
              <w:bottom w:val="single" w:sz="4" w:space="0" w:color="auto"/>
              <w:right w:val="single" w:sz="4" w:space="0" w:color="auto"/>
            </w:tcBorders>
            <w:shd w:val="clear" w:color="000000" w:fill="FFFFFF"/>
            <w:noWrap/>
            <w:vAlign w:val="center"/>
            <w:hideMark/>
          </w:tcPr>
          <w:p w14:paraId="6ADEC4F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7F36A73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6EBAF73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w:t>
            </w:r>
          </w:p>
        </w:tc>
        <w:tc>
          <w:tcPr>
            <w:tcW w:w="950" w:type="dxa"/>
            <w:tcBorders>
              <w:top w:val="nil"/>
              <w:left w:val="nil"/>
              <w:bottom w:val="single" w:sz="4" w:space="0" w:color="auto"/>
              <w:right w:val="single" w:sz="4" w:space="0" w:color="auto"/>
            </w:tcBorders>
            <w:shd w:val="clear" w:color="000000" w:fill="FFFFFF"/>
            <w:noWrap/>
            <w:vAlign w:val="center"/>
            <w:hideMark/>
          </w:tcPr>
          <w:p w14:paraId="15AB2FBC"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352F3A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05AE60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65.1</w:t>
            </w:r>
          </w:p>
        </w:tc>
        <w:tc>
          <w:tcPr>
            <w:tcW w:w="817" w:type="dxa"/>
            <w:tcBorders>
              <w:top w:val="nil"/>
              <w:left w:val="nil"/>
              <w:bottom w:val="single" w:sz="4" w:space="0" w:color="auto"/>
              <w:right w:val="single" w:sz="4" w:space="0" w:color="auto"/>
            </w:tcBorders>
            <w:shd w:val="clear" w:color="auto" w:fill="auto"/>
            <w:noWrap/>
            <w:vAlign w:val="center"/>
            <w:hideMark/>
          </w:tcPr>
          <w:p w14:paraId="3A384F0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9.72</w:t>
            </w:r>
          </w:p>
        </w:tc>
        <w:tc>
          <w:tcPr>
            <w:tcW w:w="966" w:type="dxa"/>
            <w:tcBorders>
              <w:top w:val="nil"/>
              <w:left w:val="nil"/>
              <w:bottom w:val="single" w:sz="4" w:space="0" w:color="auto"/>
              <w:right w:val="single" w:sz="4" w:space="0" w:color="auto"/>
            </w:tcBorders>
            <w:shd w:val="clear" w:color="000000" w:fill="FFFFFF"/>
            <w:noWrap/>
            <w:vAlign w:val="center"/>
            <w:hideMark/>
          </w:tcPr>
          <w:p w14:paraId="1D3C6BE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1.5624</w:t>
            </w:r>
          </w:p>
        </w:tc>
        <w:tc>
          <w:tcPr>
            <w:tcW w:w="966" w:type="dxa"/>
            <w:tcBorders>
              <w:top w:val="nil"/>
              <w:left w:val="nil"/>
              <w:bottom w:val="single" w:sz="4" w:space="0" w:color="auto"/>
              <w:right w:val="single" w:sz="4" w:space="0" w:color="auto"/>
            </w:tcBorders>
            <w:shd w:val="clear" w:color="000000" w:fill="FFFFFF"/>
            <w:noWrap/>
            <w:vAlign w:val="center"/>
            <w:hideMark/>
          </w:tcPr>
          <w:p w14:paraId="3204532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328.1216</w:t>
            </w:r>
          </w:p>
        </w:tc>
      </w:tr>
      <w:tr w:rsidR="00117F69" w:rsidRPr="0035519F" w14:paraId="664FABE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D40A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w:t>
            </w:r>
          </w:p>
        </w:tc>
        <w:tc>
          <w:tcPr>
            <w:tcW w:w="960" w:type="dxa"/>
            <w:tcBorders>
              <w:top w:val="nil"/>
              <w:left w:val="nil"/>
              <w:bottom w:val="single" w:sz="4" w:space="0" w:color="auto"/>
              <w:right w:val="single" w:sz="4" w:space="0" w:color="auto"/>
            </w:tcBorders>
            <w:shd w:val="clear" w:color="000000" w:fill="FFFFFF"/>
            <w:noWrap/>
            <w:vAlign w:val="center"/>
            <w:hideMark/>
          </w:tcPr>
          <w:p w14:paraId="2FA173B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FE1AF3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700C9CF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98</w:t>
            </w:r>
          </w:p>
        </w:tc>
        <w:tc>
          <w:tcPr>
            <w:tcW w:w="950" w:type="dxa"/>
            <w:tcBorders>
              <w:top w:val="nil"/>
              <w:left w:val="nil"/>
              <w:bottom w:val="single" w:sz="4" w:space="0" w:color="auto"/>
              <w:right w:val="single" w:sz="4" w:space="0" w:color="auto"/>
            </w:tcBorders>
            <w:shd w:val="clear" w:color="000000" w:fill="FFFFFF"/>
            <w:noWrap/>
            <w:vAlign w:val="center"/>
            <w:hideMark/>
          </w:tcPr>
          <w:p w14:paraId="2EEF69F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1C19488"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A6BF0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67.1</w:t>
            </w:r>
          </w:p>
        </w:tc>
        <w:tc>
          <w:tcPr>
            <w:tcW w:w="817" w:type="dxa"/>
            <w:tcBorders>
              <w:top w:val="nil"/>
              <w:left w:val="nil"/>
              <w:bottom w:val="single" w:sz="4" w:space="0" w:color="auto"/>
              <w:right w:val="single" w:sz="4" w:space="0" w:color="auto"/>
            </w:tcBorders>
            <w:shd w:val="clear" w:color="auto" w:fill="auto"/>
            <w:noWrap/>
            <w:vAlign w:val="center"/>
            <w:hideMark/>
          </w:tcPr>
          <w:p w14:paraId="4A011E8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11.26</w:t>
            </w:r>
          </w:p>
        </w:tc>
        <w:tc>
          <w:tcPr>
            <w:tcW w:w="966" w:type="dxa"/>
            <w:tcBorders>
              <w:top w:val="nil"/>
              <w:left w:val="nil"/>
              <w:bottom w:val="single" w:sz="4" w:space="0" w:color="auto"/>
              <w:right w:val="single" w:sz="4" w:space="0" w:color="auto"/>
            </w:tcBorders>
            <w:shd w:val="clear" w:color="000000" w:fill="FFFFFF"/>
            <w:noWrap/>
            <w:vAlign w:val="center"/>
            <w:hideMark/>
          </w:tcPr>
          <w:p w14:paraId="27FCA37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1.865546</w:t>
            </w:r>
          </w:p>
        </w:tc>
        <w:tc>
          <w:tcPr>
            <w:tcW w:w="966" w:type="dxa"/>
            <w:tcBorders>
              <w:top w:val="nil"/>
              <w:left w:val="nil"/>
              <w:bottom w:val="single" w:sz="4" w:space="0" w:color="auto"/>
              <w:right w:val="single" w:sz="4" w:space="0" w:color="auto"/>
            </w:tcBorders>
            <w:shd w:val="clear" w:color="000000" w:fill="FFFFFF"/>
            <w:noWrap/>
            <w:vAlign w:val="center"/>
            <w:hideMark/>
          </w:tcPr>
          <w:p w14:paraId="2216F8B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417.594</w:t>
            </w:r>
          </w:p>
        </w:tc>
      </w:tr>
      <w:tr w:rsidR="00117F69" w:rsidRPr="0035519F" w14:paraId="0ADD1DB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98315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960" w:type="dxa"/>
            <w:tcBorders>
              <w:top w:val="nil"/>
              <w:left w:val="nil"/>
              <w:bottom w:val="single" w:sz="4" w:space="0" w:color="auto"/>
              <w:right w:val="single" w:sz="4" w:space="0" w:color="auto"/>
            </w:tcBorders>
            <w:shd w:val="clear" w:color="000000" w:fill="FFFFFF"/>
            <w:noWrap/>
            <w:vAlign w:val="center"/>
            <w:hideMark/>
          </w:tcPr>
          <w:p w14:paraId="54D847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83F30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1022" w:type="dxa"/>
            <w:tcBorders>
              <w:top w:val="nil"/>
              <w:left w:val="nil"/>
              <w:bottom w:val="single" w:sz="4" w:space="0" w:color="auto"/>
              <w:right w:val="single" w:sz="4" w:space="0" w:color="auto"/>
            </w:tcBorders>
            <w:shd w:val="clear" w:color="000000" w:fill="FFFFFF"/>
            <w:noWrap/>
            <w:vAlign w:val="center"/>
            <w:hideMark/>
          </w:tcPr>
          <w:p w14:paraId="7B31341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w:t>
            </w:r>
          </w:p>
        </w:tc>
        <w:tc>
          <w:tcPr>
            <w:tcW w:w="950" w:type="dxa"/>
            <w:tcBorders>
              <w:top w:val="nil"/>
              <w:left w:val="nil"/>
              <w:bottom w:val="single" w:sz="4" w:space="0" w:color="auto"/>
              <w:right w:val="single" w:sz="4" w:space="0" w:color="auto"/>
            </w:tcBorders>
            <w:shd w:val="clear" w:color="000000" w:fill="FFFFFF"/>
            <w:noWrap/>
            <w:vAlign w:val="center"/>
            <w:hideMark/>
          </w:tcPr>
          <w:p w14:paraId="29A736A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EE9AE92"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35DAC61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68.2</w:t>
            </w:r>
          </w:p>
        </w:tc>
        <w:tc>
          <w:tcPr>
            <w:tcW w:w="817" w:type="dxa"/>
            <w:tcBorders>
              <w:top w:val="nil"/>
              <w:left w:val="nil"/>
              <w:bottom w:val="single" w:sz="4" w:space="0" w:color="auto"/>
              <w:right w:val="single" w:sz="4" w:space="0" w:color="auto"/>
            </w:tcBorders>
            <w:shd w:val="clear" w:color="auto" w:fill="auto"/>
            <w:noWrap/>
            <w:vAlign w:val="center"/>
            <w:hideMark/>
          </w:tcPr>
          <w:p w14:paraId="24EE634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26.77</w:t>
            </w:r>
          </w:p>
        </w:tc>
        <w:tc>
          <w:tcPr>
            <w:tcW w:w="966" w:type="dxa"/>
            <w:tcBorders>
              <w:top w:val="nil"/>
              <w:left w:val="nil"/>
              <w:bottom w:val="single" w:sz="4" w:space="0" w:color="auto"/>
              <w:right w:val="single" w:sz="4" w:space="0" w:color="auto"/>
            </w:tcBorders>
            <w:shd w:val="clear" w:color="000000" w:fill="FFFFFF"/>
            <w:noWrap/>
            <w:vAlign w:val="center"/>
            <w:hideMark/>
          </w:tcPr>
          <w:p w14:paraId="68629A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4.507936</w:t>
            </w:r>
          </w:p>
        </w:tc>
        <w:tc>
          <w:tcPr>
            <w:tcW w:w="966" w:type="dxa"/>
            <w:tcBorders>
              <w:top w:val="nil"/>
              <w:left w:val="nil"/>
              <w:bottom w:val="single" w:sz="4" w:space="0" w:color="auto"/>
              <w:right w:val="single" w:sz="4" w:space="0" w:color="auto"/>
            </w:tcBorders>
            <w:shd w:val="clear" w:color="000000" w:fill="FFFFFF"/>
            <w:noWrap/>
            <w:vAlign w:val="center"/>
            <w:hideMark/>
          </w:tcPr>
          <w:p w14:paraId="29DFD43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282.0964</w:t>
            </w:r>
          </w:p>
        </w:tc>
      </w:tr>
      <w:tr w:rsidR="00117F69" w:rsidRPr="0035519F" w14:paraId="3E6A7FA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FC8F5B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36</w:t>
            </w:r>
          </w:p>
        </w:tc>
        <w:tc>
          <w:tcPr>
            <w:tcW w:w="960" w:type="dxa"/>
            <w:tcBorders>
              <w:top w:val="nil"/>
              <w:left w:val="nil"/>
              <w:bottom w:val="single" w:sz="4" w:space="0" w:color="auto"/>
              <w:right w:val="single" w:sz="4" w:space="0" w:color="auto"/>
            </w:tcBorders>
            <w:shd w:val="clear" w:color="000000" w:fill="FFFFFF"/>
            <w:noWrap/>
            <w:vAlign w:val="center"/>
            <w:hideMark/>
          </w:tcPr>
          <w:p w14:paraId="3B87C60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2C4ABC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2DFE8B5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88</w:t>
            </w:r>
          </w:p>
        </w:tc>
        <w:tc>
          <w:tcPr>
            <w:tcW w:w="950" w:type="dxa"/>
            <w:tcBorders>
              <w:top w:val="nil"/>
              <w:left w:val="nil"/>
              <w:bottom w:val="single" w:sz="4" w:space="0" w:color="auto"/>
              <w:right w:val="single" w:sz="4" w:space="0" w:color="auto"/>
            </w:tcBorders>
            <w:shd w:val="clear" w:color="000000" w:fill="FFFFFF"/>
            <w:noWrap/>
            <w:vAlign w:val="center"/>
            <w:hideMark/>
          </w:tcPr>
          <w:p w14:paraId="19357715"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3326239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93126B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58.2</w:t>
            </w:r>
          </w:p>
        </w:tc>
        <w:tc>
          <w:tcPr>
            <w:tcW w:w="817" w:type="dxa"/>
            <w:tcBorders>
              <w:top w:val="nil"/>
              <w:left w:val="nil"/>
              <w:bottom w:val="single" w:sz="4" w:space="0" w:color="auto"/>
              <w:right w:val="single" w:sz="4" w:space="0" w:color="auto"/>
            </w:tcBorders>
            <w:shd w:val="clear" w:color="auto" w:fill="auto"/>
            <w:noWrap/>
            <w:vAlign w:val="center"/>
            <w:hideMark/>
          </w:tcPr>
          <w:p w14:paraId="4DA6E47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w:t>
            </w:r>
          </w:p>
        </w:tc>
        <w:tc>
          <w:tcPr>
            <w:tcW w:w="966" w:type="dxa"/>
            <w:tcBorders>
              <w:top w:val="nil"/>
              <w:left w:val="nil"/>
              <w:bottom w:val="single" w:sz="4" w:space="0" w:color="auto"/>
              <w:right w:val="single" w:sz="4" w:space="0" w:color="auto"/>
            </w:tcBorders>
            <w:shd w:val="clear" w:color="000000" w:fill="FFFFFF"/>
            <w:noWrap/>
            <w:vAlign w:val="center"/>
            <w:hideMark/>
          </w:tcPr>
          <w:p w14:paraId="1696921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0.617926</w:t>
            </w:r>
          </w:p>
        </w:tc>
        <w:tc>
          <w:tcPr>
            <w:tcW w:w="966" w:type="dxa"/>
            <w:tcBorders>
              <w:top w:val="nil"/>
              <w:left w:val="nil"/>
              <w:bottom w:val="single" w:sz="4" w:space="0" w:color="auto"/>
              <w:right w:val="single" w:sz="4" w:space="0" w:color="auto"/>
            </w:tcBorders>
            <w:shd w:val="clear" w:color="000000" w:fill="FFFFFF"/>
            <w:noWrap/>
            <w:vAlign w:val="center"/>
            <w:hideMark/>
          </w:tcPr>
          <w:p w14:paraId="296FBB2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310.5197</w:t>
            </w:r>
          </w:p>
        </w:tc>
      </w:tr>
      <w:tr w:rsidR="00117F69" w:rsidRPr="0035519F" w14:paraId="1762B6B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6AF4ED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w:t>
            </w:r>
          </w:p>
        </w:tc>
        <w:tc>
          <w:tcPr>
            <w:tcW w:w="960" w:type="dxa"/>
            <w:tcBorders>
              <w:top w:val="nil"/>
              <w:left w:val="nil"/>
              <w:bottom w:val="single" w:sz="4" w:space="0" w:color="auto"/>
              <w:right w:val="single" w:sz="4" w:space="0" w:color="auto"/>
            </w:tcBorders>
            <w:shd w:val="clear" w:color="000000" w:fill="FFFFFF"/>
            <w:noWrap/>
            <w:vAlign w:val="center"/>
            <w:hideMark/>
          </w:tcPr>
          <w:p w14:paraId="5E70FBB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F7501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w:t>
            </w:r>
          </w:p>
        </w:tc>
        <w:tc>
          <w:tcPr>
            <w:tcW w:w="1022" w:type="dxa"/>
            <w:tcBorders>
              <w:top w:val="nil"/>
              <w:left w:val="nil"/>
              <w:bottom w:val="single" w:sz="4" w:space="0" w:color="auto"/>
              <w:right w:val="single" w:sz="4" w:space="0" w:color="auto"/>
            </w:tcBorders>
            <w:shd w:val="clear" w:color="000000" w:fill="FFFFFF"/>
            <w:noWrap/>
            <w:vAlign w:val="center"/>
            <w:hideMark/>
          </w:tcPr>
          <w:p w14:paraId="36C9844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91</w:t>
            </w:r>
          </w:p>
        </w:tc>
        <w:tc>
          <w:tcPr>
            <w:tcW w:w="950" w:type="dxa"/>
            <w:tcBorders>
              <w:top w:val="nil"/>
              <w:left w:val="nil"/>
              <w:bottom w:val="single" w:sz="4" w:space="0" w:color="auto"/>
              <w:right w:val="single" w:sz="4" w:space="0" w:color="auto"/>
            </w:tcBorders>
            <w:shd w:val="clear" w:color="000000" w:fill="FFFFFF"/>
            <w:noWrap/>
            <w:vAlign w:val="center"/>
            <w:hideMark/>
          </w:tcPr>
          <w:p w14:paraId="6BE4232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A268CEE"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3F94B9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56.9</w:t>
            </w:r>
          </w:p>
        </w:tc>
        <w:tc>
          <w:tcPr>
            <w:tcW w:w="817" w:type="dxa"/>
            <w:tcBorders>
              <w:top w:val="nil"/>
              <w:left w:val="nil"/>
              <w:bottom w:val="single" w:sz="4" w:space="0" w:color="auto"/>
              <w:right w:val="single" w:sz="4" w:space="0" w:color="auto"/>
            </w:tcBorders>
            <w:shd w:val="clear" w:color="auto" w:fill="auto"/>
            <w:noWrap/>
            <w:vAlign w:val="center"/>
            <w:hideMark/>
          </w:tcPr>
          <w:p w14:paraId="2DD6DF5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17.64</w:t>
            </w:r>
          </w:p>
        </w:tc>
        <w:tc>
          <w:tcPr>
            <w:tcW w:w="966" w:type="dxa"/>
            <w:tcBorders>
              <w:top w:val="nil"/>
              <w:left w:val="nil"/>
              <w:bottom w:val="single" w:sz="4" w:space="0" w:color="auto"/>
              <w:right w:val="single" w:sz="4" w:space="0" w:color="auto"/>
            </w:tcBorders>
            <w:shd w:val="clear" w:color="000000" w:fill="FFFFFF"/>
            <w:noWrap/>
            <w:vAlign w:val="center"/>
            <w:hideMark/>
          </w:tcPr>
          <w:p w14:paraId="2742D88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2.478311</w:t>
            </w:r>
          </w:p>
        </w:tc>
        <w:tc>
          <w:tcPr>
            <w:tcW w:w="966" w:type="dxa"/>
            <w:tcBorders>
              <w:top w:val="nil"/>
              <w:left w:val="nil"/>
              <w:bottom w:val="single" w:sz="4" w:space="0" w:color="auto"/>
              <w:right w:val="single" w:sz="4" w:space="0" w:color="auto"/>
            </w:tcBorders>
            <w:shd w:val="clear" w:color="000000" w:fill="FFFFFF"/>
            <w:noWrap/>
            <w:vAlign w:val="center"/>
            <w:hideMark/>
          </w:tcPr>
          <w:p w14:paraId="4A78CD2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794.5071</w:t>
            </w:r>
          </w:p>
        </w:tc>
      </w:tr>
      <w:tr w:rsidR="00117F69" w:rsidRPr="0035519F" w14:paraId="763F0F4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108861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960" w:type="dxa"/>
            <w:tcBorders>
              <w:top w:val="nil"/>
              <w:left w:val="nil"/>
              <w:bottom w:val="single" w:sz="4" w:space="0" w:color="auto"/>
              <w:right w:val="single" w:sz="4" w:space="0" w:color="auto"/>
            </w:tcBorders>
            <w:shd w:val="clear" w:color="000000" w:fill="FFFFFF"/>
            <w:noWrap/>
            <w:vAlign w:val="center"/>
            <w:hideMark/>
          </w:tcPr>
          <w:p w14:paraId="7F0DD52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0B667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w:t>
            </w:r>
          </w:p>
        </w:tc>
        <w:tc>
          <w:tcPr>
            <w:tcW w:w="1022" w:type="dxa"/>
            <w:tcBorders>
              <w:top w:val="nil"/>
              <w:left w:val="nil"/>
              <w:bottom w:val="single" w:sz="4" w:space="0" w:color="auto"/>
              <w:right w:val="single" w:sz="4" w:space="0" w:color="auto"/>
            </w:tcBorders>
            <w:shd w:val="clear" w:color="000000" w:fill="FFFFFF"/>
            <w:noWrap/>
            <w:vAlign w:val="center"/>
            <w:hideMark/>
          </w:tcPr>
          <w:p w14:paraId="00BE8CA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w:t>
            </w:r>
          </w:p>
        </w:tc>
        <w:tc>
          <w:tcPr>
            <w:tcW w:w="950" w:type="dxa"/>
            <w:tcBorders>
              <w:top w:val="nil"/>
              <w:left w:val="nil"/>
              <w:bottom w:val="single" w:sz="4" w:space="0" w:color="auto"/>
              <w:right w:val="single" w:sz="4" w:space="0" w:color="auto"/>
            </w:tcBorders>
            <w:shd w:val="clear" w:color="000000" w:fill="FFFFFF"/>
            <w:noWrap/>
            <w:vAlign w:val="center"/>
            <w:hideMark/>
          </w:tcPr>
          <w:p w14:paraId="29269F1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49B0EBB9"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35005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56.5</w:t>
            </w:r>
          </w:p>
        </w:tc>
        <w:tc>
          <w:tcPr>
            <w:tcW w:w="817" w:type="dxa"/>
            <w:tcBorders>
              <w:top w:val="nil"/>
              <w:left w:val="nil"/>
              <w:bottom w:val="single" w:sz="4" w:space="0" w:color="auto"/>
              <w:right w:val="single" w:sz="4" w:space="0" w:color="auto"/>
            </w:tcBorders>
            <w:shd w:val="clear" w:color="auto" w:fill="auto"/>
            <w:noWrap/>
            <w:vAlign w:val="center"/>
            <w:hideMark/>
          </w:tcPr>
          <w:p w14:paraId="4FEC969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62.77</w:t>
            </w:r>
          </w:p>
        </w:tc>
        <w:tc>
          <w:tcPr>
            <w:tcW w:w="966" w:type="dxa"/>
            <w:tcBorders>
              <w:top w:val="nil"/>
              <w:left w:val="nil"/>
              <w:bottom w:val="single" w:sz="4" w:space="0" w:color="auto"/>
              <w:right w:val="single" w:sz="4" w:space="0" w:color="auto"/>
            </w:tcBorders>
            <w:shd w:val="clear" w:color="000000" w:fill="FFFFFF"/>
            <w:noWrap/>
            <w:vAlign w:val="center"/>
            <w:hideMark/>
          </w:tcPr>
          <w:p w14:paraId="4258F11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8.756802</w:t>
            </w:r>
          </w:p>
        </w:tc>
        <w:tc>
          <w:tcPr>
            <w:tcW w:w="966" w:type="dxa"/>
            <w:tcBorders>
              <w:top w:val="nil"/>
              <w:left w:val="nil"/>
              <w:bottom w:val="single" w:sz="4" w:space="0" w:color="auto"/>
              <w:right w:val="single" w:sz="4" w:space="0" w:color="auto"/>
            </w:tcBorders>
            <w:shd w:val="clear" w:color="000000" w:fill="FFFFFF"/>
            <w:noWrap/>
            <w:vAlign w:val="center"/>
            <w:hideMark/>
          </w:tcPr>
          <w:p w14:paraId="69261D4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431.4323</w:t>
            </w:r>
          </w:p>
        </w:tc>
      </w:tr>
      <w:tr w:rsidR="00117F69" w:rsidRPr="0035519F" w14:paraId="1A31F9F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C39FDB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39</w:t>
            </w:r>
          </w:p>
        </w:tc>
        <w:tc>
          <w:tcPr>
            <w:tcW w:w="960" w:type="dxa"/>
            <w:tcBorders>
              <w:top w:val="nil"/>
              <w:left w:val="nil"/>
              <w:bottom w:val="single" w:sz="4" w:space="0" w:color="auto"/>
              <w:right w:val="single" w:sz="4" w:space="0" w:color="auto"/>
            </w:tcBorders>
            <w:shd w:val="clear" w:color="000000" w:fill="FFFFFF"/>
            <w:noWrap/>
            <w:vAlign w:val="center"/>
            <w:hideMark/>
          </w:tcPr>
          <w:p w14:paraId="07C8520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B0038C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428E05E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5D8534D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5A486E8C"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7C5E04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106.8</w:t>
            </w:r>
          </w:p>
        </w:tc>
        <w:tc>
          <w:tcPr>
            <w:tcW w:w="817" w:type="dxa"/>
            <w:tcBorders>
              <w:top w:val="nil"/>
              <w:left w:val="nil"/>
              <w:bottom w:val="single" w:sz="4" w:space="0" w:color="auto"/>
              <w:right w:val="single" w:sz="4" w:space="0" w:color="auto"/>
            </w:tcBorders>
            <w:shd w:val="clear" w:color="auto" w:fill="auto"/>
            <w:noWrap/>
            <w:vAlign w:val="center"/>
            <w:hideMark/>
          </w:tcPr>
          <w:p w14:paraId="6D39E17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22.25</w:t>
            </w:r>
          </w:p>
        </w:tc>
        <w:tc>
          <w:tcPr>
            <w:tcW w:w="966" w:type="dxa"/>
            <w:tcBorders>
              <w:top w:val="nil"/>
              <w:left w:val="nil"/>
              <w:bottom w:val="single" w:sz="4" w:space="0" w:color="auto"/>
              <w:right w:val="single" w:sz="4" w:space="0" w:color="auto"/>
            </w:tcBorders>
            <w:shd w:val="clear" w:color="000000" w:fill="FFFFFF"/>
            <w:noWrap/>
            <w:vAlign w:val="center"/>
            <w:hideMark/>
          </w:tcPr>
          <w:p w14:paraId="608AFAE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5.867407</w:t>
            </w:r>
          </w:p>
        </w:tc>
        <w:tc>
          <w:tcPr>
            <w:tcW w:w="966" w:type="dxa"/>
            <w:tcBorders>
              <w:top w:val="nil"/>
              <w:left w:val="nil"/>
              <w:bottom w:val="single" w:sz="4" w:space="0" w:color="auto"/>
              <w:right w:val="single" w:sz="4" w:space="0" w:color="auto"/>
            </w:tcBorders>
            <w:shd w:val="clear" w:color="000000" w:fill="FFFFFF"/>
            <w:noWrap/>
            <w:vAlign w:val="center"/>
            <w:hideMark/>
          </w:tcPr>
          <w:p w14:paraId="4EC9439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346.1232</w:t>
            </w:r>
          </w:p>
        </w:tc>
      </w:tr>
      <w:tr w:rsidR="00117F69" w:rsidRPr="0035519F" w14:paraId="4888A66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A4FBFA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40</w:t>
            </w:r>
          </w:p>
        </w:tc>
        <w:tc>
          <w:tcPr>
            <w:tcW w:w="960" w:type="dxa"/>
            <w:tcBorders>
              <w:top w:val="nil"/>
              <w:left w:val="nil"/>
              <w:bottom w:val="single" w:sz="4" w:space="0" w:color="auto"/>
              <w:right w:val="single" w:sz="4" w:space="0" w:color="auto"/>
            </w:tcBorders>
            <w:shd w:val="clear" w:color="000000" w:fill="FFFFFF"/>
            <w:noWrap/>
            <w:vAlign w:val="center"/>
            <w:hideMark/>
          </w:tcPr>
          <w:p w14:paraId="3078C06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37A6C5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42</w:t>
            </w:r>
          </w:p>
        </w:tc>
        <w:tc>
          <w:tcPr>
            <w:tcW w:w="1022" w:type="dxa"/>
            <w:tcBorders>
              <w:top w:val="nil"/>
              <w:left w:val="nil"/>
              <w:bottom w:val="single" w:sz="4" w:space="0" w:color="auto"/>
              <w:right w:val="single" w:sz="4" w:space="0" w:color="auto"/>
            </w:tcBorders>
            <w:shd w:val="clear" w:color="000000" w:fill="FFFFFF"/>
            <w:noWrap/>
            <w:vAlign w:val="center"/>
            <w:hideMark/>
          </w:tcPr>
          <w:p w14:paraId="2A9A0FA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94</w:t>
            </w:r>
          </w:p>
        </w:tc>
        <w:tc>
          <w:tcPr>
            <w:tcW w:w="950" w:type="dxa"/>
            <w:tcBorders>
              <w:top w:val="nil"/>
              <w:left w:val="nil"/>
              <w:bottom w:val="single" w:sz="4" w:space="0" w:color="auto"/>
              <w:right w:val="single" w:sz="4" w:space="0" w:color="auto"/>
            </w:tcBorders>
            <w:shd w:val="clear" w:color="000000" w:fill="FFFFFF"/>
            <w:noWrap/>
            <w:vAlign w:val="center"/>
            <w:hideMark/>
          </w:tcPr>
          <w:p w14:paraId="73585F2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04725F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487998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58.3</w:t>
            </w:r>
          </w:p>
        </w:tc>
        <w:tc>
          <w:tcPr>
            <w:tcW w:w="817" w:type="dxa"/>
            <w:tcBorders>
              <w:top w:val="nil"/>
              <w:left w:val="nil"/>
              <w:bottom w:val="single" w:sz="4" w:space="0" w:color="auto"/>
              <w:right w:val="single" w:sz="4" w:space="0" w:color="auto"/>
            </w:tcBorders>
            <w:shd w:val="clear" w:color="auto" w:fill="auto"/>
            <w:noWrap/>
            <w:vAlign w:val="center"/>
            <w:hideMark/>
          </w:tcPr>
          <w:p w14:paraId="411A41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26.02</w:t>
            </w:r>
          </w:p>
        </w:tc>
        <w:tc>
          <w:tcPr>
            <w:tcW w:w="966" w:type="dxa"/>
            <w:tcBorders>
              <w:top w:val="nil"/>
              <w:left w:val="nil"/>
              <w:bottom w:val="single" w:sz="4" w:space="0" w:color="auto"/>
              <w:right w:val="single" w:sz="4" w:space="0" w:color="auto"/>
            </w:tcBorders>
            <w:shd w:val="clear" w:color="000000" w:fill="FFFFFF"/>
            <w:noWrap/>
            <w:vAlign w:val="center"/>
            <w:hideMark/>
          </w:tcPr>
          <w:p w14:paraId="2742AFA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3.745595</w:t>
            </w:r>
          </w:p>
        </w:tc>
        <w:tc>
          <w:tcPr>
            <w:tcW w:w="966" w:type="dxa"/>
            <w:tcBorders>
              <w:top w:val="nil"/>
              <w:left w:val="nil"/>
              <w:bottom w:val="single" w:sz="4" w:space="0" w:color="auto"/>
              <w:right w:val="single" w:sz="4" w:space="0" w:color="auto"/>
            </w:tcBorders>
            <w:shd w:val="clear" w:color="000000" w:fill="FFFFFF"/>
            <w:noWrap/>
            <w:vAlign w:val="center"/>
            <w:hideMark/>
          </w:tcPr>
          <w:p w14:paraId="4459EA9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322.8315</w:t>
            </w:r>
          </w:p>
        </w:tc>
      </w:tr>
      <w:tr w:rsidR="00117F69" w:rsidRPr="0035519F" w14:paraId="375537D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D647C3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w:t>
            </w:r>
          </w:p>
        </w:tc>
        <w:tc>
          <w:tcPr>
            <w:tcW w:w="960" w:type="dxa"/>
            <w:tcBorders>
              <w:top w:val="nil"/>
              <w:left w:val="nil"/>
              <w:bottom w:val="single" w:sz="4" w:space="0" w:color="auto"/>
              <w:right w:val="single" w:sz="4" w:space="0" w:color="auto"/>
            </w:tcBorders>
            <w:shd w:val="clear" w:color="000000" w:fill="FFFFFF"/>
            <w:noWrap/>
            <w:vAlign w:val="center"/>
            <w:hideMark/>
          </w:tcPr>
          <w:p w14:paraId="52FDDF5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706DB7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w:t>
            </w:r>
          </w:p>
        </w:tc>
        <w:tc>
          <w:tcPr>
            <w:tcW w:w="1022" w:type="dxa"/>
            <w:tcBorders>
              <w:top w:val="nil"/>
              <w:left w:val="nil"/>
              <w:bottom w:val="single" w:sz="4" w:space="0" w:color="auto"/>
              <w:right w:val="single" w:sz="4" w:space="0" w:color="auto"/>
            </w:tcBorders>
            <w:shd w:val="clear" w:color="000000" w:fill="FFFFFF"/>
            <w:noWrap/>
            <w:vAlign w:val="center"/>
            <w:hideMark/>
          </w:tcPr>
          <w:p w14:paraId="3C18A6B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w:t>
            </w:r>
          </w:p>
        </w:tc>
        <w:tc>
          <w:tcPr>
            <w:tcW w:w="950" w:type="dxa"/>
            <w:tcBorders>
              <w:top w:val="nil"/>
              <w:left w:val="nil"/>
              <w:bottom w:val="single" w:sz="4" w:space="0" w:color="auto"/>
              <w:right w:val="single" w:sz="4" w:space="0" w:color="auto"/>
            </w:tcBorders>
            <w:shd w:val="clear" w:color="000000" w:fill="FFFFFF"/>
            <w:noWrap/>
            <w:vAlign w:val="center"/>
            <w:hideMark/>
          </w:tcPr>
          <w:p w14:paraId="18BFA57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0B3AFBC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0D8DFD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57.1</w:t>
            </w:r>
          </w:p>
        </w:tc>
        <w:tc>
          <w:tcPr>
            <w:tcW w:w="817" w:type="dxa"/>
            <w:tcBorders>
              <w:top w:val="nil"/>
              <w:left w:val="nil"/>
              <w:bottom w:val="single" w:sz="4" w:space="0" w:color="auto"/>
              <w:right w:val="single" w:sz="4" w:space="0" w:color="auto"/>
            </w:tcBorders>
            <w:shd w:val="clear" w:color="auto" w:fill="auto"/>
            <w:noWrap/>
            <w:vAlign w:val="center"/>
            <w:hideMark/>
          </w:tcPr>
          <w:p w14:paraId="4B0F6A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2.79</w:t>
            </w:r>
          </w:p>
        </w:tc>
        <w:tc>
          <w:tcPr>
            <w:tcW w:w="966" w:type="dxa"/>
            <w:tcBorders>
              <w:top w:val="nil"/>
              <w:left w:val="nil"/>
              <w:bottom w:val="single" w:sz="4" w:space="0" w:color="auto"/>
              <w:right w:val="single" w:sz="4" w:space="0" w:color="auto"/>
            </w:tcBorders>
            <w:shd w:val="clear" w:color="000000" w:fill="FFFFFF"/>
            <w:noWrap/>
            <w:vAlign w:val="center"/>
            <w:hideMark/>
          </w:tcPr>
          <w:p w14:paraId="29805F4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0.393356</w:t>
            </w:r>
          </w:p>
        </w:tc>
        <w:tc>
          <w:tcPr>
            <w:tcW w:w="966" w:type="dxa"/>
            <w:tcBorders>
              <w:top w:val="nil"/>
              <w:left w:val="nil"/>
              <w:bottom w:val="single" w:sz="4" w:space="0" w:color="auto"/>
              <w:right w:val="single" w:sz="4" w:space="0" w:color="auto"/>
            </w:tcBorders>
            <w:shd w:val="clear" w:color="000000" w:fill="FFFFFF"/>
            <w:noWrap/>
            <w:vAlign w:val="center"/>
            <w:hideMark/>
          </w:tcPr>
          <w:p w14:paraId="3CD44B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932.3563</w:t>
            </w:r>
          </w:p>
        </w:tc>
      </w:tr>
      <w:tr w:rsidR="00117F69" w:rsidRPr="0035519F" w14:paraId="2C3680B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B4C374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42</w:t>
            </w:r>
          </w:p>
        </w:tc>
        <w:tc>
          <w:tcPr>
            <w:tcW w:w="960" w:type="dxa"/>
            <w:tcBorders>
              <w:top w:val="nil"/>
              <w:left w:val="nil"/>
              <w:bottom w:val="single" w:sz="4" w:space="0" w:color="auto"/>
              <w:right w:val="single" w:sz="4" w:space="0" w:color="auto"/>
            </w:tcBorders>
            <w:shd w:val="clear" w:color="000000" w:fill="FFFFFF"/>
            <w:noWrap/>
            <w:vAlign w:val="center"/>
            <w:hideMark/>
          </w:tcPr>
          <w:p w14:paraId="15F1888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6E0F15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1022" w:type="dxa"/>
            <w:tcBorders>
              <w:top w:val="nil"/>
              <w:left w:val="nil"/>
              <w:bottom w:val="single" w:sz="4" w:space="0" w:color="auto"/>
              <w:right w:val="single" w:sz="4" w:space="0" w:color="auto"/>
            </w:tcBorders>
            <w:shd w:val="clear" w:color="000000" w:fill="FFFFFF"/>
            <w:noWrap/>
            <w:vAlign w:val="center"/>
            <w:hideMark/>
          </w:tcPr>
          <w:p w14:paraId="53A98EE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w:t>
            </w:r>
          </w:p>
        </w:tc>
        <w:tc>
          <w:tcPr>
            <w:tcW w:w="950" w:type="dxa"/>
            <w:tcBorders>
              <w:top w:val="nil"/>
              <w:left w:val="nil"/>
              <w:bottom w:val="single" w:sz="4" w:space="0" w:color="auto"/>
              <w:right w:val="single" w:sz="4" w:space="0" w:color="auto"/>
            </w:tcBorders>
            <w:shd w:val="clear" w:color="000000" w:fill="FFFFFF"/>
            <w:noWrap/>
            <w:vAlign w:val="center"/>
            <w:hideMark/>
          </w:tcPr>
          <w:p w14:paraId="2ADB91D4"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476330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5916D0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77.6</w:t>
            </w:r>
          </w:p>
        </w:tc>
        <w:tc>
          <w:tcPr>
            <w:tcW w:w="817" w:type="dxa"/>
            <w:tcBorders>
              <w:top w:val="nil"/>
              <w:left w:val="nil"/>
              <w:bottom w:val="single" w:sz="4" w:space="0" w:color="auto"/>
              <w:right w:val="single" w:sz="4" w:space="0" w:color="auto"/>
            </w:tcBorders>
            <w:shd w:val="clear" w:color="auto" w:fill="auto"/>
            <w:noWrap/>
            <w:vAlign w:val="center"/>
            <w:hideMark/>
          </w:tcPr>
          <w:p w14:paraId="3710E10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8.03</w:t>
            </w:r>
          </w:p>
        </w:tc>
        <w:tc>
          <w:tcPr>
            <w:tcW w:w="966" w:type="dxa"/>
            <w:tcBorders>
              <w:top w:val="nil"/>
              <w:left w:val="nil"/>
              <w:bottom w:val="single" w:sz="4" w:space="0" w:color="auto"/>
              <w:right w:val="single" w:sz="4" w:space="0" w:color="auto"/>
            </w:tcBorders>
            <w:shd w:val="clear" w:color="000000" w:fill="FFFFFF"/>
            <w:noWrap/>
            <w:vAlign w:val="center"/>
            <w:hideMark/>
          </w:tcPr>
          <w:p w14:paraId="1D951BC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1.538588</w:t>
            </w:r>
          </w:p>
        </w:tc>
        <w:tc>
          <w:tcPr>
            <w:tcW w:w="966" w:type="dxa"/>
            <w:tcBorders>
              <w:top w:val="nil"/>
              <w:left w:val="nil"/>
              <w:bottom w:val="single" w:sz="4" w:space="0" w:color="auto"/>
              <w:right w:val="single" w:sz="4" w:space="0" w:color="auto"/>
            </w:tcBorders>
            <w:shd w:val="clear" w:color="000000" w:fill="FFFFFF"/>
            <w:noWrap/>
            <w:vAlign w:val="center"/>
            <w:hideMark/>
          </w:tcPr>
          <w:p w14:paraId="7C56E2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733.1218</w:t>
            </w:r>
          </w:p>
        </w:tc>
      </w:tr>
      <w:tr w:rsidR="00117F69" w:rsidRPr="0035519F" w14:paraId="2FBAF51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1F4ED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w:t>
            </w:r>
          </w:p>
        </w:tc>
        <w:tc>
          <w:tcPr>
            <w:tcW w:w="960" w:type="dxa"/>
            <w:tcBorders>
              <w:top w:val="nil"/>
              <w:left w:val="nil"/>
              <w:bottom w:val="single" w:sz="4" w:space="0" w:color="auto"/>
              <w:right w:val="single" w:sz="4" w:space="0" w:color="auto"/>
            </w:tcBorders>
            <w:shd w:val="clear" w:color="000000" w:fill="FFFFFF"/>
            <w:noWrap/>
            <w:vAlign w:val="center"/>
            <w:hideMark/>
          </w:tcPr>
          <w:p w14:paraId="6C4B45B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EBD8B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68AF558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w:t>
            </w:r>
          </w:p>
        </w:tc>
        <w:tc>
          <w:tcPr>
            <w:tcW w:w="950" w:type="dxa"/>
            <w:tcBorders>
              <w:top w:val="nil"/>
              <w:left w:val="nil"/>
              <w:bottom w:val="single" w:sz="4" w:space="0" w:color="auto"/>
              <w:right w:val="single" w:sz="4" w:space="0" w:color="auto"/>
            </w:tcBorders>
            <w:shd w:val="clear" w:color="000000" w:fill="FFFFFF"/>
            <w:noWrap/>
            <w:vAlign w:val="center"/>
            <w:hideMark/>
          </w:tcPr>
          <w:p w14:paraId="2970EAD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6BEF23C8"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03CA76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73.4</w:t>
            </w:r>
          </w:p>
        </w:tc>
        <w:tc>
          <w:tcPr>
            <w:tcW w:w="817" w:type="dxa"/>
            <w:tcBorders>
              <w:top w:val="nil"/>
              <w:left w:val="nil"/>
              <w:bottom w:val="single" w:sz="4" w:space="0" w:color="auto"/>
              <w:right w:val="single" w:sz="4" w:space="0" w:color="auto"/>
            </w:tcBorders>
            <w:shd w:val="clear" w:color="auto" w:fill="auto"/>
            <w:noWrap/>
            <w:vAlign w:val="center"/>
            <w:hideMark/>
          </w:tcPr>
          <w:p w14:paraId="41EE8B5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9.97</w:t>
            </w:r>
          </w:p>
        </w:tc>
        <w:tc>
          <w:tcPr>
            <w:tcW w:w="966" w:type="dxa"/>
            <w:tcBorders>
              <w:top w:val="nil"/>
              <w:left w:val="nil"/>
              <w:bottom w:val="single" w:sz="4" w:space="0" w:color="auto"/>
              <w:right w:val="single" w:sz="4" w:space="0" w:color="auto"/>
            </w:tcBorders>
            <w:shd w:val="clear" w:color="000000" w:fill="FFFFFF"/>
            <w:noWrap/>
            <w:vAlign w:val="center"/>
            <w:hideMark/>
          </w:tcPr>
          <w:p w14:paraId="77650EB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1.806909</w:t>
            </w:r>
          </w:p>
        </w:tc>
        <w:tc>
          <w:tcPr>
            <w:tcW w:w="966" w:type="dxa"/>
            <w:tcBorders>
              <w:top w:val="nil"/>
              <w:left w:val="nil"/>
              <w:bottom w:val="single" w:sz="4" w:space="0" w:color="auto"/>
              <w:right w:val="single" w:sz="4" w:space="0" w:color="auto"/>
            </w:tcBorders>
            <w:shd w:val="clear" w:color="000000" w:fill="FFFFFF"/>
            <w:noWrap/>
            <w:vAlign w:val="center"/>
            <w:hideMark/>
          </w:tcPr>
          <w:p w14:paraId="7AF1F7C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347.2093</w:t>
            </w:r>
          </w:p>
        </w:tc>
      </w:tr>
      <w:tr w:rsidR="00117F69" w:rsidRPr="0035519F" w14:paraId="6356654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25959E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w:t>
            </w:r>
          </w:p>
        </w:tc>
        <w:tc>
          <w:tcPr>
            <w:tcW w:w="960" w:type="dxa"/>
            <w:tcBorders>
              <w:top w:val="nil"/>
              <w:left w:val="nil"/>
              <w:bottom w:val="single" w:sz="4" w:space="0" w:color="auto"/>
              <w:right w:val="single" w:sz="4" w:space="0" w:color="auto"/>
            </w:tcBorders>
            <w:shd w:val="clear" w:color="000000" w:fill="FFFFFF"/>
            <w:noWrap/>
            <w:vAlign w:val="center"/>
            <w:hideMark/>
          </w:tcPr>
          <w:p w14:paraId="28DBF2D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900648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36</w:t>
            </w:r>
          </w:p>
        </w:tc>
        <w:tc>
          <w:tcPr>
            <w:tcW w:w="1022" w:type="dxa"/>
            <w:tcBorders>
              <w:top w:val="nil"/>
              <w:left w:val="nil"/>
              <w:bottom w:val="single" w:sz="4" w:space="0" w:color="auto"/>
              <w:right w:val="single" w:sz="4" w:space="0" w:color="auto"/>
            </w:tcBorders>
            <w:shd w:val="clear" w:color="000000" w:fill="FFFFFF"/>
            <w:noWrap/>
            <w:vAlign w:val="center"/>
            <w:hideMark/>
          </w:tcPr>
          <w:p w14:paraId="3F1E100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75</w:t>
            </w:r>
          </w:p>
        </w:tc>
        <w:tc>
          <w:tcPr>
            <w:tcW w:w="950" w:type="dxa"/>
            <w:tcBorders>
              <w:top w:val="nil"/>
              <w:left w:val="nil"/>
              <w:bottom w:val="single" w:sz="4" w:space="0" w:color="auto"/>
              <w:right w:val="single" w:sz="4" w:space="0" w:color="auto"/>
            </w:tcBorders>
            <w:shd w:val="clear" w:color="000000" w:fill="FFFFFF"/>
            <w:noWrap/>
            <w:vAlign w:val="center"/>
            <w:hideMark/>
          </w:tcPr>
          <w:p w14:paraId="7F5A773E"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C9D92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405CC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78.3</w:t>
            </w:r>
          </w:p>
        </w:tc>
        <w:tc>
          <w:tcPr>
            <w:tcW w:w="817" w:type="dxa"/>
            <w:tcBorders>
              <w:top w:val="nil"/>
              <w:left w:val="nil"/>
              <w:bottom w:val="single" w:sz="4" w:space="0" w:color="auto"/>
              <w:right w:val="single" w:sz="4" w:space="0" w:color="auto"/>
            </w:tcBorders>
            <w:shd w:val="clear" w:color="auto" w:fill="auto"/>
            <w:noWrap/>
            <w:vAlign w:val="center"/>
            <w:hideMark/>
          </w:tcPr>
          <w:p w14:paraId="7D7EC56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9.85</w:t>
            </w:r>
          </w:p>
        </w:tc>
        <w:tc>
          <w:tcPr>
            <w:tcW w:w="966" w:type="dxa"/>
            <w:tcBorders>
              <w:top w:val="nil"/>
              <w:left w:val="nil"/>
              <w:bottom w:val="single" w:sz="4" w:space="0" w:color="auto"/>
              <w:right w:val="single" w:sz="4" w:space="0" w:color="auto"/>
            </w:tcBorders>
            <w:shd w:val="clear" w:color="000000" w:fill="FFFFFF"/>
            <w:noWrap/>
            <w:vAlign w:val="center"/>
            <w:hideMark/>
          </w:tcPr>
          <w:p w14:paraId="03691A8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1.904333</w:t>
            </w:r>
          </w:p>
        </w:tc>
        <w:tc>
          <w:tcPr>
            <w:tcW w:w="966" w:type="dxa"/>
            <w:tcBorders>
              <w:top w:val="nil"/>
              <w:left w:val="nil"/>
              <w:bottom w:val="single" w:sz="4" w:space="0" w:color="auto"/>
              <w:right w:val="single" w:sz="4" w:space="0" w:color="auto"/>
            </w:tcBorders>
            <w:shd w:val="clear" w:color="000000" w:fill="FFFFFF"/>
            <w:noWrap/>
            <w:vAlign w:val="center"/>
            <w:hideMark/>
          </w:tcPr>
          <w:p w14:paraId="722A7EF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91.257</w:t>
            </w:r>
          </w:p>
        </w:tc>
      </w:tr>
      <w:tr w:rsidR="00117F69" w:rsidRPr="0035519F" w14:paraId="47AA3784"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777B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45</w:t>
            </w:r>
          </w:p>
        </w:tc>
        <w:tc>
          <w:tcPr>
            <w:tcW w:w="960" w:type="dxa"/>
            <w:tcBorders>
              <w:top w:val="nil"/>
              <w:left w:val="nil"/>
              <w:bottom w:val="single" w:sz="4" w:space="0" w:color="auto"/>
              <w:right w:val="single" w:sz="4" w:space="0" w:color="auto"/>
            </w:tcBorders>
            <w:shd w:val="clear" w:color="000000" w:fill="FFFFFF"/>
            <w:noWrap/>
            <w:vAlign w:val="center"/>
            <w:hideMark/>
          </w:tcPr>
          <w:p w14:paraId="76C603D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58F599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076D4FD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w:t>
            </w:r>
          </w:p>
        </w:tc>
        <w:tc>
          <w:tcPr>
            <w:tcW w:w="950" w:type="dxa"/>
            <w:tcBorders>
              <w:top w:val="nil"/>
              <w:left w:val="nil"/>
              <w:bottom w:val="single" w:sz="4" w:space="0" w:color="auto"/>
              <w:right w:val="single" w:sz="4" w:space="0" w:color="auto"/>
            </w:tcBorders>
            <w:shd w:val="clear" w:color="000000" w:fill="FFFFFF"/>
            <w:noWrap/>
            <w:vAlign w:val="center"/>
            <w:hideMark/>
          </w:tcPr>
          <w:p w14:paraId="079C143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9BF5AAB"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D0614D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74.2</w:t>
            </w:r>
          </w:p>
        </w:tc>
        <w:tc>
          <w:tcPr>
            <w:tcW w:w="817" w:type="dxa"/>
            <w:tcBorders>
              <w:top w:val="nil"/>
              <w:left w:val="nil"/>
              <w:bottom w:val="single" w:sz="4" w:space="0" w:color="auto"/>
              <w:right w:val="single" w:sz="4" w:space="0" w:color="auto"/>
            </w:tcBorders>
            <w:shd w:val="clear" w:color="auto" w:fill="auto"/>
            <w:noWrap/>
            <w:vAlign w:val="center"/>
            <w:hideMark/>
          </w:tcPr>
          <w:p w14:paraId="3D59160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22.48</w:t>
            </w:r>
          </w:p>
        </w:tc>
        <w:tc>
          <w:tcPr>
            <w:tcW w:w="966" w:type="dxa"/>
            <w:tcBorders>
              <w:top w:val="nil"/>
              <w:left w:val="nil"/>
              <w:bottom w:val="single" w:sz="4" w:space="0" w:color="auto"/>
              <w:right w:val="single" w:sz="4" w:space="0" w:color="auto"/>
            </w:tcBorders>
            <w:shd w:val="clear" w:color="000000" w:fill="FFFFFF"/>
            <w:noWrap/>
            <w:vAlign w:val="center"/>
            <w:hideMark/>
          </w:tcPr>
          <w:p w14:paraId="1DADDEC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4.118558</w:t>
            </w:r>
          </w:p>
        </w:tc>
        <w:tc>
          <w:tcPr>
            <w:tcW w:w="966" w:type="dxa"/>
            <w:tcBorders>
              <w:top w:val="nil"/>
              <w:left w:val="nil"/>
              <w:bottom w:val="single" w:sz="4" w:space="0" w:color="auto"/>
              <w:right w:val="single" w:sz="4" w:space="0" w:color="auto"/>
            </w:tcBorders>
            <w:shd w:val="clear" w:color="000000" w:fill="FFFFFF"/>
            <w:noWrap/>
            <w:vAlign w:val="center"/>
            <w:hideMark/>
          </w:tcPr>
          <w:p w14:paraId="324978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316.2085</w:t>
            </w:r>
          </w:p>
        </w:tc>
      </w:tr>
      <w:tr w:rsidR="00117F69" w:rsidRPr="0035519F" w14:paraId="0488BCA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8208DA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46</w:t>
            </w:r>
          </w:p>
        </w:tc>
        <w:tc>
          <w:tcPr>
            <w:tcW w:w="960" w:type="dxa"/>
            <w:tcBorders>
              <w:top w:val="nil"/>
              <w:left w:val="nil"/>
              <w:bottom w:val="single" w:sz="4" w:space="0" w:color="auto"/>
              <w:right w:val="single" w:sz="4" w:space="0" w:color="auto"/>
            </w:tcBorders>
            <w:shd w:val="clear" w:color="000000" w:fill="FFFFFF"/>
            <w:noWrap/>
            <w:vAlign w:val="center"/>
            <w:hideMark/>
          </w:tcPr>
          <w:p w14:paraId="43E743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A16F95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7E689A9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w:t>
            </w:r>
          </w:p>
        </w:tc>
        <w:tc>
          <w:tcPr>
            <w:tcW w:w="950" w:type="dxa"/>
            <w:tcBorders>
              <w:top w:val="nil"/>
              <w:left w:val="nil"/>
              <w:bottom w:val="single" w:sz="4" w:space="0" w:color="auto"/>
              <w:right w:val="single" w:sz="4" w:space="0" w:color="auto"/>
            </w:tcBorders>
            <w:shd w:val="clear" w:color="000000" w:fill="FFFFFF"/>
            <w:noWrap/>
            <w:vAlign w:val="center"/>
            <w:hideMark/>
          </w:tcPr>
          <w:p w14:paraId="0E000CE5"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32FB65E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18188B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56.7</w:t>
            </w:r>
          </w:p>
        </w:tc>
        <w:tc>
          <w:tcPr>
            <w:tcW w:w="817" w:type="dxa"/>
            <w:tcBorders>
              <w:top w:val="nil"/>
              <w:left w:val="nil"/>
              <w:bottom w:val="single" w:sz="4" w:space="0" w:color="auto"/>
              <w:right w:val="single" w:sz="4" w:space="0" w:color="auto"/>
            </w:tcBorders>
            <w:shd w:val="clear" w:color="auto" w:fill="auto"/>
            <w:noWrap/>
            <w:vAlign w:val="center"/>
            <w:hideMark/>
          </w:tcPr>
          <w:p w14:paraId="1167A67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6.32</w:t>
            </w:r>
          </w:p>
        </w:tc>
        <w:tc>
          <w:tcPr>
            <w:tcW w:w="966" w:type="dxa"/>
            <w:tcBorders>
              <w:top w:val="nil"/>
              <w:left w:val="nil"/>
              <w:bottom w:val="single" w:sz="4" w:space="0" w:color="auto"/>
              <w:right w:val="single" w:sz="4" w:space="0" w:color="auto"/>
            </w:tcBorders>
            <w:shd w:val="clear" w:color="000000" w:fill="FFFFFF"/>
            <w:noWrap/>
            <w:vAlign w:val="center"/>
            <w:hideMark/>
          </w:tcPr>
          <w:p w14:paraId="506AA53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0.8848</w:t>
            </w:r>
          </w:p>
        </w:tc>
        <w:tc>
          <w:tcPr>
            <w:tcW w:w="966" w:type="dxa"/>
            <w:tcBorders>
              <w:top w:val="nil"/>
              <w:left w:val="nil"/>
              <w:bottom w:val="single" w:sz="4" w:space="0" w:color="auto"/>
              <w:right w:val="single" w:sz="4" w:space="0" w:color="auto"/>
            </w:tcBorders>
            <w:shd w:val="clear" w:color="000000" w:fill="FFFFFF"/>
            <w:noWrap/>
            <w:vAlign w:val="center"/>
            <w:hideMark/>
          </w:tcPr>
          <w:p w14:paraId="2650CB0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524.6171</w:t>
            </w:r>
          </w:p>
        </w:tc>
      </w:tr>
      <w:tr w:rsidR="00117F69" w:rsidRPr="0035519F" w14:paraId="1636C51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BA43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47</w:t>
            </w:r>
          </w:p>
        </w:tc>
        <w:tc>
          <w:tcPr>
            <w:tcW w:w="960" w:type="dxa"/>
            <w:tcBorders>
              <w:top w:val="nil"/>
              <w:left w:val="nil"/>
              <w:bottom w:val="single" w:sz="4" w:space="0" w:color="auto"/>
              <w:right w:val="single" w:sz="4" w:space="0" w:color="auto"/>
            </w:tcBorders>
            <w:shd w:val="clear" w:color="000000" w:fill="FFFFFF"/>
            <w:noWrap/>
            <w:vAlign w:val="center"/>
            <w:hideMark/>
          </w:tcPr>
          <w:p w14:paraId="60CE00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9F2F0B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5809B99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89</w:t>
            </w:r>
          </w:p>
        </w:tc>
        <w:tc>
          <w:tcPr>
            <w:tcW w:w="950" w:type="dxa"/>
            <w:tcBorders>
              <w:top w:val="nil"/>
              <w:left w:val="nil"/>
              <w:bottom w:val="single" w:sz="4" w:space="0" w:color="auto"/>
              <w:right w:val="single" w:sz="4" w:space="0" w:color="auto"/>
            </w:tcBorders>
            <w:shd w:val="clear" w:color="000000" w:fill="FFFFFF"/>
            <w:noWrap/>
            <w:vAlign w:val="center"/>
            <w:hideMark/>
          </w:tcPr>
          <w:p w14:paraId="0822455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5CA6F1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213F14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73.7</w:t>
            </w:r>
          </w:p>
        </w:tc>
        <w:tc>
          <w:tcPr>
            <w:tcW w:w="817" w:type="dxa"/>
            <w:tcBorders>
              <w:top w:val="nil"/>
              <w:left w:val="nil"/>
              <w:bottom w:val="single" w:sz="4" w:space="0" w:color="auto"/>
              <w:right w:val="single" w:sz="4" w:space="0" w:color="auto"/>
            </w:tcBorders>
            <w:shd w:val="clear" w:color="auto" w:fill="auto"/>
            <w:noWrap/>
            <w:vAlign w:val="center"/>
            <w:hideMark/>
          </w:tcPr>
          <w:p w14:paraId="321C5F0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12.69</w:t>
            </w:r>
          </w:p>
        </w:tc>
        <w:tc>
          <w:tcPr>
            <w:tcW w:w="966" w:type="dxa"/>
            <w:tcBorders>
              <w:top w:val="nil"/>
              <w:left w:val="nil"/>
              <w:bottom w:val="single" w:sz="4" w:space="0" w:color="auto"/>
              <w:right w:val="single" w:sz="4" w:space="0" w:color="auto"/>
            </w:tcBorders>
            <w:shd w:val="clear" w:color="000000" w:fill="FFFFFF"/>
            <w:noWrap/>
            <w:vAlign w:val="center"/>
            <w:hideMark/>
          </w:tcPr>
          <w:p w14:paraId="057568E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2.309267</w:t>
            </w:r>
          </w:p>
        </w:tc>
        <w:tc>
          <w:tcPr>
            <w:tcW w:w="966" w:type="dxa"/>
            <w:tcBorders>
              <w:top w:val="nil"/>
              <w:left w:val="nil"/>
              <w:bottom w:val="single" w:sz="4" w:space="0" w:color="auto"/>
              <w:right w:val="single" w:sz="4" w:space="0" w:color="auto"/>
            </w:tcBorders>
            <w:shd w:val="clear" w:color="000000" w:fill="FFFFFF"/>
            <w:noWrap/>
            <w:vAlign w:val="center"/>
            <w:hideMark/>
          </w:tcPr>
          <w:p w14:paraId="044640F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34.33097</w:t>
            </w:r>
          </w:p>
        </w:tc>
      </w:tr>
      <w:tr w:rsidR="00117F69" w:rsidRPr="0035519F" w14:paraId="2C2A4BA1"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3374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48</w:t>
            </w:r>
          </w:p>
        </w:tc>
        <w:tc>
          <w:tcPr>
            <w:tcW w:w="960" w:type="dxa"/>
            <w:tcBorders>
              <w:top w:val="nil"/>
              <w:left w:val="nil"/>
              <w:bottom w:val="single" w:sz="4" w:space="0" w:color="auto"/>
              <w:right w:val="single" w:sz="4" w:space="0" w:color="auto"/>
            </w:tcBorders>
            <w:shd w:val="clear" w:color="000000" w:fill="FFFFFF"/>
            <w:noWrap/>
            <w:vAlign w:val="center"/>
            <w:hideMark/>
          </w:tcPr>
          <w:p w14:paraId="27070DA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4A2DFF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0777A21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w:t>
            </w:r>
          </w:p>
        </w:tc>
        <w:tc>
          <w:tcPr>
            <w:tcW w:w="950" w:type="dxa"/>
            <w:tcBorders>
              <w:top w:val="nil"/>
              <w:left w:val="nil"/>
              <w:bottom w:val="single" w:sz="4" w:space="0" w:color="auto"/>
              <w:right w:val="single" w:sz="4" w:space="0" w:color="auto"/>
            </w:tcBorders>
            <w:shd w:val="clear" w:color="000000" w:fill="FFFFFF"/>
            <w:noWrap/>
            <w:vAlign w:val="center"/>
            <w:hideMark/>
          </w:tcPr>
          <w:p w14:paraId="1392E4AA"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055B151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244EA3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54.5</w:t>
            </w:r>
          </w:p>
        </w:tc>
        <w:tc>
          <w:tcPr>
            <w:tcW w:w="817" w:type="dxa"/>
            <w:tcBorders>
              <w:top w:val="nil"/>
              <w:left w:val="nil"/>
              <w:bottom w:val="single" w:sz="4" w:space="0" w:color="auto"/>
              <w:right w:val="single" w:sz="4" w:space="0" w:color="auto"/>
            </w:tcBorders>
            <w:shd w:val="clear" w:color="auto" w:fill="auto"/>
            <w:noWrap/>
            <w:vAlign w:val="center"/>
            <w:hideMark/>
          </w:tcPr>
          <w:p w14:paraId="78D96E0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5.74</w:t>
            </w:r>
          </w:p>
        </w:tc>
        <w:tc>
          <w:tcPr>
            <w:tcW w:w="966" w:type="dxa"/>
            <w:tcBorders>
              <w:top w:val="nil"/>
              <w:left w:val="nil"/>
              <w:bottom w:val="single" w:sz="4" w:space="0" w:color="auto"/>
              <w:right w:val="single" w:sz="4" w:space="0" w:color="auto"/>
            </w:tcBorders>
            <w:shd w:val="clear" w:color="000000" w:fill="FFFFFF"/>
            <w:noWrap/>
            <w:vAlign w:val="center"/>
            <w:hideMark/>
          </w:tcPr>
          <w:p w14:paraId="485E278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0.77242</w:t>
            </w:r>
          </w:p>
        </w:tc>
        <w:tc>
          <w:tcPr>
            <w:tcW w:w="966" w:type="dxa"/>
            <w:tcBorders>
              <w:top w:val="nil"/>
              <w:left w:val="nil"/>
              <w:bottom w:val="single" w:sz="4" w:space="0" w:color="auto"/>
              <w:right w:val="single" w:sz="4" w:space="0" w:color="auto"/>
            </w:tcBorders>
            <w:shd w:val="clear" w:color="000000" w:fill="FFFFFF"/>
            <w:noWrap/>
            <w:vAlign w:val="center"/>
            <w:hideMark/>
          </w:tcPr>
          <w:p w14:paraId="5F1E658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765.1289</w:t>
            </w:r>
          </w:p>
        </w:tc>
      </w:tr>
      <w:tr w:rsidR="00117F69" w:rsidRPr="0035519F" w14:paraId="142AF1B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DA439E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49</w:t>
            </w:r>
          </w:p>
        </w:tc>
        <w:tc>
          <w:tcPr>
            <w:tcW w:w="960" w:type="dxa"/>
            <w:tcBorders>
              <w:top w:val="nil"/>
              <w:left w:val="nil"/>
              <w:bottom w:val="single" w:sz="4" w:space="0" w:color="auto"/>
              <w:right w:val="single" w:sz="4" w:space="0" w:color="auto"/>
            </w:tcBorders>
            <w:shd w:val="clear" w:color="000000" w:fill="FFFFFF"/>
            <w:noWrap/>
            <w:vAlign w:val="center"/>
            <w:hideMark/>
          </w:tcPr>
          <w:p w14:paraId="504F1C2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5F7E3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1022" w:type="dxa"/>
            <w:tcBorders>
              <w:top w:val="nil"/>
              <w:left w:val="nil"/>
              <w:bottom w:val="single" w:sz="4" w:space="0" w:color="auto"/>
              <w:right w:val="single" w:sz="4" w:space="0" w:color="auto"/>
            </w:tcBorders>
            <w:shd w:val="clear" w:color="000000" w:fill="FFFFFF"/>
            <w:noWrap/>
            <w:vAlign w:val="center"/>
            <w:hideMark/>
          </w:tcPr>
          <w:p w14:paraId="11D03B9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86</w:t>
            </w:r>
          </w:p>
        </w:tc>
        <w:tc>
          <w:tcPr>
            <w:tcW w:w="950" w:type="dxa"/>
            <w:tcBorders>
              <w:top w:val="nil"/>
              <w:left w:val="nil"/>
              <w:bottom w:val="single" w:sz="4" w:space="0" w:color="auto"/>
              <w:right w:val="single" w:sz="4" w:space="0" w:color="auto"/>
            </w:tcBorders>
            <w:shd w:val="clear" w:color="000000" w:fill="FFFFFF"/>
            <w:noWrap/>
            <w:vAlign w:val="center"/>
            <w:hideMark/>
          </w:tcPr>
          <w:p w14:paraId="7C8B770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D616F6E"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DFC916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64.9</w:t>
            </w:r>
          </w:p>
        </w:tc>
        <w:tc>
          <w:tcPr>
            <w:tcW w:w="817" w:type="dxa"/>
            <w:tcBorders>
              <w:top w:val="nil"/>
              <w:left w:val="nil"/>
              <w:bottom w:val="single" w:sz="4" w:space="0" w:color="auto"/>
              <w:right w:val="single" w:sz="4" w:space="0" w:color="auto"/>
            </w:tcBorders>
            <w:shd w:val="clear" w:color="auto" w:fill="auto"/>
            <w:noWrap/>
            <w:vAlign w:val="center"/>
            <w:hideMark/>
          </w:tcPr>
          <w:p w14:paraId="0D63BA7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9.12</w:t>
            </w:r>
          </w:p>
        </w:tc>
        <w:tc>
          <w:tcPr>
            <w:tcW w:w="966" w:type="dxa"/>
            <w:tcBorders>
              <w:top w:val="nil"/>
              <w:left w:val="nil"/>
              <w:bottom w:val="single" w:sz="4" w:space="0" w:color="auto"/>
              <w:right w:val="single" w:sz="4" w:space="0" w:color="auto"/>
            </w:tcBorders>
            <w:shd w:val="clear" w:color="000000" w:fill="FFFFFF"/>
            <w:noWrap/>
            <w:vAlign w:val="center"/>
            <w:hideMark/>
          </w:tcPr>
          <w:p w14:paraId="45F6611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1.461452</w:t>
            </w:r>
          </w:p>
        </w:tc>
        <w:tc>
          <w:tcPr>
            <w:tcW w:w="966" w:type="dxa"/>
            <w:tcBorders>
              <w:top w:val="nil"/>
              <w:left w:val="nil"/>
              <w:bottom w:val="single" w:sz="4" w:space="0" w:color="auto"/>
              <w:right w:val="single" w:sz="4" w:space="0" w:color="auto"/>
            </w:tcBorders>
            <w:shd w:val="clear" w:color="000000" w:fill="FFFFFF"/>
            <w:noWrap/>
            <w:vAlign w:val="center"/>
            <w:hideMark/>
          </w:tcPr>
          <w:p w14:paraId="17F7B0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43.85466</w:t>
            </w:r>
          </w:p>
        </w:tc>
      </w:tr>
      <w:tr w:rsidR="00117F69" w:rsidRPr="0035519F" w14:paraId="26382BB4"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87DC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50</w:t>
            </w:r>
          </w:p>
        </w:tc>
        <w:tc>
          <w:tcPr>
            <w:tcW w:w="960" w:type="dxa"/>
            <w:tcBorders>
              <w:top w:val="nil"/>
              <w:left w:val="nil"/>
              <w:bottom w:val="single" w:sz="4" w:space="0" w:color="auto"/>
              <w:right w:val="single" w:sz="4" w:space="0" w:color="auto"/>
            </w:tcBorders>
            <w:shd w:val="clear" w:color="000000" w:fill="FFFFFF"/>
            <w:noWrap/>
            <w:vAlign w:val="center"/>
            <w:hideMark/>
          </w:tcPr>
          <w:p w14:paraId="4D1E92D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8F30F0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0F9454B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w:t>
            </w:r>
          </w:p>
        </w:tc>
        <w:tc>
          <w:tcPr>
            <w:tcW w:w="950" w:type="dxa"/>
            <w:tcBorders>
              <w:top w:val="nil"/>
              <w:left w:val="nil"/>
              <w:bottom w:val="single" w:sz="4" w:space="0" w:color="auto"/>
              <w:right w:val="single" w:sz="4" w:space="0" w:color="auto"/>
            </w:tcBorders>
            <w:shd w:val="clear" w:color="000000" w:fill="FFFFFF"/>
            <w:noWrap/>
            <w:vAlign w:val="center"/>
            <w:hideMark/>
          </w:tcPr>
          <w:p w14:paraId="48839E4B"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C5C6F9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1321D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75.1</w:t>
            </w:r>
          </w:p>
        </w:tc>
        <w:tc>
          <w:tcPr>
            <w:tcW w:w="817" w:type="dxa"/>
            <w:tcBorders>
              <w:top w:val="nil"/>
              <w:left w:val="nil"/>
              <w:bottom w:val="single" w:sz="4" w:space="0" w:color="auto"/>
              <w:right w:val="single" w:sz="4" w:space="0" w:color="auto"/>
            </w:tcBorders>
            <w:shd w:val="clear" w:color="auto" w:fill="auto"/>
            <w:noWrap/>
            <w:vAlign w:val="center"/>
            <w:hideMark/>
          </w:tcPr>
          <w:p w14:paraId="7AB38CF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9.43</w:t>
            </w:r>
          </w:p>
        </w:tc>
        <w:tc>
          <w:tcPr>
            <w:tcW w:w="966" w:type="dxa"/>
            <w:tcBorders>
              <w:top w:val="nil"/>
              <w:left w:val="nil"/>
              <w:bottom w:val="single" w:sz="4" w:space="0" w:color="auto"/>
              <w:right w:val="single" w:sz="4" w:space="0" w:color="auto"/>
            </w:tcBorders>
            <w:shd w:val="clear" w:color="000000" w:fill="FFFFFF"/>
            <w:noWrap/>
            <w:vAlign w:val="center"/>
            <w:hideMark/>
          </w:tcPr>
          <w:p w14:paraId="5534384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1.748625</w:t>
            </w:r>
          </w:p>
        </w:tc>
        <w:tc>
          <w:tcPr>
            <w:tcW w:w="966" w:type="dxa"/>
            <w:tcBorders>
              <w:top w:val="nil"/>
              <w:left w:val="nil"/>
              <w:bottom w:val="single" w:sz="4" w:space="0" w:color="auto"/>
              <w:right w:val="single" w:sz="4" w:space="0" w:color="auto"/>
            </w:tcBorders>
            <w:shd w:val="clear" w:color="000000" w:fill="FFFFFF"/>
            <w:noWrap/>
            <w:vAlign w:val="center"/>
            <w:hideMark/>
          </w:tcPr>
          <w:p w14:paraId="4F5FB88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720.2871</w:t>
            </w:r>
          </w:p>
        </w:tc>
      </w:tr>
      <w:tr w:rsidR="00117F69" w:rsidRPr="0035519F" w14:paraId="3D1D77A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3F1657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51</w:t>
            </w:r>
          </w:p>
        </w:tc>
        <w:tc>
          <w:tcPr>
            <w:tcW w:w="960" w:type="dxa"/>
            <w:tcBorders>
              <w:top w:val="nil"/>
              <w:left w:val="nil"/>
              <w:bottom w:val="single" w:sz="4" w:space="0" w:color="auto"/>
              <w:right w:val="single" w:sz="4" w:space="0" w:color="auto"/>
            </w:tcBorders>
            <w:shd w:val="clear" w:color="000000" w:fill="FFFFFF"/>
            <w:noWrap/>
            <w:vAlign w:val="center"/>
            <w:hideMark/>
          </w:tcPr>
          <w:p w14:paraId="6ECF691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5FF7A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55164C5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537C2902"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D3E056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F62D5F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60.3</w:t>
            </w:r>
          </w:p>
        </w:tc>
        <w:tc>
          <w:tcPr>
            <w:tcW w:w="817" w:type="dxa"/>
            <w:tcBorders>
              <w:top w:val="nil"/>
              <w:left w:val="nil"/>
              <w:bottom w:val="single" w:sz="4" w:space="0" w:color="auto"/>
              <w:right w:val="single" w:sz="4" w:space="0" w:color="auto"/>
            </w:tcBorders>
            <w:shd w:val="clear" w:color="auto" w:fill="auto"/>
            <w:noWrap/>
            <w:vAlign w:val="center"/>
            <w:hideMark/>
          </w:tcPr>
          <w:p w14:paraId="7DB6C3A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w:t>
            </w:r>
          </w:p>
        </w:tc>
        <w:tc>
          <w:tcPr>
            <w:tcW w:w="966" w:type="dxa"/>
            <w:tcBorders>
              <w:top w:val="nil"/>
              <w:left w:val="nil"/>
              <w:bottom w:val="single" w:sz="4" w:space="0" w:color="auto"/>
              <w:right w:val="single" w:sz="4" w:space="0" w:color="auto"/>
            </w:tcBorders>
            <w:shd w:val="clear" w:color="000000" w:fill="FFFFFF"/>
            <w:noWrap/>
            <w:vAlign w:val="center"/>
            <w:hideMark/>
          </w:tcPr>
          <w:p w14:paraId="677E0CC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0.550889</w:t>
            </w:r>
          </w:p>
        </w:tc>
        <w:tc>
          <w:tcPr>
            <w:tcW w:w="966" w:type="dxa"/>
            <w:tcBorders>
              <w:top w:val="nil"/>
              <w:left w:val="nil"/>
              <w:bottom w:val="single" w:sz="4" w:space="0" w:color="auto"/>
              <w:right w:val="single" w:sz="4" w:space="0" w:color="auto"/>
            </w:tcBorders>
            <w:shd w:val="clear" w:color="000000" w:fill="FFFFFF"/>
            <w:noWrap/>
            <w:vAlign w:val="center"/>
            <w:hideMark/>
          </w:tcPr>
          <w:p w14:paraId="69BE1A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1016.695</w:t>
            </w:r>
          </w:p>
        </w:tc>
      </w:tr>
      <w:tr w:rsidR="00117F69" w:rsidRPr="0035519F" w14:paraId="1BC18E2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84408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52</w:t>
            </w:r>
          </w:p>
        </w:tc>
        <w:tc>
          <w:tcPr>
            <w:tcW w:w="960" w:type="dxa"/>
            <w:tcBorders>
              <w:top w:val="nil"/>
              <w:left w:val="nil"/>
              <w:bottom w:val="single" w:sz="4" w:space="0" w:color="auto"/>
              <w:right w:val="single" w:sz="4" w:space="0" w:color="auto"/>
            </w:tcBorders>
            <w:shd w:val="clear" w:color="000000" w:fill="FFFFFF"/>
            <w:noWrap/>
            <w:vAlign w:val="center"/>
            <w:hideMark/>
          </w:tcPr>
          <w:p w14:paraId="22AC1C0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FBB75E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15A8194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101</w:t>
            </w:r>
          </w:p>
        </w:tc>
        <w:tc>
          <w:tcPr>
            <w:tcW w:w="950" w:type="dxa"/>
            <w:tcBorders>
              <w:top w:val="nil"/>
              <w:left w:val="nil"/>
              <w:bottom w:val="single" w:sz="4" w:space="0" w:color="auto"/>
              <w:right w:val="single" w:sz="4" w:space="0" w:color="auto"/>
            </w:tcBorders>
            <w:shd w:val="clear" w:color="000000" w:fill="FFFFFF"/>
            <w:noWrap/>
            <w:vAlign w:val="center"/>
            <w:hideMark/>
          </w:tcPr>
          <w:p w14:paraId="6CDFAA1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5B8E002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1A8243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61.1</w:t>
            </w:r>
          </w:p>
        </w:tc>
        <w:tc>
          <w:tcPr>
            <w:tcW w:w="817" w:type="dxa"/>
            <w:tcBorders>
              <w:top w:val="nil"/>
              <w:left w:val="nil"/>
              <w:bottom w:val="single" w:sz="4" w:space="0" w:color="auto"/>
              <w:right w:val="single" w:sz="4" w:space="0" w:color="auto"/>
            </w:tcBorders>
            <w:shd w:val="clear" w:color="auto" w:fill="auto"/>
            <w:noWrap/>
            <w:vAlign w:val="center"/>
            <w:hideMark/>
          </w:tcPr>
          <w:p w14:paraId="5A833D1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18.73</w:t>
            </w:r>
          </w:p>
        </w:tc>
        <w:tc>
          <w:tcPr>
            <w:tcW w:w="966" w:type="dxa"/>
            <w:tcBorders>
              <w:top w:val="nil"/>
              <w:left w:val="nil"/>
              <w:bottom w:val="single" w:sz="4" w:space="0" w:color="auto"/>
              <w:right w:val="single" w:sz="4" w:space="0" w:color="auto"/>
            </w:tcBorders>
            <w:shd w:val="clear" w:color="000000" w:fill="FFFFFF"/>
            <w:noWrap/>
            <w:vAlign w:val="center"/>
            <w:hideMark/>
          </w:tcPr>
          <w:p w14:paraId="77CB31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2.825686</w:t>
            </w:r>
          </w:p>
        </w:tc>
        <w:tc>
          <w:tcPr>
            <w:tcW w:w="966" w:type="dxa"/>
            <w:tcBorders>
              <w:top w:val="nil"/>
              <w:left w:val="nil"/>
              <w:bottom w:val="single" w:sz="4" w:space="0" w:color="auto"/>
              <w:right w:val="single" w:sz="4" w:space="0" w:color="auto"/>
            </w:tcBorders>
            <w:shd w:val="clear" w:color="000000" w:fill="FFFFFF"/>
            <w:noWrap/>
            <w:vAlign w:val="center"/>
            <w:hideMark/>
          </w:tcPr>
          <w:p w14:paraId="493545B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508.0576</w:t>
            </w:r>
          </w:p>
        </w:tc>
      </w:tr>
      <w:tr w:rsidR="00117F69" w:rsidRPr="0035519F" w14:paraId="2F0B4D0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761E0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53</w:t>
            </w:r>
          </w:p>
        </w:tc>
        <w:tc>
          <w:tcPr>
            <w:tcW w:w="960" w:type="dxa"/>
            <w:tcBorders>
              <w:top w:val="nil"/>
              <w:left w:val="nil"/>
              <w:bottom w:val="single" w:sz="4" w:space="0" w:color="auto"/>
              <w:right w:val="single" w:sz="4" w:space="0" w:color="auto"/>
            </w:tcBorders>
            <w:shd w:val="clear" w:color="000000" w:fill="FFFFFF"/>
            <w:noWrap/>
            <w:vAlign w:val="center"/>
            <w:hideMark/>
          </w:tcPr>
          <w:p w14:paraId="2D6A68B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64089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54E21D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84</w:t>
            </w:r>
          </w:p>
        </w:tc>
        <w:tc>
          <w:tcPr>
            <w:tcW w:w="950" w:type="dxa"/>
            <w:tcBorders>
              <w:top w:val="nil"/>
              <w:left w:val="nil"/>
              <w:bottom w:val="single" w:sz="4" w:space="0" w:color="auto"/>
              <w:right w:val="single" w:sz="4" w:space="0" w:color="auto"/>
            </w:tcBorders>
            <w:shd w:val="clear" w:color="000000" w:fill="FFFFFF"/>
            <w:noWrap/>
            <w:vAlign w:val="center"/>
            <w:hideMark/>
          </w:tcPr>
          <w:p w14:paraId="018385BB"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DAE002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748618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53.5</w:t>
            </w:r>
          </w:p>
        </w:tc>
        <w:tc>
          <w:tcPr>
            <w:tcW w:w="817" w:type="dxa"/>
            <w:tcBorders>
              <w:top w:val="nil"/>
              <w:left w:val="nil"/>
              <w:bottom w:val="single" w:sz="4" w:space="0" w:color="auto"/>
              <w:right w:val="single" w:sz="4" w:space="0" w:color="auto"/>
            </w:tcBorders>
            <w:shd w:val="clear" w:color="auto" w:fill="auto"/>
            <w:noWrap/>
            <w:vAlign w:val="center"/>
            <w:hideMark/>
          </w:tcPr>
          <w:p w14:paraId="7ED29EC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966" w:type="dxa"/>
            <w:tcBorders>
              <w:top w:val="nil"/>
              <w:left w:val="nil"/>
              <w:bottom w:val="single" w:sz="4" w:space="0" w:color="auto"/>
              <w:right w:val="single" w:sz="4" w:space="0" w:color="auto"/>
            </w:tcBorders>
            <w:shd w:val="clear" w:color="000000" w:fill="FFFFFF"/>
            <w:noWrap/>
            <w:vAlign w:val="center"/>
            <w:hideMark/>
          </w:tcPr>
          <w:p w14:paraId="7122C80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0.343457</w:t>
            </w:r>
          </w:p>
        </w:tc>
        <w:tc>
          <w:tcPr>
            <w:tcW w:w="966" w:type="dxa"/>
            <w:tcBorders>
              <w:top w:val="nil"/>
              <w:left w:val="nil"/>
              <w:bottom w:val="single" w:sz="4" w:space="0" w:color="auto"/>
              <w:right w:val="single" w:sz="4" w:space="0" w:color="auto"/>
            </w:tcBorders>
            <w:shd w:val="clear" w:color="000000" w:fill="FFFFFF"/>
            <w:noWrap/>
            <w:vAlign w:val="center"/>
            <w:hideMark/>
          </w:tcPr>
          <w:p w14:paraId="5E604A3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324.6181</w:t>
            </w:r>
          </w:p>
        </w:tc>
      </w:tr>
      <w:tr w:rsidR="00117F69" w:rsidRPr="0035519F" w14:paraId="52EEC73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F97292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54</w:t>
            </w:r>
          </w:p>
        </w:tc>
        <w:tc>
          <w:tcPr>
            <w:tcW w:w="960" w:type="dxa"/>
            <w:tcBorders>
              <w:top w:val="nil"/>
              <w:left w:val="nil"/>
              <w:bottom w:val="single" w:sz="4" w:space="0" w:color="auto"/>
              <w:right w:val="single" w:sz="4" w:space="0" w:color="auto"/>
            </w:tcBorders>
            <w:shd w:val="clear" w:color="000000" w:fill="FFFFFF"/>
            <w:noWrap/>
            <w:vAlign w:val="center"/>
            <w:hideMark/>
          </w:tcPr>
          <w:p w14:paraId="4513E4E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2740B92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w:t>
            </w:r>
          </w:p>
        </w:tc>
        <w:tc>
          <w:tcPr>
            <w:tcW w:w="1022" w:type="dxa"/>
            <w:tcBorders>
              <w:top w:val="nil"/>
              <w:left w:val="nil"/>
              <w:bottom w:val="single" w:sz="4" w:space="0" w:color="auto"/>
              <w:right w:val="single" w:sz="4" w:space="0" w:color="auto"/>
            </w:tcBorders>
            <w:shd w:val="clear" w:color="000000" w:fill="FFFFFF"/>
            <w:noWrap/>
            <w:vAlign w:val="center"/>
            <w:hideMark/>
          </w:tcPr>
          <w:p w14:paraId="790AC03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84</w:t>
            </w:r>
          </w:p>
        </w:tc>
        <w:tc>
          <w:tcPr>
            <w:tcW w:w="950" w:type="dxa"/>
            <w:tcBorders>
              <w:top w:val="nil"/>
              <w:left w:val="nil"/>
              <w:bottom w:val="single" w:sz="4" w:space="0" w:color="auto"/>
              <w:right w:val="single" w:sz="4" w:space="0" w:color="auto"/>
            </w:tcBorders>
            <w:shd w:val="clear" w:color="000000" w:fill="FFFFFF"/>
            <w:noWrap/>
            <w:vAlign w:val="center"/>
            <w:hideMark/>
          </w:tcPr>
          <w:p w14:paraId="2C7DC62B"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028299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4FCFD0F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71.4</w:t>
            </w:r>
          </w:p>
        </w:tc>
        <w:tc>
          <w:tcPr>
            <w:tcW w:w="817" w:type="dxa"/>
            <w:tcBorders>
              <w:top w:val="nil"/>
              <w:left w:val="nil"/>
              <w:bottom w:val="single" w:sz="4" w:space="0" w:color="auto"/>
              <w:right w:val="single" w:sz="4" w:space="0" w:color="auto"/>
            </w:tcBorders>
            <w:shd w:val="clear" w:color="auto" w:fill="auto"/>
            <w:noWrap/>
            <w:vAlign w:val="center"/>
            <w:hideMark/>
          </w:tcPr>
          <w:p w14:paraId="729017D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8.06</w:t>
            </w:r>
          </w:p>
        </w:tc>
        <w:tc>
          <w:tcPr>
            <w:tcW w:w="966" w:type="dxa"/>
            <w:tcBorders>
              <w:top w:val="nil"/>
              <w:left w:val="nil"/>
              <w:bottom w:val="single" w:sz="4" w:space="0" w:color="auto"/>
              <w:right w:val="single" w:sz="4" w:space="0" w:color="auto"/>
            </w:tcBorders>
            <w:shd w:val="clear" w:color="000000" w:fill="FFFFFF"/>
            <w:noWrap/>
            <w:vAlign w:val="center"/>
            <w:hideMark/>
          </w:tcPr>
          <w:p w14:paraId="1CEFDFA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1.420948</w:t>
            </w:r>
          </w:p>
        </w:tc>
        <w:tc>
          <w:tcPr>
            <w:tcW w:w="966" w:type="dxa"/>
            <w:tcBorders>
              <w:top w:val="nil"/>
              <w:left w:val="nil"/>
              <w:bottom w:val="single" w:sz="4" w:space="0" w:color="auto"/>
              <w:right w:val="single" w:sz="4" w:space="0" w:color="auto"/>
            </w:tcBorders>
            <w:shd w:val="clear" w:color="000000" w:fill="FFFFFF"/>
            <w:noWrap/>
            <w:vAlign w:val="center"/>
            <w:hideMark/>
          </w:tcPr>
          <w:p w14:paraId="39642BB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377.5041</w:t>
            </w:r>
          </w:p>
        </w:tc>
      </w:tr>
      <w:tr w:rsidR="00117F69" w:rsidRPr="0035519F" w14:paraId="6CAD9E0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D5DE6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55</w:t>
            </w:r>
          </w:p>
        </w:tc>
        <w:tc>
          <w:tcPr>
            <w:tcW w:w="960" w:type="dxa"/>
            <w:tcBorders>
              <w:top w:val="nil"/>
              <w:left w:val="nil"/>
              <w:bottom w:val="single" w:sz="4" w:space="0" w:color="auto"/>
              <w:right w:val="single" w:sz="4" w:space="0" w:color="auto"/>
            </w:tcBorders>
            <w:shd w:val="clear" w:color="000000" w:fill="FFFFFF"/>
            <w:noWrap/>
            <w:vAlign w:val="center"/>
            <w:hideMark/>
          </w:tcPr>
          <w:p w14:paraId="0662409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255598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28</w:t>
            </w:r>
          </w:p>
        </w:tc>
        <w:tc>
          <w:tcPr>
            <w:tcW w:w="1022" w:type="dxa"/>
            <w:tcBorders>
              <w:top w:val="nil"/>
              <w:left w:val="nil"/>
              <w:bottom w:val="single" w:sz="4" w:space="0" w:color="auto"/>
              <w:right w:val="single" w:sz="4" w:space="0" w:color="auto"/>
            </w:tcBorders>
            <w:shd w:val="clear" w:color="000000" w:fill="FFFFFF"/>
            <w:noWrap/>
            <w:vAlign w:val="center"/>
            <w:hideMark/>
          </w:tcPr>
          <w:p w14:paraId="1F58FE2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w:t>
            </w:r>
          </w:p>
        </w:tc>
        <w:tc>
          <w:tcPr>
            <w:tcW w:w="950" w:type="dxa"/>
            <w:tcBorders>
              <w:top w:val="nil"/>
              <w:left w:val="nil"/>
              <w:bottom w:val="single" w:sz="4" w:space="0" w:color="auto"/>
              <w:right w:val="single" w:sz="4" w:space="0" w:color="auto"/>
            </w:tcBorders>
            <w:shd w:val="clear" w:color="000000" w:fill="FFFFFF"/>
            <w:noWrap/>
            <w:vAlign w:val="center"/>
            <w:hideMark/>
          </w:tcPr>
          <w:p w14:paraId="341B74D7"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1C5E35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654856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56.8</w:t>
            </w:r>
          </w:p>
        </w:tc>
        <w:tc>
          <w:tcPr>
            <w:tcW w:w="817" w:type="dxa"/>
            <w:tcBorders>
              <w:top w:val="nil"/>
              <w:left w:val="nil"/>
              <w:bottom w:val="single" w:sz="4" w:space="0" w:color="auto"/>
              <w:right w:val="single" w:sz="4" w:space="0" w:color="auto"/>
            </w:tcBorders>
            <w:shd w:val="clear" w:color="auto" w:fill="auto"/>
            <w:noWrap/>
            <w:vAlign w:val="center"/>
            <w:hideMark/>
          </w:tcPr>
          <w:p w14:paraId="232E91E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8.36</w:t>
            </w:r>
          </w:p>
        </w:tc>
        <w:tc>
          <w:tcPr>
            <w:tcW w:w="966" w:type="dxa"/>
            <w:tcBorders>
              <w:top w:val="nil"/>
              <w:left w:val="nil"/>
              <w:bottom w:val="single" w:sz="4" w:space="0" w:color="auto"/>
              <w:right w:val="single" w:sz="4" w:space="0" w:color="auto"/>
            </w:tcBorders>
            <w:shd w:val="clear" w:color="000000" w:fill="FFFFFF"/>
            <w:noWrap/>
            <w:vAlign w:val="center"/>
            <w:hideMark/>
          </w:tcPr>
          <w:p w14:paraId="4C9F595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1.172464</w:t>
            </w:r>
          </w:p>
        </w:tc>
        <w:tc>
          <w:tcPr>
            <w:tcW w:w="966" w:type="dxa"/>
            <w:tcBorders>
              <w:top w:val="nil"/>
              <w:left w:val="nil"/>
              <w:bottom w:val="single" w:sz="4" w:space="0" w:color="auto"/>
              <w:right w:val="single" w:sz="4" w:space="0" w:color="auto"/>
            </w:tcBorders>
            <w:shd w:val="clear" w:color="000000" w:fill="FFFFFF"/>
            <w:noWrap/>
            <w:vAlign w:val="center"/>
            <w:hideMark/>
          </w:tcPr>
          <w:p w14:paraId="1832B74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727.7903</w:t>
            </w:r>
          </w:p>
        </w:tc>
      </w:tr>
      <w:tr w:rsidR="00117F69" w:rsidRPr="0035519F" w14:paraId="46B9205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B94ECE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w:t>
            </w:r>
          </w:p>
        </w:tc>
        <w:tc>
          <w:tcPr>
            <w:tcW w:w="960" w:type="dxa"/>
            <w:tcBorders>
              <w:top w:val="nil"/>
              <w:left w:val="nil"/>
              <w:bottom w:val="single" w:sz="4" w:space="0" w:color="auto"/>
              <w:right w:val="single" w:sz="4" w:space="0" w:color="auto"/>
            </w:tcBorders>
            <w:shd w:val="clear" w:color="000000" w:fill="FFFFFF"/>
            <w:noWrap/>
            <w:vAlign w:val="center"/>
            <w:hideMark/>
          </w:tcPr>
          <w:p w14:paraId="7B50485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1F3C1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0F52C5B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7578714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89F4CB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24E2BA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48.6</w:t>
            </w:r>
          </w:p>
        </w:tc>
        <w:tc>
          <w:tcPr>
            <w:tcW w:w="817" w:type="dxa"/>
            <w:tcBorders>
              <w:top w:val="nil"/>
              <w:left w:val="nil"/>
              <w:bottom w:val="single" w:sz="4" w:space="0" w:color="auto"/>
              <w:right w:val="single" w:sz="4" w:space="0" w:color="auto"/>
            </w:tcBorders>
            <w:shd w:val="clear" w:color="auto" w:fill="auto"/>
            <w:noWrap/>
            <w:vAlign w:val="center"/>
            <w:hideMark/>
          </w:tcPr>
          <w:p w14:paraId="0BED30C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11.04</w:t>
            </w:r>
          </w:p>
        </w:tc>
        <w:tc>
          <w:tcPr>
            <w:tcW w:w="966" w:type="dxa"/>
            <w:tcBorders>
              <w:top w:val="nil"/>
              <w:left w:val="nil"/>
              <w:bottom w:val="single" w:sz="4" w:space="0" w:color="auto"/>
              <w:right w:val="single" w:sz="4" w:space="0" w:color="auto"/>
            </w:tcBorders>
            <w:shd w:val="clear" w:color="000000" w:fill="FFFFFF"/>
            <w:noWrap/>
            <w:vAlign w:val="center"/>
            <w:hideMark/>
          </w:tcPr>
          <w:p w14:paraId="257457D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1.3248</w:t>
            </w:r>
          </w:p>
        </w:tc>
        <w:tc>
          <w:tcPr>
            <w:tcW w:w="966" w:type="dxa"/>
            <w:tcBorders>
              <w:top w:val="nil"/>
              <w:left w:val="nil"/>
              <w:bottom w:val="single" w:sz="4" w:space="0" w:color="auto"/>
              <w:right w:val="single" w:sz="4" w:space="0" w:color="auto"/>
            </w:tcBorders>
            <w:shd w:val="clear" w:color="000000" w:fill="FFFFFF"/>
            <w:noWrap/>
            <w:vAlign w:val="center"/>
            <w:hideMark/>
          </w:tcPr>
          <w:p w14:paraId="7B59FFD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926.2686</w:t>
            </w:r>
          </w:p>
        </w:tc>
      </w:tr>
      <w:tr w:rsidR="00117F69" w:rsidRPr="0035519F" w14:paraId="671DBB1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71B104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lastRenderedPageBreak/>
              <w:t>57</w:t>
            </w:r>
          </w:p>
        </w:tc>
        <w:tc>
          <w:tcPr>
            <w:tcW w:w="960" w:type="dxa"/>
            <w:tcBorders>
              <w:top w:val="nil"/>
              <w:left w:val="nil"/>
              <w:bottom w:val="single" w:sz="4" w:space="0" w:color="auto"/>
              <w:right w:val="single" w:sz="4" w:space="0" w:color="auto"/>
            </w:tcBorders>
            <w:shd w:val="clear" w:color="000000" w:fill="FFFFFF"/>
            <w:noWrap/>
            <w:vAlign w:val="center"/>
            <w:hideMark/>
          </w:tcPr>
          <w:p w14:paraId="744D8A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DD88DD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1022" w:type="dxa"/>
            <w:tcBorders>
              <w:top w:val="nil"/>
              <w:left w:val="nil"/>
              <w:bottom w:val="single" w:sz="4" w:space="0" w:color="auto"/>
              <w:right w:val="single" w:sz="4" w:space="0" w:color="auto"/>
            </w:tcBorders>
            <w:shd w:val="clear" w:color="000000" w:fill="FFFFFF"/>
            <w:noWrap/>
            <w:vAlign w:val="center"/>
            <w:hideMark/>
          </w:tcPr>
          <w:p w14:paraId="57C5DA1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100</w:t>
            </w:r>
          </w:p>
        </w:tc>
        <w:tc>
          <w:tcPr>
            <w:tcW w:w="950" w:type="dxa"/>
            <w:tcBorders>
              <w:top w:val="nil"/>
              <w:left w:val="nil"/>
              <w:bottom w:val="single" w:sz="4" w:space="0" w:color="auto"/>
              <w:right w:val="single" w:sz="4" w:space="0" w:color="auto"/>
            </w:tcBorders>
            <w:shd w:val="clear" w:color="000000" w:fill="FFFFFF"/>
            <w:noWrap/>
            <w:vAlign w:val="center"/>
            <w:hideMark/>
          </w:tcPr>
          <w:p w14:paraId="5C4CFA5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02D1F8C"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E1FF0F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64.4</w:t>
            </w:r>
          </w:p>
        </w:tc>
        <w:tc>
          <w:tcPr>
            <w:tcW w:w="817" w:type="dxa"/>
            <w:tcBorders>
              <w:top w:val="nil"/>
              <w:left w:val="nil"/>
              <w:bottom w:val="single" w:sz="4" w:space="0" w:color="auto"/>
              <w:right w:val="single" w:sz="4" w:space="0" w:color="auto"/>
            </w:tcBorders>
            <w:shd w:val="clear" w:color="auto" w:fill="auto"/>
            <w:noWrap/>
            <w:vAlign w:val="center"/>
            <w:hideMark/>
          </w:tcPr>
          <w:p w14:paraId="1A6BE29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21.11</w:t>
            </w:r>
          </w:p>
        </w:tc>
        <w:tc>
          <w:tcPr>
            <w:tcW w:w="966" w:type="dxa"/>
            <w:tcBorders>
              <w:top w:val="nil"/>
              <w:left w:val="nil"/>
              <w:bottom w:val="single" w:sz="4" w:space="0" w:color="auto"/>
              <w:right w:val="single" w:sz="4" w:space="0" w:color="auto"/>
            </w:tcBorders>
            <w:shd w:val="clear" w:color="000000" w:fill="FFFFFF"/>
            <w:noWrap/>
            <w:vAlign w:val="center"/>
            <w:hideMark/>
          </w:tcPr>
          <w:p w14:paraId="37DF75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3.356751</w:t>
            </w:r>
          </w:p>
        </w:tc>
        <w:tc>
          <w:tcPr>
            <w:tcW w:w="966" w:type="dxa"/>
            <w:tcBorders>
              <w:top w:val="nil"/>
              <w:left w:val="nil"/>
              <w:bottom w:val="single" w:sz="4" w:space="0" w:color="auto"/>
              <w:right w:val="single" w:sz="4" w:space="0" w:color="auto"/>
            </w:tcBorders>
            <w:shd w:val="clear" w:color="000000" w:fill="FFFFFF"/>
            <w:noWrap/>
            <w:vAlign w:val="center"/>
            <w:hideMark/>
          </w:tcPr>
          <w:p w14:paraId="12BC914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186.3074</w:t>
            </w:r>
          </w:p>
        </w:tc>
      </w:tr>
      <w:tr w:rsidR="00117F69" w:rsidRPr="0035519F" w14:paraId="50AEB84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A9E3B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58</w:t>
            </w:r>
          </w:p>
        </w:tc>
        <w:tc>
          <w:tcPr>
            <w:tcW w:w="960" w:type="dxa"/>
            <w:tcBorders>
              <w:top w:val="nil"/>
              <w:left w:val="nil"/>
              <w:bottom w:val="single" w:sz="4" w:space="0" w:color="auto"/>
              <w:right w:val="single" w:sz="4" w:space="0" w:color="auto"/>
            </w:tcBorders>
            <w:shd w:val="clear" w:color="000000" w:fill="FFFFFF"/>
            <w:noWrap/>
            <w:vAlign w:val="center"/>
            <w:hideMark/>
          </w:tcPr>
          <w:p w14:paraId="234DB8E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77BA22D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3AD79E8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w:t>
            </w:r>
          </w:p>
        </w:tc>
        <w:tc>
          <w:tcPr>
            <w:tcW w:w="950" w:type="dxa"/>
            <w:tcBorders>
              <w:top w:val="nil"/>
              <w:left w:val="nil"/>
              <w:bottom w:val="single" w:sz="4" w:space="0" w:color="auto"/>
              <w:right w:val="single" w:sz="4" w:space="0" w:color="auto"/>
            </w:tcBorders>
            <w:shd w:val="clear" w:color="000000" w:fill="FFFFFF"/>
            <w:noWrap/>
            <w:vAlign w:val="center"/>
            <w:hideMark/>
          </w:tcPr>
          <w:p w14:paraId="7CE93D7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AE6EBD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7F1B4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56.7</w:t>
            </w:r>
          </w:p>
        </w:tc>
        <w:tc>
          <w:tcPr>
            <w:tcW w:w="817" w:type="dxa"/>
            <w:tcBorders>
              <w:top w:val="nil"/>
              <w:left w:val="nil"/>
              <w:bottom w:val="single" w:sz="4" w:space="0" w:color="auto"/>
              <w:right w:val="single" w:sz="4" w:space="0" w:color="auto"/>
            </w:tcBorders>
            <w:shd w:val="clear" w:color="auto" w:fill="auto"/>
            <w:noWrap/>
            <w:vAlign w:val="center"/>
            <w:hideMark/>
          </w:tcPr>
          <w:p w14:paraId="7E980B7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6.13</w:t>
            </w:r>
          </w:p>
        </w:tc>
        <w:tc>
          <w:tcPr>
            <w:tcW w:w="966" w:type="dxa"/>
            <w:tcBorders>
              <w:top w:val="nil"/>
              <w:left w:val="nil"/>
              <w:bottom w:val="single" w:sz="4" w:space="0" w:color="auto"/>
              <w:right w:val="single" w:sz="4" w:space="0" w:color="auto"/>
            </w:tcBorders>
            <w:shd w:val="clear" w:color="000000" w:fill="FFFFFF"/>
            <w:noWrap/>
            <w:vAlign w:val="center"/>
            <w:hideMark/>
          </w:tcPr>
          <w:p w14:paraId="29FD886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0.8582</w:t>
            </w:r>
          </w:p>
        </w:tc>
        <w:tc>
          <w:tcPr>
            <w:tcW w:w="966" w:type="dxa"/>
            <w:tcBorders>
              <w:top w:val="nil"/>
              <w:left w:val="nil"/>
              <w:bottom w:val="single" w:sz="4" w:space="0" w:color="auto"/>
              <w:right w:val="single" w:sz="4" w:space="0" w:color="auto"/>
            </w:tcBorders>
            <w:shd w:val="clear" w:color="000000" w:fill="FFFFFF"/>
            <w:noWrap/>
            <w:vAlign w:val="center"/>
            <w:hideMark/>
          </w:tcPr>
          <w:p w14:paraId="7E67016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258.4777</w:t>
            </w:r>
          </w:p>
        </w:tc>
      </w:tr>
      <w:tr w:rsidR="00117F69" w:rsidRPr="0035519F" w14:paraId="4A73B14D"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E00AB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59</w:t>
            </w:r>
          </w:p>
        </w:tc>
        <w:tc>
          <w:tcPr>
            <w:tcW w:w="960" w:type="dxa"/>
            <w:tcBorders>
              <w:top w:val="nil"/>
              <w:left w:val="nil"/>
              <w:bottom w:val="single" w:sz="4" w:space="0" w:color="auto"/>
              <w:right w:val="single" w:sz="4" w:space="0" w:color="auto"/>
            </w:tcBorders>
            <w:shd w:val="clear" w:color="000000" w:fill="FFFFFF"/>
            <w:noWrap/>
            <w:vAlign w:val="center"/>
            <w:hideMark/>
          </w:tcPr>
          <w:p w14:paraId="03077AD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100C0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24E22D0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84</w:t>
            </w:r>
          </w:p>
        </w:tc>
        <w:tc>
          <w:tcPr>
            <w:tcW w:w="950" w:type="dxa"/>
            <w:tcBorders>
              <w:top w:val="nil"/>
              <w:left w:val="nil"/>
              <w:bottom w:val="single" w:sz="4" w:space="0" w:color="auto"/>
              <w:right w:val="single" w:sz="4" w:space="0" w:color="auto"/>
            </w:tcBorders>
            <w:shd w:val="clear" w:color="000000" w:fill="FFFFFF"/>
            <w:noWrap/>
            <w:vAlign w:val="center"/>
            <w:hideMark/>
          </w:tcPr>
          <w:p w14:paraId="13E533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5B0751D6"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42DB670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50.8</w:t>
            </w:r>
          </w:p>
        </w:tc>
        <w:tc>
          <w:tcPr>
            <w:tcW w:w="817" w:type="dxa"/>
            <w:tcBorders>
              <w:top w:val="nil"/>
              <w:left w:val="nil"/>
              <w:bottom w:val="single" w:sz="4" w:space="0" w:color="auto"/>
              <w:right w:val="single" w:sz="4" w:space="0" w:color="auto"/>
            </w:tcBorders>
            <w:shd w:val="clear" w:color="auto" w:fill="auto"/>
            <w:noWrap/>
            <w:vAlign w:val="center"/>
            <w:hideMark/>
          </w:tcPr>
          <w:p w14:paraId="760CE4D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15.44</w:t>
            </w:r>
          </w:p>
        </w:tc>
        <w:tc>
          <w:tcPr>
            <w:tcW w:w="966" w:type="dxa"/>
            <w:tcBorders>
              <w:top w:val="nil"/>
              <w:left w:val="nil"/>
              <w:bottom w:val="single" w:sz="4" w:space="0" w:color="auto"/>
              <w:right w:val="single" w:sz="4" w:space="0" w:color="auto"/>
            </w:tcBorders>
            <w:shd w:val="clear" w:color="000000" w:fill="FFFFFF"/>
            <w:noWrap/>
            <w:vAlign w:val="center"/>
            <w:hideMark/>
          </w:tcPr>
          <w:p w14:paraId="67B3EFC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1.936672</w:t>
            </w:r>
          </w:p>
        </w:tc>
        <w:tc>
          <w:tcPr>
            <w:tcW w:w="966" w:type="dxa"/>
            <w:tcBorders>
              <w:top w:val="nil"/>
              <w:left w:val="nil"/>
              <w:bottom w:val="single" w:sz="4" w:space="0" w:color="auto"/>
              <w:right w:val="single" w:sz="4" w:space="0" w:color="auto"/>
            </w:tcBorders>
            <w:shd w:val="clear" w:color="000000" w:fill="FFFFFF"/>
            <w:noWrap/>
            <w:vAlign w:val="center"/>
            <w:hideMark/>
          </w:tcPr>
          <w:p w14:paraId="7D01D5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87.80373</w:t>
            </w:r>
          </w:p>
        </w:tc>
      </w:tr>
      <w:tr w:rsidR="00117F69" w:rsidRPr="0035519F" w14:paraId="2EAC345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365A7D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60</w:t>
            </w:r>
          </w:p>
        </w:tc>
        <w:tc>
          <w:tcPr>
            <w:tcW w:w="960" w:type="dxa"/>
            <w:tcBorders>
              <w:top w:val="nil"/>
              <w:left w:val="nil"/>
              <w:bottom w:val="single" w:sz="4" w:space="0" w:color="auto"/>
              <w:right w:val="single" w:sz="4" w:space="0" w:color="auto"/>
            </w:tcBorders>
            <w:shd w:val="clear" w:color="000000" w:fill="FFFFFF"/>
            <w:noWrap/>
            <w:vAlign w:val="center"/>
            <w:hideMark/>
          </w:tcPr>
          <w:p w14:paraId="7DE3FC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E644D4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58F697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97</w:t>
            </w:r>
          </w:p>
        </w:tc>
        <w:tc>
          <w:tcPr>
            <w:tcW w:w="950" w:type="dxa"/>
            <w:tcBorders>
              <w:top w:val="nil"/>
              <w:left w:val="nil"/>
              <w:bottom w:val="single" w:sz="4" w:space="0" w:color="auto"/>
              <w:right w:val="single" w:sz="4" w:space="0" w:color="auto"/>
            </w:tcBorders>
            <w:shd w:val="clear" w:color="000000" w:fill="FFFFFF"/>
            <w:noWrap/>
            <w:vAlign w:val="center"/>
            <w:hideMark/>
          </w:tcPr>
          <w:p w14:paraId="071B44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C1072AF"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E0C8A3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44.1</w:t>
            </w:r>
          </w:p>
        </w:tc>
        <w:tc>
          <w:tcPr>
            <w:tcW w:w="817" w:type="dxa"/>
            <w:tcBorders>
              <w:top w:val="nil"/>
              <w:left w:val="nil"/>
              <w:bottom w:val="single" w:sz="4" w:space="0" w:color="auto"/>
              <w:right w:val="single" w:sz="4" w:space="0" w:color="auto"/>
            </w:tcBorders>
            <w:shd w:val="clear" w:color="auto" w:fill="auto"/>
            <w:noWrap/>
            <w:vAlign w:val="center"/>
            <w:hideMark/>
          </w:tcPr>
          <w:p w14:paraId="221FA71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8.39</w:t>
            </w:r>
          </w:p>
        </w:tc>
        <w:tc>
          <w:tcPr>
            <w:tcW w:w="966" w:type="dxa"/>
            <w:tcBorders>
              <w:top w:val="nil"/>
              <w:left w:val="nil"/>
              <w:bottom w:val="single" w:sz="4" w:space="0" w:color="auto"/>
              <w:right w:val="single" w:sz="4" w:space="0" w:color="auto"/>
            </w:tcBorders>
            <w:shd w:val="clear" w:color="000000" w:fill="FFFFFF"/>
            <w:noWrap/>
            <w:vAlign w:val="center"/>
            <w:hideMark/>
          </w:tcPr>
          <w:p w14:paraId="335902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0.913578</w:t>
            </w:r>
          </w:p>
        </w:tc>
        <w:tc>
          <w:tcPr>
            <w:tcW w:w="966" w:type="dxa"/>
            <w:tcBorders>
              <w:top w:val="nil"/>
              <w:left w:val="nil"/>
              <w:bottom w:val="single" w:sz="4" w:space="0" w:color="auto"/>
              <w:right w:val="single" w:sz="4" w:space="0" w:color="auto"/>
            </w:tcBorders>
            <w:shd w:val="clear" w:color="000000" w:fill="FFFFFF"/>
            <w:noWrap/>
            <w:vAlign w:val="center"/>
            <w:hideMark/>
          </w:tcPr>
          <w:p w14:paraId="78BE115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110.1291</w:t>
            </w:r>
          </w:p>
        </w:tc>
      </w:tr>
      <w:tr w:rsidR="00117F69" w:rsidRPr="0035519F" w14:paraId="2EC822D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60994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w:t>
            </w:r>
          </w:p>
        </w:tc>
        <w:tc>
          <w:tcPr>
            <w:tcW w:w="960" w:type="dxa"/>
            <w:tcBorders>
              <w:top w:val="nil"/>
              <w:left w:val="nil"/>
              <w:bottom w:val="single" w:sz="4" w:space="0" w:color="auto"/>
              <w:right w:val="single" w:sz="4" w:space="0" w:color="auto"/>
            </w:tcBorders>
            <w:shd w:val="clear" w:color="000000" w:fill="FFFFFF"/>
            <w:noWrap/>
            <w:vAlign w:val="center"/>
            <w:hideMark/>
          </w:tcPr>
          <w:p w14:paraId="57E581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AAF82B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1022" w:type="dxa"/>
            <w:tcBorders>
              <w:top w:val="nil"/>
              <w:left w:val="nil"/>
              <w:bottom w:val="single" w:sz="4" w:space="0" w:color="auto"/>
              <w:right w:val="single" w:sz="4" w:space="0" w:color="auto"/>
            </w:tcBorders>
            <w:shd w:val="clear" w:color="000000" w:fill="FFFFFF"/>
            <w:noWrap/>
            <w:vAlign w:val="center"/>
            <w:hideMark/>
          </w:tcPr>
          <w:p w14:paraId="5A3733E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96</w:t>
            </w:r>
          </w:p>
        </w:tc>
        <w:tc>
          <w:tcPr>
            <w:tcW w:w="950" w:type="dxa"/>
            <w:tcBorders>
              <w:top w:val="nil"/>
              <w:left w:val="nil"/>
              <w:bottom w:val="single" w:sz="4" w:space="0" w:color="auto"/>
              <w:right w:val="single" w:sz="4" w:space="0" w:color="auto"/>
            </w:tcBorders>
            <w:shd w:val="clear" w:color="000000" w:fill="FFFFFF"/>
            <w:noWrap/>
            <w:vAlign w:val="center"/>
            <w:hideMark/>
          </w:tcPr>
          <w:p w14:paraId="12CFC57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47D7532D"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2A9EC33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66.1</w:t>
            </w:r>
          </w:p>
        </w:tc>
        <w:tc>
          <w:tcPr>
            <w:tcW w:w="817" w:type="dxa"/>
            <w:tcBorders>
              <w:top w:val="nil"/>
              <w:left w:val="nil"/>
              <w:bottom w:val="single" w:sz="4" w:space="0" w:color="auto"/>
              <w:right w:val="single" w:sz="4" w:space="0" w:color="auto"/>
            </w:tcBorders>
            <w:shd w:val="clear" w:color="auto" w:fill="auto"/>
            <w:noWrap/>
            <w:vAlign w:val="center"/>
            <w:hideMark/>
          </w:tcPr>
          <w:p w14:paraId="27B49F2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16.25</w:t>
            </w:r>
          </w:p>
        </w:tc>
        <w:tc>
          <w:tcPr>
            <w:tcW w:w="966" w:type="dxa"/>
            <w:tcBorders>
              <w:top w:val="nil"/>
              <w:left w:val="nil"/>
              <w:bottom w:val="single" w:sz="4" w:space="0" w:color="auto"/>
              <w:right w:val="single" w:sz="4" w:space="0" w:color="auto"/>
            </w:tcBorders>
            <w:shd w:val="clear" w:color="000000" w:fill="FFFFFF"/>
            <w:noWrap/>
            <w:vAlign w:val="center"/>
            <w:hideMark/>
          </w:tcPr>
          <w:p w14:paraId="57496FA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2.65216</w:t>
            </w:r>
          </w:p>
        </w:tc>
        <w:tc>
          <w:tcPr>
            <w:tcW w:w="966" w:type="dxa"/>
            <w:tcBorders>
              <w:top w:val="nil"/>
              <w:left w:val="nil"/>
              <w:bottom w:val="single" w:sz="4" w:space="0" w:color="auto"/>
              <w:right w:val="single" w:sz="4" w:space="0" w:color="auto"/>
            </w:tcBorders>
            <w:shd w:val="clear" w:color="000000" w:fill="FFFFFF"/>
            <w:noWrap/>
            <w:vAlign w:val="center"/>
            <w:hideMark/>
          </w:tcPr>
          <w:p w14:paraId="374D62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47.22586</w:t>
            </w:r>
          </w:p>
        </w:tc>
      </w:tr>
      <w:tr w:rsidR="00117F69" w:rsidRPr="0035519F" w14:paraId="38DFED1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EEC516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w:t>
            </w:r>
          </w:p>
        </w:tc>
        <w:tc>
          <w:tcPr>
            <w:tcW w:w="960" w:type="dxa"/>
            <w:tcBorders>
              <w:top w:val="nil"/>
              <w:left w:val="nil"/>
              <w:bottom w:val="single" w:sz="4" w:space="0" w:color="auto"/>
              <w:right w:val="single" w:sz="4" w:space="0" w:color="auto"/>
            </w:tcBorders>
            <w:shd w:val="clear" w:color="000000" w:fill="FFFFFF"/>
            <w:noWrap/>
            <w:vAlign w:val="center"/>
            <w:hideMark/>
          </w:tcPr>
          <w:p w14:paraId="5AFB3C4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734426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1879FAB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86</w:t>
            </w:r>
          </w:p>
        </w:tc>
        <w:tc>
          <w:tcPr>
            <w:tcW w:w="950" w:type="dxa"/>
            <w:tcBorders>
              <w:top w:val="nil"/>
              <w:left w:val="nil"/>
              <w:bottom w:val="single" w:sz="4" w:space="0" w:color="auto"/>
              <w:right w:val="single" w:sz="4" w:space="0" w:color="auto"/>
            </w:tcBorders>
            <w:shd w:val="clear" w:color="000000" w:fill="FFFFFF"/>
            <w:noWrap/>
            <w:vAlign w:val="center"/>
            <w:hideMark/>
          </w:tcPr>
          <w:p w14:paraId="1A9350D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091EBBB"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190D165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54.2</w:t>
            </w:r>
          </w:p>
        </w:tc>
        <w:tc>
          <w:tcPr>
            <w:tcW w:w="817" w:type="dxa"/>
            <w:tcBorders>
              <w:top w:val="nil"/>
              <w:left w:val="nil"/>
              <w:bottom w:val="single" w:sz="4" w:space="0" w:color="auto"/>
              <w:right w:val="single" w:sz="4" w:space="0" w:color="auto"/>
            </w:tcBorders>
            <w:shd w:val="clear" w:color="auto" w:fill="auto"/>
            <w:noWrap/>
            <w:vAlign w:val="center"/>
            <w:hideMark/>
          </w:tcPr>
          <w:p w14:paraId="261DC97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32.42</w:t>
            </w:r>
          </w:p>
        </w:tc>
        <w:tc>
          <w:tcPr>
            <w:tcW w:w="966" w:type="dxa"/>
            <w:tcBorders>
              <w:top w:val="nil"/>
              <w:left w:val="nil"/>
              <w:bottom w:val="single" w:sz="4" w:space="0" w:color="auto"/>
              <w:right w:val="single" w:sz="4" w:space="0" w:color="auto"/>
            </w:tcBorders>
            <w:shd w:val="clear" w:color="000000" w:fill="FFFFFF"/>
            <w:noWrap/>
            <w:vAlign w:val="center"/>
            <w:hideMark/>
          </w:tcPr>
          <w:p w14:paraId="5FC5A76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4.338677</w:t>
            </w:r>
          </w:p>
        </w:tc>
        <w:tc>
          <w:tcPr>
            <w:tcW w:w="966" w:type="dxa"/>
            <w:tcBorders>
              <w:top w:val="nil"/>
              <w:left w:val="nil"/>
              <w:bottom w:val="single" w:sz="4" w:space="0" w:color="auto"/>
              <w:right w:val="single" w:sz="4" w:space="0" w:color="auto"/>
            </w:tcBorders>
            <w:shd w:val="clear" w:color="000000" w:fill="FFFFFF"/>
            <w:noWrap/>
            <w:vAlign w:val="center"/>
            <w:hideMark/>
          </w:tcPr>
          <w:p w14:paraId="3CB2F7F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178.5783</w:t>
            </w:r>
          </w:p>
        </w:tc>
      </w:tr>
      <w:tr w:rsidR="00117F69" w:rsidRPr="0035519F" w14:paraId="3FA2F28F"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9758D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63</w:t>
            </w:r>
          </w:p>
        </w:tc>
        <w:tc>
          <w:tcPr>
            <w:tcW w:w="960" w:type="dxa"/>
            <w:tcBorders>
              <w:top w:val="nil"/>
              <w:left w:val="nil"/>
              <w:bottom w:val="single" w:sz="4" w:space="0" w:color="auto"/>
              <w:right w:val="single" w:sz="4" w:space="0" w:color="auto"/>
            </w:tcBorders>
            <w:shd w:val="clear" w:color="000000" w:fill="FFFFFF"/>
            <w:noWrap/>
            <w:vAlign w:val="center"/>
            <w:hideMark/>
          </w:tcPr>
          <w:p w14:paraId="2637B6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4254AB2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31</w:t>
            </w:r>
          </w:p>
        </w:tc>
        <w:tc>
          <w:tcPr>
            <w:tcW w:w="1022" w:type="dxa"/>
            <w:tcBorders>
              <w:top w:val="nil"/>
              <w:left w:val="nil"/>
              <w:bottom w:val="single" w:sz="4" w:space="0" w:color="auto"/>
              <w:right w:val="single" w:sz="4" w:space="0" w:color="auto"/>
            </w:tcBorders>
            <w:shd w:val="clear" w:color="000000" w:fill="FFFFFF"/>
            <w:noWrap/>
            <w:vAlign w:val="center"/>
            <w:hideMark/>
          </w:tcPr>
          <w:p w14:paraId="45379F9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w:t>
            </w:r>
          </w:p>
        </w:tc>
        <w:tc>
          <w:tcPr>
            <w:tcW w:w="950" w:type="dxa"/>
            <w:tcBorders>
              <w:top w:val="nil"/>
              <w:left w:val="nil"/>
              <w:bottom w:val="single" w:sz="4" w:space="0" w:color="auto"/>
              <w:right w:val="single" w:sz="4" w:space="0" w:color="auto"/>
            </w:tcBorders>
            <w:shd w:val="clear" w:color="000000" w:fill="FFFFFF"/>
            <w:noWrap/>
            <w:vAlign w:val="center"/>
            <w:hideMark/>
          </w:tcPr>
          <w:p w14:paraId="01F376D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4222AE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DD3FCB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71.2</w:t>
            </w:r>
          </w:p>
        </w:tc>
        <w:tc>
          <w:tcPr>
            <w:tcW w:w="817" w:type="dxa"/>
            <w:tcBorders>
              <w:top w:val="nil"/>
              <w:left w:val="nil"/>
              <w:bottom w:val="single" w:sz="4" w:space="0" w:color="auto"/>
              <w:right w:val="single" w:sz="4" w:space="0" w:color="auto"/>
            </w:tcBorders>
            <w:shd w:val="clear" w:color="auto" w:fill="auto"/>
            <w:noWrap/>
            <w:vAlign w:val="center"/>
            <w:hideMark/>
          </w:tcPr>
          <w:p w14:paraId="2892D68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7.8</w:t>
            </w:r>
          </w:p>
        </w:tc>
        <w:tc>
          <w:tcPr>
            <w:tcW w:w="966" w:type="dxa"/>
            <w:tcBorders>
              <w:top w:val="nil"/>
              <w:left w:val="nil"/>
              <w:bottom w:val="single" w:sz="4" w:space="0" w:color="auto"/>
              <w:right w:val="single" w:sz="4" w:space="0" w:color="auto"/>
            </w:tcBorders>
            <w:shd w:val="clear" w:color="000000" w:fill="FFFFFF"/>
            <w:noWrap/>
            <w:vAlign w:val="center"/>
            <w:hideMark/>
          </w:tcPr>
          <w:p w14:paraId="243C5E3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1.371259</w:t>
            </w:r>
          </w:p>
        </w:tc>
        <w:tc>
          <w:tcPr>
            <w:tcW w:w="966" w:type="dxa"/>
            <w:tcBorders>
              <w:top w:val="nil"/>
              <w:left w:val="nil"/>
              <w:bottom w:val="single" w:sz="4" w:space="0" w:color="auto"/>
              <w:right w:val="single" w:sz="4" w:space="0" w:color="auto"/>
            </w:tcBorders>
            <w:shd w:val="clear" w:color="000000" w:fill="FFFFFF"/>
            <w:noWrap/>
            <w:vAlign w:val="center"/>
            <w:hideMark/>
          </w:tcPr>
          <w:p w14:paraId="3AF7632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274.5369</w:t>
            </w:r>
          </w:p>
        </w:tc>
      </w:tr>
      <w:tr w:rsidR="00117F69" w:rsidRPr="0035519F" w14:paraId="1D040F1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401E4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w:t>
            </w:r>
          </w:p>
        </w:tc>
        <w:tc>
          <w:tcPr>
            <w:tcW w:w="960" w:type="dxa"/>
            <w:tcBorders>
              <w:top w:val="nil"/>
              <w:left w:val="nil"/>
              <w:bottom w:val="single" w:sz="4" w:space="0" w:color="auto"/>
              <w:right w:val="single" w:sz="4" w:space="0" w:color="auto"/>
            </w:tcBorders>
            <w:shd w:val="clear" w:color="000000" w:fill="FFFFFF"/>
            <w:noWrap/>
            <w:vAlign w:val="center"/>
            <w:hideMark/>
          </w:tcPr>
          <w:p w14:paraId="5BD785A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76303AE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33508FD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w:t>
            </w:r>
          </w:p>
        </w:tc>
        <w:tc>
          <w:tcPr>
            <w:tcW w:w="950" w:type="dxa"/>
            <w:tcBorders>
              <w:top w:val="nil"/>
              <w:left w:val="nil"/>
              <w:bottom w:val="single" w:sz="4" w:space="0" w:color="auto"/>
              <w:right w:val="single" w:sz="4" w:space="0" w:color="auto"/>
            </w:tcBorders>
            <w:shd w:val="clear" w:color="000000" w:fill="FFFFFF"/>
            <w:noWrap/>
            <w:vAlign w:val="center"/>
            <w:hideMark/>
          </w:tcPr>
          <w:p w14:paraId="34AA7EAD"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0BCA715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06ADCD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70.9</w:t>
            </w:r>
          </w:p>
        </w:tc>
        <w:tc>
          <w:tcPr>
            <w:tcW w:w="817" w:type="dxa"/>
            <w:tcBorders>
              <w:top w:val="nil"/>
              <w:left w:val="nil"/>
              <w:bottom w:val="single" w:sz="4" w:space="0" w:color="auto"/>
              <w:right w:val="single" w:sz="4" w:space="0" w:color="auto"/>
            </w:tcBorders>
            <w:shd w:val="clear" w:color="auto" w:fill="auto"/>
            <w:noWrap/>
            <w:vAlign w:val="center"/>
            <w:hideMark/>
          </w:tcPr>
          <w:p w14:paraId="4EA5F8F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14.58</w:t>
            </w:r>
          </w:p>
        </w:tc>
        <w:tc>
          <w:tcPr>
            <w:tcW w:w="966" w:type="dxa"/>
            <w:tcBorders>
              <w:top w:val="nil"/>
              <w:left w:val="nil"/>
              <w:bottom w:val="single" w:sz="4" w:space="0" w:color="auto"/>
              <w:right w:val="single" w:sz="4" w:space="0" w:color="auto"/>
            </w:tcBorders>
            <w:shd w:val="clear" w:color="000000" w:fill="FFFFFF"/>
            <w:noWrap/>
            <w:vAlign w:val="center"/>
            <w:hideMark/>
          </w:tcPr>
          <w:p w14:paraId="504D210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2.5524</w:t>
            </w:r>
          </w:p>
        </w:tc>
        <w:tc>
          <w:tcPr>
            <w:tcW w:w="966" w:type="dxa"/>
            <w:tcBorders>
              <w:top w:val="nil"/>
              <w:left w:val="nil"/>
              <w:bottom w:val="single" w:sz="4" w:space="0" w:color="auto"/>
              <w:right w:val="single" w:sz="4" w:space="0" w:color="auto"/>
            </w:tcBorders>
            <w:shd w:val="clear" w:color="000000" w:fill="FFFFFF"/>
            <w:noWrap/>
            <w:vAlign w:val="center"/>
            <w:hideMark/>
          </w:tcPr>
          <w:p w14:paraId="39F8E8B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1316.91</w:t>
            </w:r>
          </w:p>
        </w:tc>
      </w:tr>
      <w:tr w:rsidR="00117F69" w:rsidRPr="0035519F" w14:paraId="6A347E7A"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FC3CD0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w:t>
            </w:r>
          </w:p>
        </w:tc>
        <w:tc>
          <w:tcPr>
            <w:tcW w:w="960" w:type="dxa"/>
            <w:tcBorders>
              <w:top w:val="nil"/>
              <w:left w:val="nil"/>
              <w:bottom w:val="single" w:sz="4" w:space="0" w:color="auto"/>
              <w:right w:val="single" w:sz="4" w:space="0" w:color="auto"/>
            </w:tcBorders>
            <w:shd w:val="clear" w:color="000000" w:fill="FFFFFF"/>
            <w:noWrap/>
            <w:vAlign w:val="center"/>
            <w:hideMark/>
          </w:tcPr>
          <w:p w14:paraId="559E7A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3BDE1AE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52BAFD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w:t>
            </w:r>
          </w:p>
        </w:tc>
        <w:tc>
          <w:tcPr>
            <w:tcW w:w="950" w:type="dxa"/>
            <w:tcBorders>
              <w:top w:val="nil"/>
              <w:left w:val="nil"/>
              <w:bottom w:val="single" w:sz="4" w:space="0" w:color="auto"/>
              <w:right w:val="single" w:sz="4" w:space="0" w:color="auto"/>
            </w:tcBorders>
            <w:shd w:val="clear" w:color="000000" w:fill="FFFFFF"/>
            <w:noWrap/>
            <w:vAlign w:val="center"/>
            <w:hideMark/>
          </w:tcPr>
          <w:p w14:paraId="6A8C27C8"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1DDF07F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04230B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57.4</w:t>
            </w:r>
          </w:p>
        </w:tc>
        <w:tc>
          <w:tcPr>
            <w:tcW w:w="817" w:type="dxa"/>
            <w:tcBorders>
              <w:top w:val="nil"/>
              <w:left w:val="nil"/>
              <w:bottom w:val="single" w:sz="4" w:space="0" w:color="auto"/>
              <w:right w:val="single" w:sz="4" w:space="0" w:color="auto"/>
            </w:tcBorders>
            <w:shd w:val="clear" w:color="auto" w:fill="auto"/>
            <w:noWrap/>
            <w:vAlign w:val="center"/>
            <w:hideMark/>
          </w:tcPr>
          <w:p w14:paraId="5653414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12.58</w:t>
            </w:r>
          </w:p>
        </w:tc>
        <w:tc>
          <w:tcPr>
            <w:tcW w:w="966" w:type="dxa"/>
            <w:tcBorders>
              <w:top w:val="nil"/>
              <w:left w:val="nil"/>
              <w:bottom w:val="single" w:sz="4" w:space="0" w:color="auto"/>
              <w:right w:val="single" w:sz="4" w:space="0" w:color="auto"/>
            </w:tcBorders>
            <w:shd w:val="clear" w:color="000000" w:fill="FFFFFF"/>
            <w:noWrap/>
            <w:vAlign w:val="center"/>
            <w:hideMark/>
          </w:tcPr>
          <w:p w14:paraId="52FC437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1.782943</w:t>
            </w:r>
          </w:p>
        </w:tc>
        <w:tc>
          <w:tcPr>
            <w:tcW w:w="966" w:type="dxa"/>
            <w:tcBorders>
              <w:top w:val="nil"/>
              <w:left w:val="nil"/>
              <w:bottom w:val="single" w:sz="4" w:space="0" w:color="auto"/>
              <w:right w:val="single" w:sz="4" w:space="0" w:color="auto"/>
            </w:tcBorders>
            <w:shd w:val="clear" w:color="000000" w:fill="FFFFFF"/>
            <w:noWrap/>
            <w:vAlign w:val="center"/>
            <w:hideMark/>
          </w:tcPr>
          <w:p w14:paraId="32B5240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963.8635</w:t>
            </w:r>
          </w:p>
        </w:tc>
      </w:tr>
      <w:tr w:rsidR="00117F69" w:rsidRPr="0035519F" w14:paraId="22F0EBD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AE50F4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w:t>
            </w:r>
          </w:p>
        </w:tc>
        <w:tc>
          <w:tcPr>
            <w:tcW w:w="960" w:type="dxa"/>
            <w:tcBorders>
              <w:top w:val="nil"/>
              <w:left w:val="nil"/>
              <w:bottom w:val="single" w:sz="4" w:space="0" w:color="auto"/>
              <w:right w:val="single" w:sz="4" w:space="0" w:color="auto"/>
            </w:tcBorders>
            <w:shd w:val="clear" w:color="000000" w:fill="FFFFFF"/>
            <w:noWrap/>
            <w:vAlign w:val="center"/>
            <w:hideMark/>
          </w:tcPr>
          <w:p w14:paraId="4087BB0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22004F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w:t>
            </w:r>
          </w:p>
        </w:tc>
        <w:tc>
          <w:tcPr>
            <w:tcW w:w="1022" w:type="dxa"/>
            <w:tcBorders>
              <w:top w:val="nil"/>
              <w:left w:val="nil"/>
              <w:bottom w:val="single" w:sz="4" w:space="0" w:color="auto"/>
              <w:right w:val="single" w:sz="4" w:space="0" w:color="auto"/>
            </w:tcBorders>
            <w:shd w:val="clear" w:color="000000" w:fill="FFFFFF"/>
            <w:noWrap/>
            <w:vAlign w:val="center"/>
            <w:hideMark/>
          </w:tcPr>
          <w:p w14:paraId="116C564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107</w:t>
            </w:r>
          </w:p>
        </w:tc>
        <w:tc>
          <w:tcPr>
            <w:tcW w:w="950" w:type="dxa"/>
            <w:tcBorders>
              <w:top w:val="nil"/>
              <w:left w:val="nil"/>
              <w:bottom w:val="single" w:sz="4" w:space="0" w:color="auto"/>
              <w:right w:val="single" w:sz="4" w:space="0" w:color="auto"/>
            </w:tcBorders>
            <w:shd w:val="clear" w:color="000000" w:fill="FFFFFF"/>
            <w:noWrap/>
            <w:vAlign w:val="center"/>
            <w:hideMark/>
          </w:tcPr>
          <w:p w14:paraId="04357DC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3276C20"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6A6BD4E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62.9</w:t>
            </w:r>
          </w:p>
        </w:tc>
        <w:tc>
          <w:tcPr>
            <w:tcW w:w="817" w:type="dxa"/>
            <w:tcBorders>
              <w:top w:val="nil"/>
              <w:left w:val="nil"/>
              <w:bottom w:val="single" w:sz="4" w:space="0" w:color="auto"/>
              <w:right w:val="single" w:sz="4" w:space="0" w:color="auto"/>
            </w:tcBorders>
            <w:shd w:val="clear" w:color="auto" w:fill="auto"/>
            <w:noWrap/>
            <w:vAlign w:val="center"/>
            <w:hideMark/>
          </w:tcPr>
          <w:p w14:paraId="45D279A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22.74</w:t>
            </w:r>
          </w:p>
        </w:tc>
        <w:tc>
          <w:tcPr>
            <w:tcW w:w="966" w:type="dxa"/>
            <w:tcBorders>
              <w:top w:val="nil"/>
              <w:left w:val="nil"/>
              <w:bottom w:val="single" w:sz="4" w:space="0" w:color="auto"/>
              <w:right w:val="single" w:sz="4" w:space="0" w:color="auto"/>
            </w:tcBorders>
            <w:shd w:val="clear" w:color="000000" w:fill="FFFFFF"/>
            <w:noWrap/>
            <w:vAlign w:val="center"/>
            <w:hideMark/>
          </w:tcPr>
          <w:p w14:paraId="3690F0A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3.531719</w:t>
            </w:r>
          </w:p>
        </w:tc>
        <w:tc>
          <w:tcPr>
            <w:tcW w:w="966" w:type="dxa"/>
            <w:tcBorders>
              <w:top w:val="nil"/>
              <w:left w:val="nil"/>
              <w:bottom w:val="single" w:sz="4" w:space="0" w:color="auto"/>
              <w:right w:val="single" w:sz="4" w:space="0" w:color="auto"/>
            </w:tcBorders>
            <w:shd w:val="clear" w:color="000000" w:fill="FFFFFF"/>
            <w:noWrap/>
            <w:vAlign w:val="center"/>
            <w:hideMark/>
          </w:tcPr>
          <w:p w14:paraId="716DF8D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120.7491</w:t>
            </w:r>
          </w:p>
        </w:tc>
      </w:tr>
      <w:tr w:rsidR="00117F69" w:rsidRPr="0035519F" w14:paraId="7750D229"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F952BF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w:t>
            </w:r>
          </w:p>
        </w:tc>
        <w:tc>
          <w:tcPr>
            <w:tcW w:w="960" w:type="dxa"/>
            <w:tcBorders>
              <w:top w:val="nil"/>
              <w:left w:val="nil"/>
              <w:bottom w:val="single" w:sz="4" w:space="0" w:color="auto"/>
              <w:right w:val="single" w:sz="4" w:space="0" w:color="auto"/>
            </w:tcBorders>
            <w:shd w:val="clear" w:color="000000" w:fill="FFFFFF"/>
            <w:noWrap/>
            <w:vAlign w:val="center"/>
            <w:hideMark/>
          </w:tcPr>
          <w:p w14:paraId="68C482C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5DA53F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33D47A6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7969BB4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68429385"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D22318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58.9</w:t>
            </w:r>
          </w:p>
        </w:tc>
        <w:tc>
          <w:tcPr>
            <w:tcW w:w="817" w:type="dxa"/>
            <w:tcBorders>
              <w:top w:val="nil"/>
              <w:left w:val="nil"/>
              <w:bottom w:val="single" w:sz="4" w:space="0" w:color="auto"/>
              <w:right w:val="single" w:sz="4" w:space="0" w:color="auto"/>
            </w:tcBorders>
            <w:shd w:val="clear" w:color="auto" w:fill="auto"/>
            <w:noWrap/>
            <w:vAlign w:val="center"/>
            <w:hideMark/>
          </w:tcPr>
          <w:p w14:paraId="03D3DF1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5.41</w:t>
            </w:r>
          </w:p>
        </w:tc>
        <w:tc>
          <w:tcPr>
            <w:tcW w:w="966" w:type="dxa"/>
            <w:tcBorders>
              <w:top w:val="nil"/>
              <w:left w:val="nil"/>
              <w:bottom w:val="single" w:sz="4" w:space="0" w:color="auto"/>
              <w:right w:val="single" w:sz="4" w:space="0" w:color="auto"/>
            </w:tcBorders>
            <w:shd w:val="clear" w:color="000000" w:fill="FFFFFF"/>
            <w:noWrap/>
            <w:vAlign w:val="center"/>
            <w:hideMark/>
          </w:tcPr>
          <w:p w14:paraId="722157C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0.786788</w:t>
            </w:r>
          </w:p>
        </w:tc>
        <w:tc>
          <w:tcPr>
            <w:tcW w:w="966" w:type="dxa"/>
            <w:tcBorders>
              <w:top w:val="nil"/>
              <w:left w:val="nil"/>
              <w:bottom w:val="single" w:sz="4" w:space="0" w:color="auto"/>
              <w:right w:val="single" w:sz="4" w:space="0" w:color="auto"/>
            </w:tcBorders>
            <w:shd w:val="clear" w:color="000000" w:fill="FFFFFF"/>
            <w:noWrap/>
            <w:vAlign w:val="center"/>
            <w:hideMark/>
          </w:tcPr>
          <w:p w14:paraId="04316DE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157.1511</w:t>
            </w:r>
          </w:p>
        </w:tc>
      </w:tr>
      <w:tr w:rsidR="00117F69" w:rsidRPr="0035519F" w14:paraId="5FCEA60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29B5A0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w:t>
            </w:r>
          </w:p>
        </w:tc>
        <w:tc>
          <w:tcPr>
            <w:tcW w:w="960" w:type="dxa"/>
            <w:tcBorders>
              <w:top w:val="nil"/>
              <w:left w:val="nil"/>
              <w:bottom w:val="single" w:sz="4" w:space="0" w:color="auto"/>
              <w:right w:val="single" w:sz="4" w:space="0" w:color="auto"/>
            </w:tcBorders>
            <w:shd w:val="clear" w:color="000000" w:fill="FFFFFF"/>
            <w:noWrap/>
            <w:vAlign w:val="center"/>
            <w:hideMark/>
          </w:tcPr>
          <w:p w14:paraId="4CDA283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846C10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7D6899C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98</w:t>
            </w:r>
          </w:p>
        </w:tc>
        <w:tc>
          <w:tcPr>
            <w:tcW w:w="950" w:type="dxa"/>
            <w:tcBorders>
              <w:top w:val="nil"/>
              <w:left w:val="nil"/>
              <w:bottom w:val="single" w:sz="4" w:space="0" w:color="auto"/>
              <w:right w:val="single" w:sz="4" w:space="0" w:color="auto"/>
            </w:tcBorders>
            <w:shd w:val="clear" w:color="000000" w:fill="FFFFFF"/>
            <w:noWrap/>
            <w:vAlign w:val="center"/>
            <w:hideMark/>
          </w:tcPr>
          <w:p w14:paraId="30DFB4B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1124B975"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48EB835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41.6</w:t>
            </w:r>
          </w:p>
        </w:tc>
        <w:tc>
          <w:tcPr>
            <w:tcW w:w="817" w:type="dxa"/>
            <w:tcBorders>
              <w:top w:val="nil"/>
              <w:left w:val="nil"/>
              <w:bottom w:val="single" w:sz="4" w:space="0" w:color="auto"/>
              <w:right w:val="single" w:sz="4" w:space="0" w:color="auto"/>
            </w:tcBorders>
            <w:shd w:val="clear" w:color="auto" w:fill="auto"/>
            <w:noWrap/>
            <w:vAlign w:val="center"/>
            <w:hideMark/>
          </w:tcPr>
          <w:p w14:paraId="0E1A5F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12.83</w:t>
            </w:r>
          </w:p>
        </w:tc>
        <w:tc>
          <w:tcPr>
            <w:tcW w:w="966" w:type="dxa"/>
            <w:tcBorders>
              <w:top w:val="nil"/>
              <w:left w:val="nil"/>
              <w:bottom w:val="single" w:sz="4" w:space="0" w:color="auto"/>
              <w:right w:val="single" w:sz="4" w:space="0" w:color="auto"/>
            </w:tcBorders>
            <w:shd w:val="clear" w:color="000000" w:fill="FFFFFF"/>
            <w:noWrap/>
            <w:vAlign w:val="center"/>
            <w:hideMark/>
          </w:tcPr>
          <w:p w14:paraId="24C1E8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1.317847</w:t>
            </w:r>
          </w:p>
        </w:tc>
        <w:tc>
          <w:tcPr>
            <w:tcW w:w="966" w:type="dxa"/>
            <w:tcBorders>
              <w:top w:val="nil"/>
              <w:left w:val="nil"/>
              <w:bottom w:val="single" w:sz="4" w:space="0" w:color="auto"/>
              <w:right w:val="single" w:sz="4" w:space="0" w:color="auto"/>
            </w:tcBorders>
            <w:shd w:val="clear" w:color="000000" w:fill="FFFFFF"/>
            <w:noWrap/>
            <w:vAlign w:val="center"/>
            <w:hideMark/>
          </w:tcPr>
          <w:p w14:paraId="3DF44A2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293.1612</w:t>
            </w:r>
          </w:p>
        </w:tc>
      </w:tr>
      <w:tr w:rsidR="00117F69" w:rsidRPr="0035519F" w14:paraId="57D861C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5C3E9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69</w:t>
            </w:r>
          </w:p>
        </w:tc>
        <w:tc>
          <w:tcPr>
            <w:tcW w:w="960" w:type="dxa"/>
            <w:tcBorders>
              <w:top w:val="nil"/>
              <w:left w:val="nil"/>
              <w:bottom w:val="single" w:sz="4" w:space="0" w:color="auto"/>
              <w:right w:val="single" w:sz="4" w:space="0" w:color="auto"/>
            </w:tcBorders>
            <w:shd w:val="clear" w:color="000000" w:fill="FFFFFF"/>
            <w:noWrap/>
            <w:vAlign w:val="center"/>
            <w:hideMark/>
          </w:tcPr>
          <w:p w14:paraId="17DFE69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039E652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6E9B86B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5F8D37B5"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479F115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3C6A0B3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66.3</w:t>
            </w:r>
          </w:p>
        </w:tc>
        <w:tc>
          <w:tcPr>
            <w:tcW w:w="817" w:type="dxa"/>
            <w:tcBorders>
              <w:top w:val="nil"/>
              <w:left w:val="nil"/>
              <w:bottom w:val="single" w:sz="4" w:space="0" w:color="auto"/>
              <w:right w:val="single" w:sz="4" w:space="0" w:color="auto"/>
            </w:tcBorders>
            <w:shd w:val="clear" w:color="auto" w:fill="auto"/>
            <w:noWrap/>
            <w:vAlign w:val="center"/>
            <w:hideMark/>
          </w:tcPr>
          <w:p w14:paraId="4B3DA63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11.82</w:t>
            </w:r>
          </w:p>
        </w:tc>
        <w:tc>
          <w:tcPr>
            <w:tcW w:w="966" w:type="dxa"/>
            <w:tcBorders>
              <w:top w:val="nil"/>
              <w:left w:val="nil"/>
              <w:bottom w:val="single" w:sz="4" w:space="0" w:color="auto"/>
              <w:right w:val="single" w:sz="4" w:space="0" w:color="auto"/>
            </w:tcBorders>
            <w:shd w:val="clear" w:color="000000" w:fill="FFFFFF"/>
            <w:noWrap/>
            <w:vAlign w:val="center"/>
            <w:hideMark/>
          </w:tcPr>
          <w:p w14:paraId="171F106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1.934978</w:t>
            </w:r>
          </w:p>
        </w:tc>
        <w:tc>
          <w:tcPr>
            <w:tcW w:w="966" w:type="dxa"/>
            <w:tcBorders>
              <w:top w:val="nil"/>
              <w:left w:val="nil"/>
              <w:bottom w:val="single" w:sz="4" w:space="0" w:color="auto"/>
              <w:right w:val="single" w:sz="4" w:space="0" w:color="auto"/>
            </w:tcBorders>
            <w:shd w:val="clear" w:color="000000" w:fill="FFFFFF"/>
            <w:noWrap/>
            <w:vAlign w:val="center"/>
            <w:hideMark/>
          </w:tcPr>
          <w:p w14:paraId="1DC634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305.2694</w:t>
            </w:r>
          </w:p>
        </w:tc>
      </w:tr>
      <w:tr w:rsidR="00117F69" w:rsidRPr="0035519F" w14:paraId="18ABDCB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32CA66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w:t>
            </w:r>
          </w:p>
        </w:tc>
        <w:tc>
          <w:tcPr>
            <w:tcW w:w="960" w:type="dxa"/>
            <w:tcBorders>
              <w:top w:val="nil"/>
              <w:left w:val="nil"/>
              <w:bottom w:val="single" w:sz="4" w:space="0" w:color="auto"/>
              <w:right w:val="single" w:sz="4" w:space="0" w:color="auto"/>
            </w:tcBorders>
            <w:shd w:val="clear" w:color="000000" w:fill="FFFFFF"/>
            <w:noWrap/>
            <w:vAlign w:val="center"/>
            <w:hideMark/>
          </w:tcPr>
          <w:p w14:paraId="02F8885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13938A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w:t>
            </w:r>
          </w:p>
        </w:tc>
        <w:tc>
          <w:tcPr>
            <w:tcW w:w="1022" w:type="dxa"/>
            <w:tcBorders>
              <w:top w:val="nil"/>
              <w:left w:val="nil"/>
              <w:bottom w:val="single" w:sz="4" w:space="0" w:color="auto"/>
              <w:right w:val="single" w:sz="4" w:space="0" w:color="auto"/>
            </w:tcBorders>
            <w:shd w:val="clear" w:color="000000" w:fill="FFFFFF"/>
            <w:noWrap/>
            <w:vAlign w:val="center"/>
            <w:hideMark/>
          </w:tcPr>
          <w:p w14:paraId="1E30B97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82</w:t>
            </w:r>
          </w:p>
        </w:tc>
        <w:tc>
          <w:tcPr>
            <w:tcW w:w="950" w:type="dxa"/>
            <w:tcBorders>
              <w:top w:val="nil"/>
              <w:left w:val="nil"/>
              <w:bottom w:val="single" w:sz="4" w:space="0" w:color="auto"/>
              <w:right w:val="single" w:sz="4" w:space="0" w:color="auto"/>
            </w:tcBorders>
            <w:shd w:val="clear" w:color="000000" w:fill="FFFFFF"/>
            <w:noWrap/>
            <w:vAlign w:val="center"/>
            <w:hideMark/>
          </w:tcPr>
          <w:p w14:paraId="4E477E8B"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7CE677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34636F2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81.2</w:t>
            </w:r>
          </w:p>
        </w:tc>
        <w:tc>
          <w:tcPr>
            <w:tcW w:w="817" w:type="dxa"/>
            <w:tcBorders>
              <w:top w:val="nil"/>
              <w:left w:val="nil"/>
              <w:bottom w:val="single" w:sz="4" w:space="0" w:color="auto"/>
              <w:right w:val="single" w:sz="4" w:space="0" w:color="auto"/>
            </w:tcBorders>
            <w:shd w:val="clear" w:color="auto" w:fill="auto"/>
            <w:noWrap/>
            <w:vAlign w:val="center"/>
            <w:hideMark/>
          </w:tcPr>
          <w:p w14:paraId="65AC3D3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w:t>
            </w:r>
          </w:p>
        </w:tc>
        <w:tc>
          <w:tcPr>
            <w:tcW w:w="966" w:type="dxa"/>
            <w:tcBorders>
              <w:top w:val="nil"/>
              <w:left w:val="nil"/>
              <w:bottom w:val="single" w:sz="4" w:space="0" w:color="auto"/>
              <w:right w:val="single" w:sz="4" w:space="0" w:color="auto"/>
            </w:tcBorders>
            <w:shd w:val="clear" w:color="000000" w:fill="FFFFFF"/>
            <w:noWrap/>
            <w:vAlign w:val="center"/>
            <w:hideMark/>
          </w:tcPr>
          <w:p w14:paraId="1BB4CE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0.882173</w:t>
            </w:r>
          </w:p>
        </w:tc>
        <w:tc>
          <w:tcPr>
            <w:tcW w:w="966" w:type="dxa"/>
            <w:tcBorders>
              <w:top w:val="nil"/>
              <w:left w:val="nil"/>
              <w:bottom w:val="single" w:sz="4" w:space="0" w:color="auto"/>
              <w:right w:val="single" w:sz="4" w:space="0" w:color="auto"/>
            </w:tcBorders>
            <w:shd w:val="clear" w:color="000000" w:fill="FFFFFF"/>
            <w:noWrap/>
            <w:vAlign w:val="center"/>
            <w:hideMark/>
          </w:tcPr>
          <w:p w14:paraId="025F2F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443.1436</w:t>
            </w:r>
          </w:p>
        </w:tc>
      </w:tr>
      <w:tr w:rsidR="00117F69" w:rsidRPr="0035519F" w14:paraId="3CCF25A3"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3F2A1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w:t>
            </w:r>
          </w:p>
        </w:tc>
        <w:tc>
          <w:tcPr>
            <w:tcW w:w="960" w:type="dxa"/>
            <w:tcBorders>
              <w:top w:val="nil"/>
              <w:left w:val="nil"/>
              <w:bottom w:val="single" w:sz="4" w:space="0" w:color="auto"/>
              <w:right w:val="single" w:sz="4" w:space="0" w:color="auto"/>
            </w:tcBorders>
            <w:shd w:val="clear" w:color="000000" w:fill="FFFFFF"/>
            <w:noWrap/>
            <w:vAlign w:val="center"/>
            <w:hideMark/>
          </w:tcPr>
          <w:p w14:paraId="563E2AB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9F891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w:t>
            </w:r>
          </w:p>
        </w:tc>
        <w:tc>
          <w:tcPr>
            <w:tcW w:w="1022" w:type="dxa"/>
            <w:tcBorders>
              <w:top w:val="nil"/>
              <w:left w:val="nil"/>
              <w:bottom w:val="single" w:sz="4" w:space="0" w:color="auto"/>
              <w:right w:val="single" w:sz="4" w:space="0" w:color="auto"/>
            </w:tcBorders>
            <w:shd w:val="clear" w:color="000000" w:fill="FFFFFF"/>
            <w:noWrap/>
            <w:vAlign w:val="center"/>
            <w:hideMark/>
          </w:tcPr>
          <w:p w14:paraId="3FF5CD5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78</w:t>
            </w:r>
          </w:p>
        </w:tc>
        <w:tc>
          <w:tcPr>
            <w:tcW w:w="950" w:type="dxa"/>
            <w:tcBorders>
              <w:top w:val="nil"/>
              <w:left w:val="nil"/>
              <w:bottom w:val="single" w:sz="4" w:space="0" w:color="auto"/>
              <w:right w:val="single" w:sz="4" w:space="0" w:color="auto"/>
            </w:tcBorders>
            <w:shd w:val="clear" w:color="000000" w:fill="FFFFFF"/>
            <w:noWrap/>
            <w:vAlign w:val="center"/>
            <w:hideMark/>
          </w:tcPr>
          <w:p w14:paraId="53D3054D"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17F497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6B333D8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63.1</w:t>
            </w:r>
          </w:p>
        </w:tc>
        <w:tc>
          <w:tcPr>
            <w:tcW w:w="817" w:type="dxa"/>
            <w:tcBorders>
              <w:top w:val="nil"/>
              <w:left w:val="nil"/>
              <w:bottom w:val="single" w:sz="4" w:space="0" w:color="auto"/>
              <w:right w:val="single" w:sz="4" w:space="0" w:color="auto"/>
            </w:tcBorders>
            <w:shd w:val="clear" w:color="auto" w:fill="auto"/>
            <w:noWrap/>
            <w:vAlign w:val="center"/>
            <w:hideMark/>
          </w:tcPr>
          <w:p w14:paraId="27CCBE0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19.48</w:t>
            </w:r>
          </w:p>
        </w:tc>
        <w:tc>
          <w:tcPr>
            <w:tcW w:w="966" w:type="dxa"/>
            <w:tcBorders>
              <w:top w:val="nil"/>
              <w:left w:val="nil"/>
              <w:bottom w:val="single" w:sz="4" w:space="0" w:color="auto"/>
              <w:right w:val="single" w:sz="4" w:space="0" w:color="auto"/>
            </w:tcBorders>
            <w:shd w:val="clear" w:color="000000" w:fill="FFFFFF"/>
            <w:noWrap/>
            <w:vAlign w:val="center"/>
            <w:hideMark/>
          </w:tcPr>
          <w:p w14:paraId="74A23BB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3.035032</w:t>
            </w:r>
          </w:p>
        </w:tc>
        <w:tc>
          <w:tcPr>
            <w:tcW w:w="966" w:type="dxa"/>
            <w:tcBorders>
              <w:top w:val="nil"/>
              <w:left w:val="nil"/>
              <w:bottom w:val="single" w:sz="4" w:space="0" w:color="auto"/>
              <w:right w:val="single" w:sz="4" w:space="0" w:color="auto"/>
            </w:tcBorders>
            <w:shd w:val="clear" w:color="000000" w:fill="FFFFFF"/>
            <w:noWrap/>
            <w:vAlign w:val="center"/>
            <w:hideMark/>
          </w:tcPr>
          <w:p w14:paraId="0ED92E3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808.4153</w:t>
            </w:r>
          </w:p>
        </w:tc>
      </w:tr>
      <w:tr w:rsidR="00117F69" w:rsidRPr="0035519F" w14:paraId="3C89163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1E3AB6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72</w:t>
            </w:r>
          </w:p>
        </w:tc>
        <w:tc>
          <w:tcPr>
            <w:tcW w:w="960" w:type="dxa"/>
            <w:tcBorders>
              <w:top w:val="nil"/>
              <w:left w:val="nil"/>
              <w:bottom w:val="single" w:sz="4" w:space="0" w:color="auto"/>
              <w:right w:val="single" w:sz="4" w:space="0" w:color="auto"/>
            </w:tcBorders>
            <w:shd w:val="clear" w:color="000000" w:fill="FFFFFF"/>
            <w:noWrap/>
            <w:vAlign w:val="center"/>
            <w:hideMark/>
          </w:tcPr>
          <w:p w14:paraId="4632F89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C787E6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39</w:t>
            </w:r>
          </w:p>
        </w:tc>
        <w:tc>
          <w:tcPr>
            <w:tcW w:w="1022" w:type="dxa"/>
            <w:tcBorders>
              <w:top w:val="nil"/>
              <w:left w:val="nil"/>
              <w:bottom w:val="single" w:sz="4" w:space="0" w:color="auto"/>
              <w:right w:val="single" w:sz="4" w:space="0" w:color="auto"/>
            </w:tcBorders>
            <w:shd w:val="clear" w:color="000000" w:fill="FFFFFF"/>
            <w:noWrap/>
            <w:vAlign w:val="center"/>
            <w:hideMark/>
          </w:tcPr>
          <w:p w14:paraId="2596B17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w:t>
            </w:r>
          </w:p>
        </w:tc>
        <w:tc>
          <w:tcPr>
            <w:tcW w:w="950" w:type="dxa"/>
            <w:tcBorders>
              <w:top w:val="nil"/>
              <w:left w:val="nil"/>
              <w:bottom w:val="single" w:sz="4" w:space="0" w:color="auto"/>
              <w:right w:val="single" w:sz="4" w:space="0" w:color="auto"/>
            </w:tcBorders>
            <w:shd w:val="clear" w:color="000000" w:fill="FFFFFF"/>
            <w:noWrap/>
            <w:vAlign w:val="center"/>
            <w:hideMark/>
          </w:tcPr>
          <w:p w14:paraId="212370A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67A5C6FA"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5DCF5EE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35</w:t>
            </w:r>
          </w:p>
        </w:tc>
        <w:tc>
          <w:tcPr>
            <w:tcW w:w="817" w:type="dxa"/>
            <w:tcBorders>
              <w:top w:val="nil"/>
              <w:left w:val="nil"/>
              <w:bottom w:val="single" w:sz="4" w:space="0" w:color="auto"/>
              <w:right w:val="single" w:sz="4" w:space="0" w:color="auto"/>
            </w:tcBorders>
            <w:shd w:val="clear" w:color="auto" w:fill="auto"/>
            <w:noWrap/>
            <w:vAlign w:val="center"/>
            <w:hideMark/>
          </w:tcPr>
          <w:p w14:paraId="7777B37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10.93</w:t>
            </w:r>
          </w:p>
        </w:tc>
        <w:tc>
          <w:tcPr>
            <w:tcW w:w="966" w:type="dxa"/>
            <w:tcBorders>
              <w:top w:val="nil"/>
              <w:left w:val="nil"/>
              <w:bottom w:val="single" w:sz="4" w:space="0" w:color="auto"/>
              <w:right w:val="single" w:sz="4" w:space="0" w:color="auto"/>
            </w:tcBorders>
            <w:shd w:val="clear" w:color="000000" w:fill="FFFFFF"/>
            <w:noWrap/>
            <w:vAlign w:val="center"/>
            <w:hideMark/>
          </w:tcPr>
          <w:p w14:paraId="462C618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0.944568</w:t>
            </w:r>
          </w:p>
        </w:tc>
        <w:tc>
          <w:tcPr>
            <w:tcW w:w="966" w:type="dxa"/>
            <w:tcBorders>
              <w:top w:val="nil"/>
              <w:left w:val="nil"/>
              <w:bottom w:val="single" w:sz="4" w:space="0" w:color="auto"/>
              <w:right w:val="single" w:sz="4" w:space="0" w:color="auto"/>
            </w:tcBorders>
            <w:shd w:val="clear" w:color="000000" w:fill="FFFFFF"/>
            <w:noWrap/>
            <w:vAlign w:val="center"/>
            <w:hideMark/>
          </w:tcPr>
          <w:p w14:paraId="2FA7342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1000.814</w:t>
            </w:r>
          </w:p>
        </w:tc>
      </w:tr>
      <w:tr w:rsidR="00117F69" w:rsidRPr="0035519F" w14:paraId="52A12C1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225DF1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73</w:t>
            </w:r>
          </w:p>
        </w:tc>
        <w:tc>
          <w:tcPr>
            <w:tcW w:w="960" w:type="dxa"/>
            <w:tcBorders>
              <w:top w:val="nil"/>
              <w:left w:val="nil"/>
              <w:bottom w:val="single" w:sz="4" w:space="0" w:color="auto"/>
              <w:right w:val="single" w:sz="4" w:space="0" w:color="auto"/>
            </w:tcBorders>
            <w:shd w:val="clear" w:color="000000" w:fill="FFFFFF"/>
            <w:noWrap/>
            <w:vAlign w:val="center"/>
            <w:hideMark/>
          </w:tcPr>
          <w:p w14:paraId="31ED895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0BBC494"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3E7104A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90</w:t>
            </w:r>
          </w:p>
        </w:tc>
        <w:tc>
          <w:tcPr>
            <w:tcW w:w="950" w:type="dxa"/>
            <w:tcBorders>
              <w:top w:val="nil"/>
              <w:left w:val="nil"/>
              <w:bottom w:val="single" w:sz="4" w:space="0" w:color="auto"/>
              <w:right w:val="single" w:sz="4" w:space="0" w:color="auto"/>
            </w:tcBorders>
            <w:shd w:val="clear" w:color="000000" w:fill="FFFFFF"/>
            <w:noWrap/>
            <w:vAlign w:val="center"/>
            <w:hideMark/>
          </w:tcPr>
          <w:p w14:paraId="10CD79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5C5A22F"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9EBA53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76.2</w:t>
            </w:r>
          </w:p>
        </w:tc>
        <w:tc>
          <w:tcPr>
            <w:tcW w:w="817" w:type="dxa"/>
            <w:tcBorders>
              <w:top w:val="nil"/>
              <w:left w:val="nil"/>
              <w:bottom w:val="single" w:sz="4" w:space="0" w:color="auto"/>
              <w:right w:val="single" w:sz="4" w:space="0" w:color="auto"/>
            </w:tcBorders>
            <w:shd w:val="clear" w:color="auto" w:fill="auto"/>
            <w:noWrap/>
            <w:vAlign w:val="center"/>
            <w:hideMark/>
          </w:tcPr>
          <w:p w14:paraId="602DF50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6.97</w:t>
            </w:r>
          </w:p>
        </w:tc>
        <w:tc>
          <w:tcPr>
            <w:tcW w:w="966" w:type="dxa"/>
            <w:tcBorders>
              <w:top w:val="nil"/>
              <w:left w:val="nil"/>
              <w:bottom w:val="single" w:sz="4" w:space="0" w:color="auto"/>
              <w:right w:val="single" w:sz="4" w:space="0" w:color="auto"/>
            </w:tcBorders>
            <w:shd w:val="clear" w:color="000000" w:fill="FFFFFF"/>
            <w:noWrap/>
            <w:vAlign w:val="center"/>
            <w:hideMark/>
          </w:tcPr>
          <w:p w14:paraId="5E1E54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1.311393</w:t>
            </w:r>
          </w:p>
        </w:tc>
        <w:tc>
          <w:tcPr>
            <w:tcW w:w="966" w:type="dxa"/>
            <w:tcBorders>
              <w:top w:val="nil"/>
              <w:left w:val="nil"/>
              <w:bottom w:val="single" w:sz="4" w:space="0" w:color="auto"/>
              <w:right w:val="single" w:sz="4" w:space="0" w:color="auto"/>
            </w:tcBorders>
            <w:shd w:val="clear" w:color="000000" w:fill="FFFFFF"/>
            <w:noWrap/>
            <w:vAlign w:val="center"/>
            <w:hideMark/>
          </w:tcPr>
          <w:p w14:paraId="4C90307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958.0747</w:t>
            </w:r>
          </w:p>
        </w:tc>
      </w:tr>
      <w:tr w:rsidR="00117F69" w:rsidRPr="0035519F" w14:paraId="69453750"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C2436E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w:t>
            </w:r>
          </w:p>
        </w:tc>
        <w:tc>
          <w:tcPr>
            <w:tcW w:w="960" w:type="dxa"/>
            <w:tcBorders>
              <w:top w:val="nil"/>
              <w:left w:val="nil"/>
              <w:bottom w:val="single" w:sz="4" w:space="0" w:color="auto"/>
              <w:right w:val="single" w:sz="4" w:space="0" w:color="auto"/>
            </w:tcBorders>
            <w:shd w:val="clear" w:color="000000" w:fill="FFFFFF"/>
            <w:noWrap/>
            <w:vAlign w:val="center"/>
            <w:hideMark/>
          </w:tcPr>
          <w:p w14:paraId="645C2F7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F969EE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w:t>
            </w:r>
          </w:p>
        </w:tc>
        <w:tc>
          <w:tcPr>
            <w:tcW w:w="1022" w:type="dxa"/>
            <w:tcBorders>
              <w:top w:val="nil"/>
              <w:left w:val="nil"/>
              <w:bottom w:val="single" w:sz="4" w:space="0" w:color="auto"/>
              <w:right w:val="single" w:sz="4" w:space="0" w:color="auto"/>
            </w:tcBorders>
            <w:shd w:val="clear" w:color="000000" w:fill="FFFFFF"/>
            <w:noWrap/>
            <w:vAlign w:val="center"/>
            <w:hideMark/>
          </w:tcPr>
          <w:p w14:paraId="105A211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w:t>
            </w:r>
          </w:p>
        </w:tc>
        <w:tc>
          <w:tcPr>
            <w:tcW w:w="950" w:type="dxa"/>
            <w:tcBorders>
              <w:top w:val="nil"/>
              <w:left w:val="nil"/>
              <w:bottom w:val="single" w:sz="4" w:space="0" w:color="auto"/>
              <w:right w:val="single" w:sz="4" w:space="0" w:color="auto"/>
            </w:tcBorders>
            <w:shd w:val="clear" w:color="000000" w:fill="FFFFFF"/>
            <w:noWrap/>
            <w:vAlign w:val="center"/>
            <w:hideMark/>
          </w:tcPr>
          <w:p w14:paraId="6CB432CA"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80D5B8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37C41E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86.2</w:t>
            </w:r>
          </w:p>
        </w:tc>
        <w:tc>
          <w:tcPr>
            <w:tcW w:w="817" w:type="dxa"/>
            <w:tcBorders>
              <w:top w:val="nil"/>
              <w:left w:val="nil"/>
              <w:bottom w:val="single" w:sz="4" w:space="0" w:color="auto"/>
              <w:right w:val="single" w:sz="4" w:space="0" w:color="auto"/>
            </w:tcBorders>
            <w:shd w:val="clear" w:color="auto" w:fill="auto"/>
            <w:noWrap/>
            <w:vAlign w:val="center"/>
            <w:hideMark/>
          </w:tcPr>
          <w:p w14:paraId="20F8ECD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5.12</w:t>
            </w:r>
          </w:p>
        </w:tc>
        <w:tc>
          <w:tcPr>
            <w:tcW w:w="966" w:type="dxa"/>
            <w:tcBorders>
              <w:top w:val="nil"/>
              <w:left w:val="nil"/>
              <w:bottom w:val="single" w:sz="4" w:space="0" w:color="auto"/>
              <w:right w:val="single" w:sz="4" w:space="0" w:color="auto"/>
            </w:tcBorders>
            <w:shd w:val="clear" w:color="000000" w:fill="FFFFFF"/>
            <w:noWrap/>
            <w:vAlign w:val="center"/>
            <w:hideMark/>
          </w:tcPr>
          <w:p w14:paraId="08A20D1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1.089738</w:t>
            </w:r>
          </w:p>
        </w:tc>
        <w:tc>
          <w:tcPr>
            <w:tcW w:w="966" w:type="dxa"/>
            <w:tcBorders>
              <w:top w:val="nil"/>
              <w:left w:val="nil"/>
              <w:bottom w:val="single" w:sz="4" w:space="0" w:color="auto"/>
              <w:right w:val="single" w:sz="4" w:space="0" w:color="auto"/>
            </w:tcBorders>
            <w:shd w:val="clear" w:color="000000" w:fill="FFFFFF"/>
            <w:noWrap/>
            <w:vAlign w:val="center"/>
            <w:hideMark/>
          </w:tcPr>
          <w:p w14:paraId="4BDC9B7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377.9372</w:t>
            </w:r>
          </w:p>
        </w:tc>
      </w:tr>
      <w:tr w:rsidR="00117F69" w:rsidRPr="0035519F" w14:paraId="7F2F705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67E76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75</w:t>
            </w:r>
          </w:p>
        </w:tc>
        <w:tc>
          <w:tcPr>
            <w:tcW w:w="960" w:type="dxa"/>
            <w:tcBorders>
              <w:top w:val="nil"/>
              <w:left w:val="nil"/>
              <w:bottom w:val="single" w:sz="4" w:space="0" w:color="auto"/>
              <w:right w:val="single" w:sz="4" w:space="0" w:color="auto"/>
            </w:tcBorders>
            <w:shd w:val="clear" w:color="000000" w:fill="FFFFFF"/>
            <w:noWrap/>
            <w:vAlign w:val="center"/>
            <w:hideMark/>
          </w:tcPr>
          <w:p w14:paraId="7025577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63999CD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1723B74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103</w:t>
            </w:r>
          </w:p>
        </w:tc>
        <w:tc>
          <w:tcPr>
            <w:tcW w:w="950" w:type="dxa"/>
            <w:tcBorders>
              <w:top w:val="nil"/>
              <w:left w:val="nil"/>
              <w:bottom w:val="single" w:sz="4" w:space="0" w:color="auto"/>
              <w:right w:val="single" w:sz="4" w:space="0" w:color="auto"/>
            </w:tcBorders>
            <w:shd w:val="clear" w:color="000000" w:fill="FFFFFF"/>
            <w:noWrap/>
            <w:vAlign w:val="center"/>
            <w:hideMark/>
          </w:tcPr>
          <w:p w14:paraId="503C10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2B45EE03"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34C8A42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70.3</w:t>
            </w:r>
          </w:p>
        </w:tc>
        <w:tc>
          <w:tcPr>
            <w:tcW w:w="817" w:type="dxa"/>
            <w:tcBorders>
              <w:top w:val="nil"/>
              <w:left w:val="nil"/>
              <w:bottom w:val="single" w:sz="4" w:space="0" w:color="auto"/>
              <w:right w:val="single" w:sz="4" w:space="0" w:color="auto"/>
            </w:tcBorders>
            <w:shd w:val="clear" w:color="auto" w:fill="auto"/>
            <w:noWrap/>
            <w:vAlign w:val="center"/>
            <w:hideMark/>
          </w:tcPr>
          <w:p w14:paraId="104D8B4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17.78</w:t>
            </w:r>
          </w:p>
        </w:tc>
        <w:tc>
          <w:tcPr>
            <w:tcW w:w="966" w:type="dxa"/>
            <w:tcBorders>
              <w:top w:val="nil"/>
              <w:left w:val="nil"/>
              <w:bottom w:val="single" w:sz="4" w:space="0" w:color="auto"/>
              <w:right w:val="single" w:sz="4" w:space="0" w:color="auto"/>
            </w:tcBorders>
            <w:shd w:val="clear" w:color="000000" w:fill="FFFFFF"/>
            <w:noWrap/>
            <w:vAlign w:val="center"/>
            <w:hideMark/>
          </w:tcPr>
          <w:p w14:paraId="09E54EA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3.086257</w:t>
            </w:r>
          </w:p>
        </w:tc>
        <w:tc>
          <w:tcPr>
            <w:tcW w:w="966" w:type="dxa"/>
            <w:tcBorders>
              <w:top w:val="nil"/>
              <w:left w:val="nil"/>
              <w:bottom w:val="single" w:sz="4" w:space="0" w:color="auto"/>
              <w:right w:val="single" w:sz="4" w:space="0" w:color="auto"/>
            </w:tcBorders>
            <w:shd w:val="clear" w:color="000000" w:fill="FFFFFF"/>
            <w:noWrap/>
            <w:vAlign w:val="center"/>
            <w:hideMark/>
          </w:tcPr>
          <w:p w14:paraId="3D0836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1058.009</w:t>
            </w:r>
          </w:p>
        </w:tc>
      </w:tr>
      <w:tr w:rsidR="00117F69" w:rsidRPr="0035519F" w14:paraId="11AD537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F5C8C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76</w:t>
            </w:r>
          </w:p>
        </w:tc>
        <w:tc>
          <w:tcPr>
            <w:tcW w:w="960" w:type="dxa"/>
            <w:tcBorders>
              <w:top w:val="nil"/>
              <w:left w:val="nil"/>
              <w:bottom w:val="single" w:sz="4" w:space="0" w:color="auto"/>
              <w:right w:val="single" w:sz="4" w:space="0" w:color="auto"/>
            </w:tcBorders>
            <w:shd w:val="clear" w:color="000000" w:fill="FFFFFF"/>
            <w:noWrap/>
            <w:vAlign w:val="center"/>
            <w:hideMark/>
          </w:tcPr>
          <w:p w14:paraId="4524F21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3567DD6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6CA5A7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89</w:t>
            </w:r>
          </w:p>
        </w:tc>
        <w:tc>
          <w:tcPr>
            <w:tcW w:w="950" w:type="dxa"/>
            <w:tcBorders>
              <w:top w:val="nil"/>
              <w:left w:val="nil"/>
              <w:bottom w:val="single" w:sz="4" w:space="0" w:color="auto"/>
              <w:right w:val="single" w:sz="4" w:space="0" w:color="auto"/>
            </w:tcBorders>
            <w:shd w:val="clear" w:color="000000" w:fill="FFFFFF"/>
            <w:noWrap/>
            <w:vAlign w:val="center"/>
            <w:hideMark/>
          </w:tcPr>
          <w:p w14:paraId="2A07DBB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0A841A4D"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08F1BF4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53.6</w:t>
            </w:r>
          </w:p>
        </w:tc>
        <w:tc>
          <w:tcPr>
            <w:tcW w:w="817" w:type="dxa"/>
            <w:tcBorders>
              <w:top w:val="nil"/>
              <w:left w:val="nil"/>
              <w:bottom w:val="single" w:sz="4" w:space="0" w:color="auto"/>
              <w:right w:val="single" w:sz="4" w:space="0" w:color="auto"/>
            </w:tcBorders>
            <w:shd w:val="clear" w:color="auto" w:fill="auto"/>
            <w:noWrap/>
            <w:vAlign w:val="center"/>
            <w:hideMark/>
          </w:tcPr>
          <w:p w14:paraId="3D43252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17.14</w:t>
            </w:r>
          </w:p>
        </w:tc>
        <w:tc>
          <w:tcPr>
            <w:tcW w:w="966" w:type="dxa"/>
            <w:tcBorders>
              <w:top w:val="nil"/>
              <w:left w:val="nil"/>
              <w:bottom w:val="single" w:sz="4" w:space="0" w:color="auto"/>
              <w:right w:val="single" w:sz="4" w:space="0" w:color="auto"/>
            </w:tcBorders>
            <w:shd w:val="clear" w:color="000000" w:fill="FFFFFF"/>
            <w:noWrap/>
            <w:vAlign w:val="center"/>
            <w:hideMark/>
          </w:tcPr>
          <w:p w14:paraId="53F57C1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2.268405</w:t>
            </w:r>
          </w:p>
        </w:tc>
        <w:tc>
          <w:tcPr>
            <w:tcW w:w="966" w:type="dxa"/>
            <w:tcBorders>
              <w:top w:val="nil"/>
              <w:left w:val="nil"/>
              <w:bottom w:val="single" w:sz="4" w:space="0" w:color="auto"/>
              <w:right w:val="single" w:sz="4" w:space="0" w:color="auto"/>
            </w:tcBorders>
            <w:shd w:val="clear" w:color="000000" w:fill="FFFFFF"/>
            <w:noWrap/>
            <w:vAlign w:val="center"/>
            <w:hideMark/>
          </w:tcPr>
          <w:p w14:paraId="0BA69BA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233.4697</w:t>
            </w:r>
          </w:p>
        </w:tc>
      </w:tr>
      <w:tr w:rsidR="00117F69" w:rsidRPr="0035519F" w14:paraId="394EB745"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166FBB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77</w:t>
            </w:r>
          </w:p>
        </w:tc>
        <w:tc>
          <w:tcPr>
            <w:tcW w:w="960" w:type="dxa"/>
            <w:tcBorders>
              <w:top w:val="nil"/>
              <w:left w:val="nil"/>
              <w:bottom w:val="single" w:sz="4" w:space="0" w:color="auto"/>
              <w:right w:val="single" w:sz="4" w:space="0" w:color="auto"/>
            </w:tcBorders>
            <w:shd w:val="clear" w:color="000000" w:fill="FFFFFF"/>
            <w:noWrap/>
            <w:vAlign w:val="center"/>
            <w:hideMark/>
          </w:tcPr>
          <w:p w14:paraId="26D3FB1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2D53959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7A9F8B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77</w:t>
            </w:r>
          </w:p>
        </w:tc>
        <w:tc>
          <w:tcPr>
            <w:tcW w:w="950" w:type="dxa"/>
            <w:tcBorders>
              <w:top w:val="nil"/>
              <w:left w:val="nil"/>
              <w:bottom w:val="single" w:sz="4" w:space="0" w:color="auto"/>
              <w:right w:val="single" w:sz="4" w:space="0" w:color="auto"/>
            </w:tcBorders>
            <w:shd w:val="clear" w:color="000000" w:fill="FFFFFF"/>
            <w:noWrap/>
            <w:vAlign w:val="center"/>
            <w:hideMark/>
          </w:tcPr>
          <w:p w14:paraId="55A7D024"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1E8C66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A0F2DC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57.3</w:t>
            </w:r>
          </w:p>
        </w:tc>
        <w:tc>
          <w:tcPr>
            <w:tcW w:w="817" w:type="dxa"/>
            <w:tcBorders>
              <w:top w:val="nil"/>
              <w:left w:val="nil"/>
              <w:bottom w:val="single" w:sz="4" w:space="0" w:color="auto"/>
              <w:right w:val="single" w:sz="4" w:space="0" w:color="auto"/>
            </w:tcBorders>
            <w:shd w:val="clear" w:color="auto" w:fill="auto"/>
            <w:noWrap/>
            <w:vAlign w:val="center"/>
            <w:hideMark/>
          </w:tcPr>
          <w:p w14:paraId="335C5AD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6.62</w:t>
            </w:r>
          </w:p>
        </w:tc>
        <w:tc>
          <w:tcPr>
            <w:tcW w:w="966" w:type="dxa"/>
            <w:tcBorders>
              <w:top w:val="nil"/>
              <w:left w:val="nil"/>
              <w:bottom w:val="single" w:sz="4" w:space="0" w:color="auto"/>
              <w:right w:val="single" w:sz="4" w:space="0" w:color="auto"/>
            </w:tcBorders>
            <w:shd w:val="clear" w:color="000000" w:fill="FFFFFF"/>
            <w:noWrap/>
            <w:vAlign w:val="center"/>
            <w:hideMark/>
          </w:tcPr>
          <w:p w14:paraId="7916272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0.936607</w:t>
            </w:r>
          </w:p>
        </w:tc>
        <w:tc>
          <w:tcPr>
            <w:tcW w:w="966" w:type="dxa"/>
            <w:tcBorders>
              <w:top w:val="nil"/>
              <w:left w:val="nil"/>
              <w:bottom w:val="single" w:sz="4" w:space="0" w:color="auto"/>
              <w:right w:val="single" w:sz="4" w:space="0" w:color="auto"/>
            </w:tcBorders>
            <w:shd w:val="clear" w:color="000000" w:fill="FFFFFF"/>
            <w:noWrap/>
            <w:vAlign w:val="center"/>
            <w:hideMark/>
          </w:tcPr>
          <w:p w14:paraId="61E8C15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792.3402</w:t>
            </w:r>
          </w:p>
        </w:tc>
      </w:tr>
      <w:tr w:rsidR="00117F69" w:rsidRPr="0035519F" w14:paraId="163FBCCD"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BD9AB8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78</w:t>
            </w:r>
          </w:p>
        </w:tc>
        <w:tc>
          <w:tcPr>
            <w:tcW w:w="960" w:type="dxa"/>
            <w:tcBorders>
              <w:top w:val="nil"/>
              <w:left w:val="nil"/>
              <w:bottom w:val="single" w:sz="4" w:space="0" w:color="auto"/>
              <w:right w:val="single" w:sz="4" w:space="0" w:color="auto"/>
            </w:tcBorders>
            <w:shd w:val="clear" w:color="000000" w:fill="FFFFFF"/>
            <w:noWrap/>
            <w:vAlign w:val="center"/>
            <w:hideMark/>
          </w:tcPr>
          <w:p w14:paraId="0896559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0A5EBC9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6F75461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67</w:t>
            </w:r>
          </w:p>
        </w:tc>
        <w:tc>
          <w:tcPr>
            <w:tcW w:w="950" w:type="dxa"/>
            <w:tcBorders>
              <w:top w:val="nil"/>
              <w:left w:val="nil"/>
              <w:bottom w:val="single" w:sz="4" w:space="0" w:color="auto"/>
              <w:right w:val="single" w:sz="4" w:space="0" w:color="auto"/>
            </w:tcBorders>
            <w:shd w:val="clear" w:color="000000" w:fill="FFFFFF"/>
            <w:noWrap/>
            <w:vAlign w:val="center"/>
            <w:hideMark/>
          </w:tcPr>
          <w:p w14:paraId="010FCA4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5CF2C6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7E750E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52.6</w:t>
            </w:r>
          </w:p>
        </w:tc>
        <w:tc>
          <w:tcPr>
            <w:tcW w:w="817" w:type="dxa"/>
            <w:tcBorders>
              <w:top w:val="nil"/>
              <w:left w:val="nil"/>
              <w:bottom w:val="single" w:sz="4" w:space="0" w:color="auto"/>
              <w:right w:val="single" w:sz="4" w:space="0" w:color="auto"/>
            </w:tcBorders>
            <w:shd w:val="clear" w:color="auto" w:fill="auto"/>
            <w:noWrap/>
            <w:vAlign w:val="center"/>
            <w:hideMark/>
          </w:tcPr>
          <w:p w14:paraId="50165E1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8.32</w:t>
            </w:r>
          </w:p>
        </w:tc>
        <w:tc>
          <w:tcPr>
            <w:tcW w:w="966" w:type="dxa"/>
            <w:tcBorders>
              <w:top w:val="nil"/>
              <w:left w:val="nil"/>
              <w:bottom w:val="single" w:sz="4" w:space="0" w:color="auto"/>
              <w:right w:val="single" w:sz="4" w:space="0" w:color="auto"/>
            </w:tcBorders>
            <w:shd w:val="clear" w:color="000000" w:fill="FFFFFF"/>
            <w:noWrap/>
            <w:vAlign w:val="center"/>
            <w:hideMark/>
          </w:tcPr>
          <w:p w14:paraId="052390F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1.080573</w:t>
            </w:r>
          </w:p>
        </w:tc>
        <w:tc>
          <w:tcPr>
            <w:tcW w:w="966" w:type="dxa"/>
            <w:tcBorders>
              <w:top w:val="nil"/>
              <w:left w:val="nil"/>
              <w:bottom w:val="single" w:sz="4" w:space="0" w:color="auto"/>
              <w:right w:val="single" w:sz="4" w:space="0" w:color="auto"/>
            </w:tcBorders>
            <w:shd w:val="clear" w:color="000000" w:fill="FFFFFF"/>
            <w:noWrap/>
            <w:vAlign w:val="center"/>
            <w:hideMark/>
          </w:tcPr>
          <w:p w14:paraId="407CFE9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260.6314</w:t>
            </w:r>
          </w:p>
        </w:tc>
      </w:tr>
      <w:tr w:rsidR="00117F69" w:rsidRPr="0035519F" w14:paraId="6EFCA878"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3AC51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79</w:t>
            </w:r>
          </w:p>
        </w:tc>
        <w:tc>
          <w:tcPr>
            <w:tcW w:w="960" w:type="dxa"/>
            <w:tcBorders>
              <w:top w:val="nil"/>
              <w:left w:val="nil"/>
              <w:bottom w:val="single" w:sz="4" w:space="0" w:color="auto"/>
              <w:right w:val="single" w:sz="4" w:space="0" w:color="auto"/>
            </w:tcBorders>
            <w:shd w:val="clear" w:color="000000" w:fill="FFFFFF"/>
            <w:noWrap/>
            <w:vAlign w:val="center"/>
            <w:hideMark/>
          </w:tcPr>
          <w:p w14:paraId="37A6C05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132CC48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w:t>
            </w:r>
          </w:p>
        </w:tc>
        <w:tc>
          <w:tcPr>
            <w:tcW w:w="1022" w:type="dxa"/>
            <w:tcBorders>
              <w:top w:val="nil"/>
              <w:left w:val="nil"/>
              <w:bottom w:val="single" w:sz="4" w:space="0" w:color="auto"/>
              <w:right w:val="single" w:sz="4" w:space="0" w:color="auto"/>
            </w:tcBorders>
            <w:shd w:val="clear" w:color="000000" w:fill="FFFFFF"/>
            <w:noWrap/>
            <w:vAlign w:val="center"/>
            <w:hideMark/>
          </w:tcPr>
          <w:p w14:paraId="377C7ED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71</w:t>
            </w:r>
          </w:p>
        </w:tc>
        <w:tc>
          <w:tcPr>
            <w:tcW w:w="950" w:type="dxa"/>
            <w:tcBorders>
              <w:top w:val="nil"/>
              <w:left w:val="nil"/>
              <w:bottom w:val="single" w:sz="4" w:space="0" w:color="auto"/>
              <w:right w:val="single" w:sz="4" w:space="0" w:color="auto"/>
            </w:tcBorders>
            <w:shd w:val="clear" w:color="000000" w:fill="FFFFFF"/>
            <w:noWrap/>
            <w:vAlign w:val="center"/>
            <w:hideMark/>
          </w:tcPr>
          <w:p w14:paraId="3E1A7AA9"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18E0719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7572CA0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65.2</w:t>
            </w:r>
          </w:p>
        </w:tc>
        <w:tc>
          <w:tcPr>
            <w:tcW w:w="817" w:type="dxa"/>
            <w:tcBorders>
              <w:top w:val="nil"/>
              <w:left w:val="nil"/>
              <w:bottom w:val="single" w:sz="4" w:space="0" w:color="auto"/>
              <w:right w:val="single" w:sz="4" w:space="0" w:color="auto"/>
            </w:tcBorders>
            <w:shd w:val="clear" w:color="auto" w:fill="auto"/>
            <w:noWrap/>
            <w:vAlign w:val="center"/>
            <w:hideMark/>
          </w:tcPr>
          <w:p w14:paraId="4FBC76E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3.82</w:t>
            </w:r>
          </w:p>
        </w:tc>
        <w:tc>
          <w:tcPr>
            <w:tcW w:w="966" w:type="dxa"/>
            <w:tcBorders>
              <w:top w:val="nil"/>
              <w:left w:val="nil"/>
              <w:bottom w:val="single" w:sz="4" w:space="0" w:color="auto"/>
              <w:right w:val="single" w:sz="4" w:space="0" w:color="auto"/>
            </w:tcBorders>
            <w:shd w:val="clear" w:color="000000" w:fill="FFFFFF"/>
            <w:noWrap/>
            <w:vAlign w:val="center"/>
            <w:hideMark/>
          </w:tcPr>
          <w:p w14:paraId="0C2992F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0.614973</w:t>
            </w:r>
          </w:p>
        </w:tc>
        <w:tc>
          <w:tcPr>
            <w:tcW w:w="966" w:type="dxa"/>
            <w:tcBorders>
              <w:top w:val="nil"/>
              <w:left w:val="nil"/>
              <w:bottom w:val="single" w:sz="4" w:space="0" w:color="auto"/>
              <w:right w:val="single" w:sz="4" w:space="0" w:color="auto"/>
            </w:tcBorders>
            <w:shd w:val="clear" w:color="000000" w:fill="FFFFFF"/>
            <w:noWrap/>
            <w:vAlign w:val="center"/>
            <w:hideMark/>
          </w:tcPr>
          <w:p w14:paraId="31F7156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482.1656</w:t>
            </w:r>
          </w:p>
        </w:tc>
      </w:tr>
      <w:tr w:rsidR="00117F69" w:rsidRPr="0035519F" w14:paraId="4A8B252C"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DD7E93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w:t>
            </w:r>
          </w:p>
        </w:tc>
        <w:tc>
          <w:tcPr>
            <w:tcW w:w="960" w:type="dxa"/>
            <w:tcBorders>
              <w:top w:val="nil"/>
              <w:left w:val="nil"/>
              <w:bottom w:val="single" w:sz="4" w:space="0" w:color="auto"/>
              <w:right w:val="single" w:sz="4" w:space="0" w:color="auto"/>
            </w:tcBorders>
            <w:shd w:val="clear" w:color="000000" w:fill="FFFFFF"/>
            <w:noWrap/>
            <w:vAlign w:val="center"/>
            <w:hideMark/>
          </w:tcPr>
          <w:p w14:paraId="0F1A08B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74CC4CE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33</w:t>
            </w:r>
          </w:p>
        </w:tc>
        <w:tc>
          <w:tcPr>
            <w:tcW w:w="1022" w:type="dxa"/>
            <w:tcBorders>
              <w:top w:val="nil"/>
              <w:left w:val="nil"/>
              <w:bottom w:val="single" w:sz="4" w:space="0" w:color="auto"/>
              <w:right w:val="single" w:sz="4" w:space="0" w:color="auto"/>
            </w:tcBorders>
            <w:shd w:val="clear" w:color="000000" w:fill="FFFFFF"/>
            <w:noWrap/>
            <w:vAlign w:val="center"/>
            <w:hideMark/>
          </w:tcPr>
          <w:p w14:paraId="5CB0567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85</w:t>
            </w:r>
          </w:p>
        </w:tc>
        <w:tc>
          <w:tcPr>
            <w:tcW w:w="950" w:type="dxa"/>
            <w:tcBorders>
              <w:top w:val="nil"/>
              <w:left w:val="nil"/>
              <w:bottom w:val="single" w:sz="4" w:space="0" w:color="auto"/>
              <w:right w:val="single" w:sz="4" w:space="0" w:color="auto"/>
            </w:tcBorders>
            <w:shd w:val="clear" w:color="000000" w:fill="FFFFFF"/>
            <w:noWrap/>
            <w:vAlign w:val="center"/>
            <w:hideMark/>
          </w:tcPr>
          <w:p w14:paraId="73F23E4A"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2F4C910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7645BA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60</w:t>
            </w:r>
          </w:p>
        </w:tc>
        <w:tc>
          <w:tcPr>
            <w:tcW w:w="817" w:type="dxa"/>
            <w:tcBorders>
              <w:top w:val="nil"/>
              <w:left w:val="nil"/>
              <w:bottom w:val="single" w:sz="4" w:space="0" w:color="auto"/>
              <w:right w:val="single" w:sz="4" w:space="0" w:color="auto"/>
            </w:tcBorders>
            <w:shd w:val="clear" w:color="auto" w:fill="auto"/>
            <w:noWrap/>
            <w:vAlign w:val="center"/>
            <w:hideMark/>
          </w:tcPr>
          <w:p w14:paraId="501C487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17.72</w:t>
            </w:r>
          </w:p>
        </w:tc>
        <w:tc>
          <w:tcPr>
            <w:tcW w:w="966" w:type="dxa"/>
            <w:tcBorders>
              <w:top w:val="nil"/>
              <w:left w:val="nil"/>
              <w:bottom w:val="single" w:sz="4" w:space="0" w:color="auto"/>
              <w:right w:val="single" w:sz="4" w:space="0" w:color="auto"/>
            </w:tcBorders>
            <w:shd w:val="clear" w:color="000000" w:fill="FFFFFF"/>
            <w:noWrap/>
            <w:vAlign w:val="center"/>
            <w:hideMark/>
          </w:tcPr>
          <w:p w14:paraId="6815E02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2.625185</w:t>
            </w:r>
          </w:p>
        </w:tc>
        <w:tc>
          <w:tcPr>
            <w:tcW w:w="966" w:type="dxa"/>
            <w:tcBorders>
              <w:top w:val="nil"/>
              <w:left w:val="nil"/>
              <w:bottom w:val="single" w:sz="4" w:space="0" w:color="auto"/>
              <w:right w:val="single" w:sz="4" w:space="0" w:color="auto"/>
            </w:tcBorders>
            <w:shd w:val="clear" w:color="000000" w:fill="FFFFFF"/>
            <w:noWrap/>
            <w:vAlign w:val="center"/>
            <w:hideMark/>
          </w:tcPr>
          <w:p w14:paraId="2A4595A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296.4437</w:t>
            </w:r>
          </w:p>
        </w:tc>
      </w:tr>
      <w:tr w:rsidR="00117F69" w:rsidRPr="0035519F" w14:paraId="6CAE006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71DEC5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60" w:type="dxa"/>
            <w:tcBorders>
              <w:top w:val="nil"/>
              <w:left w:val="nil"/>
              <w:bottom w:val="single" w:sz="4" w:space="0" w:color="auto"/>
              <w:right w:val="single" w:sz="4" w:space="0" w:color="auto"/>
            </w:tcBorders>
            <w:shd w:val="clear" w:color="000000" w:fill="FFFFFF"/>
            <w:noWrap/>
            <w:vAlign w:val="center"/>
            <w:hideMark/>
          </w:tcPr>
          <w:p w14:paraId="320099E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P</w:t>
            </w:r>
          </w:p>
        </w:tc>
        <w:tc>
          <w:tcPr>
            <w:tcW w:w="850" w:type="dxa"/>
            <w:tcBorders>
              <w:top w:val="nil"/>
              <w:left w:val="nil"/>
              <w:bottom w:val="single" w:sz="4" w:space="0" w:color="auto"/>
              <w:right w:val="single" w:sz="4" w:space="0" w:color="auto"/>
            </w:tcBorders>
            <w:shd w:val="clear" w:color="000000" w:fill="FFFFFF"/>
            <w:noWrap/>
            <w:vAlign w:val="center"/>
            <w:hideMark/>
          </w:tcPr>
          <w:p w14:paraId="5C1CF3A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5DBC4B7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64</w:t>
            </w:r>
          </w:p>
        </w:tc>
        <w:tc>
          <w:tcPr>
            <w:tcW w:w="950" w:type="dxa"/>
            <w:tcBorders>
              <w:top w:val="nil"/>
              <w:left w:val="nil"/>
              <w:bottom w:val="single" w:sz="4" w:space="0" w:color="auto"/>
              <w:right w:val="single" w:sz="4" w:space="0" w:color="auto"/>
            </w:tcBorders>
            <w:shd w:val="clear" w:color="000000" w:fill="FFFFFF"/>
            <w:noWrap/>
            <w:vAlign w:val="center"/>
            <w:hideMark/>
          </w:tcPr>
          <w:p w14:paraId="1BA839D3"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1FBF177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0F3F27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68.9</w:t>
            </w:r>
          </w:p>
        </w:tc>
        <w:tc>
          <w:tcPr>
            <w:tcW w:w="817" w:type="dxa"/>
            <w:tcBorders>
              <w:top w:val="nil"/>
              <w:left w:val="nil"/>
              <w:bottom w:val="single" w:sz="4" w:space="0" w:color="auto"/>
              <w:right w:val="single" w:sz="4" w:space="0" w:color="auto"/>
            </w:tcBorders>
            <w:shd w:val="clear" w:color="auto" w:fill="auto"/>
            <w:noWrap/>
            <w:vAlign w:val="center"/>
            <w:hideMark/>
          </w:tcPr>
          <w:p w14:paraId="29A9AEF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13.12</w:t>
            </w:r>
          </w:p>
        </w:tc>
        <w:tc>
          <w:tcPr>
            <w:tcW w:w="966" w:type="dxa"/>
            <w:tcBorders>
              <w:top w:val="nil"/>
              <w:left w:val="nil"/>
              <w:bottom w:val="single" w:sz="4" w:space="0" w:color="auto"/>
              <w:right w:val="single" w:sz="4" w:space="0" w:color="auto"/>
            </w:tcBorders>
            <w:shd w:val="clear" w:color="000000" w:fill="FFFFFF"/>
            <w:noWrap/>
            <w:vAlign w:val="center"/>
            <w:hideMark/>
          </w:tcPr>
          <w:p w14:paraId="6DA973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2.23202</w:t>
            </w:r>
          </w:p>
        </w:tc>
        <w:tc>
          <w:tcPr>
            <w:tcW w:w="966" w:type="dxa"/>
            <w:tcBorders>
              <w:top w:val="nil"/>
              <w:left w:val="nil"/>
              <w:bottom w:val="single" w:sz="4" w:space="0" w:color="auto"/>
              <w:right w:val="single" w:sz="4" w:space="0" w:color="auto"/>
            </w:tcBorders>
            <w:shd w:val="clear" w:color="000000" w:fill="FFFFFF"/>
            <w:noWrap/>
            <w:vAlign w:val="center"/>
            <w:hideMark/>
          </w:tcPr>
          <w:p w14:paraId="18BED9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801.6287</w:t>
            </w:r>
          </w:p>
        </w:tc>
      </w:tr>
      <w:tr w:rsidR="00117F69" w:rsidRPr="0035519F" w14:paraId="504B3C8E"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A52FA2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82</w:t>
            </w:r>
          </w:p>
        </w:tc>
        <w:tc>
          <w:tcPr>
            <w:tcW w:w="960" w:type="dxa"/>
            <w:tcBorders>
              <w:top w:val="nil"/>
              <w:left w:val="nil"/>
              <w:bottom w:val="single" w:sz="4" w:space="0" w:color="auto"/>
              <w:right w:val="single" w:sz="4" w:space="0" w:color="auto"/>
            </w:tcBorders>
            <w:shd w:val="clear" w:color="000000" w:fill="FFFFFF"/>
            <w:noWrap/>
            <w:vAlign w:val="center"/>
            <w:hideMark/>
          </w:tcPr>
          <w:p w14:paraId="0C53E95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0A2A638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1739E8A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80</w:t>
            </w:r>
          </w:p>
        </w:tc>
        <w:tc>
          <w:tcPr>
            <w:tcW w:w="950" w:type="dxa"/>
            <w:tcBorders>
              <w:top w:val="nil"/>
              <w:left w:val="nil"/>
              <w:bottom w:val="single" w:sz="4" w:space="0" w:color="auto"/>
              <w:right w:val="single" w:sz="4" w:space="0" w:color="auto"/>
            </w:tcBorders>
            <w:shd w:val="clear" w:color="000000" w:fill="FFFFFF"/>
            <w:noWrap/>
            <w:vAlign w:val="center"/>
            <w:hideMark/>
          </w:tcPr>
          <w:p w14:paraId="239DF1C8"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7D514D3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330BFC5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100.7</w:t>
            </w:r>
          </w:p>
        </w:tc>
        <w:tc>
          <w:tcPr>
            <w:tcW w:w="817" w:type="dxa"/>
            <w:tcBorders>
              <w:top w:val="nil"/>
              <w:left w:val="nil"/>
              <w:bottom w:val="single" w:sz="4" w:space="0" w:color="auto"/>
              <w:right w:val="single" w:sz="4" w:space="0" w:color="auto"/>
            </w:tcBorders>
            <w:shd w:val="clear" w:color="auto" w:fill="auto"/>
            <w:noWrap/>
            <w:vAlign w:val="center"/>
            <w:hideMark/>
          </w:tcPr>
          <w:p w14:paraId="6DDD5D6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9.42</w:t>
            </w:r>
          </w:p>
        </w:tc>
        <w:tc>
          <w:tcPr>
            <w:tcW w:w="966" w:type="dxa"/>
            <w:tcBorders>
              <w:top w:val="nil"/>
              <w:left w:val="nil"/>
              <w:bottom w:val="single" w:sz="4" w:space="0" w:color="auto"/>
              <w:right w:val="single" w:sz="4" w:space="0" w:color="auto"/>
            </w:tcBorders>
            <w:shd w:val="clear" w:color="000000" w:fill="FFFFFF"/>
            <w:noWrap/>
            <w:vAlign w:val="center"/>
            <w:hideMark/>
          </w:tcPr>
          <w:p w14:paraId="60559F58"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2.342207</w:t>
            </w:r>
          </w:p>
        </w:tc>
        <w:tc>
          <w:tcPr>
            <w:tcW w:w="966" w:type="dxa"/>
            <w:tcBorders>
              <w:top w:val="nil"/>
              <w:left w:val="nil"/>
              <w:bottom w:val="single" w:sz="4" w:space="0" w:color="auto"/>
              <w:right w:val="single" w:sz="4" w:space="0" w:color="auto"/>
            </w:tcBorders>
            <w:shd w:val="clear" w:color="000000" w:fill="FFFFFF"/>
            <w:noWrap/>
            <w:vAlign w:val="center"/>
            <w:hideMark/>
          </w:tcPr>
          <w:p w14:paraId="4FCEEC4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258.8485</w:t>
            </w:r>
          </w:p>
        </w:tc>
      </w:tr>
      <w:tr w:rsidR="00117F69" w:rsidRPr="0035519F" w14:paraId="43B88157"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15EE87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w:t>
            </w:r>
          </w:p>
        </w:tc>
        <w:tc>
          <w:tcPr>
            <w:tcW w:w="960" w:type="dxa"/>
            <w:tcBorders>
              <w:top w:val="nil"/>
              <w:left w:val="nil"/>
              <w:bottom w:val="single" w:sz="4" w:space="0" w:color="auto"/>
              <w:right w:val="single" w:sz="4" w:space="0" w:color="auto"/>
            </w:tcBorders>
            <w:shd w:val="clear" w:color="000000" w:fill="FFFFFF"/>
            <w:noWrap/>
            <w:vAlign w:val="center"/>
            <w:hideMark/>
          </w:tcPr>
          <w:p w14:paraId="610988C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45D223A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29AF595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55.7</w:t>
            </w:r>
          </w:p>
        </w:tc>
        <w:tc>
          <w:tcPr>
            <w:tcW w:w="950" w:type="dxa"/>
            <w:tcBorders>
              <w:top w:val="nil"/>
              <w:left w:val="nil"/>
              <w:bottom w:val="single" w:sz="4" w:space="0" w:color="auto"/>
              <w:right w:val="single" w:sz="4" w:space="0" w:color="auto"/>
            </w:tcBorders>
            <w:shd w:val="clear" w:color="000000" w:fill="FFFFFF"/>
            <w:noWrap/>
            <w:vAlign w:val="center"/>
            <w:hideMark/>
          </w:tcPr>
          <w:p w14:paraId="47037955"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B528F1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59483DB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91.5</w:t>
            </w:r>
          </w:p>
        </w:tc>
        <w:tc>
          <w:tcPr>
            <w:tcW w:w="817" w:type="dxa"/>
            <w:tcBorders>
              <w:top w:val="nil"/>
              <w:left w:val="nil"/>
              <w:bottom w:val="single" w:sz="4" w:space="0" w:color="auto"/>
              <w:right w:val="single" w:sz="4" w:space="0" w:color="auto"/>
            </w:tcBorders>
            <w:shd w:val="clear" w:color="auto" w:fill="auto"/>
            <w:noWrap/>
            <w:vAlign w:val="center"/>
            <w:hideMark/>
          </w:tcPr>
          <w:p w14:paraId="4373B57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7.7</w:t>
            </w:r>
          </w:p>
        </w:tc>
        <w:tc>
          <w:tcPr>
            <w:tcW w:w="966" w:type="dxa"/>
            <w:tcBorders>
              <w:top w:val="nil"/>
              <w:left w:val="nil"/>
              <w:bottom w:val="single" w:sz="4" w:space="0" w:color="auto"/>
              <w:right w:val="single" w:sz="4" w:space="0" w:color="auto"/>
            </w:tcBorders>
            <w:shd w:val="clear" w:color="000000" w:fill="FFFFFF"/>
            <w:noWrap/>
            <w:vAlign w:val="center"/>
            <w:hideMark/>
          </w:tcPr>
          <w:p w14:paraId="4906AF3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1.73963</w:t>
            </w:r>
          </w:p>
        </w:tc>
        <w:tc>
          <w:tcPr>
            <w:tcW w:w="966" w:type="dxa"/>
            <w:tcBorders>
              <w:top w:val="nil"/>
              <w:left w:val="nil"/>
              <w:bottom w:val="single" w:sz="4" w:space="0" w:color="auto"/>
              <w:right w:val="single" w:sz="4" w:space="0" w:color="auto"/>
            </w:tcBorders>
            <w:shd w:val="clear" w:color="000000" w:fill="FFFFFF"/>
            <w:noWrap/>
            <w:vAlign w:val="center"/>
            <w:hideMark/>
          </w:tcPr>
          <w:p w14:paraId="207BAD6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62.75458</w:t>
            </w:r>
          </w:p>
        </w:tc>
      </w:tr>
      <w:tr w:rsidR="00117F69" w:rsidRPr="0035519F" w14:paraId="30C39181"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846CB8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84</w:t>
            </w:r>
          </w:p>
        </w:tc>
        <w:tc>
          <w:tcPr>
            <w:tcW w:w="960" w:type="dxa"/>
            <w:tcBorders>
              <w:top w:val="nil"/>
              <w:left w:val="nil"/>
              <w:bottom w:val="single" w:sz="4" w:space="0" w:color="auto"/>
              <w:right w:val="single" w:sz="4" w:space="0" w:color="auto"/>
            </w:tcBorders>
            <w:shd w:val="clear" w:color="000000" w:fill="FFFFFF"/>
            <w:noWrap/>
            <w:vAlign w:val="center"/>
            <w:hideMark/>
          </w:tcPr>
          <w:p w14:paraId="6EFB13F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3139083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w:t>
            </w:r>
          </w:p>
        </w:tc>
        <w:tc>
          <w:tcPr>
            <w:tcW w:w="1022" w:type="dxa"/>
            <w:tcBorders>
              <w:top w:val="nil"/>
              <w:left w:val="nil"/>
              <w:bottom w:val="single" w:sz="4" w:space="0" w:color="auto"/>
              <w:right w:val="single" w:sz="4" w:space="0" w:color="auto"/>
            </w:tcBorders>
            <w:shd w:val="clear" w:color="000000" w:fill="FFFFFF"/>
            <w:noWrap/>
            <w:vAlign w:val="center"/>
            <w:hideMark/>
          </w:tcPr>
          <w:p w14:paraId="73FC6BE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85</w:t>
            </w:r>
          </w:p>
        </w:tc>
        <w:tc>
          <w:tcPr>
            <w:tcW w:w="950" w:type="dxa"/>
            <w:tcBorders>
              <w:top w:val="nil"/>
              <w:left w:val="nil"/>
              <w:bottom w:val="single" w:sz="4" w:space="0" w:color="auto"/>
              <w:right w:val="single" w:sz="4" w:space="0" w:color="auto"/>
            </w:tcBorders>
            <w:shd w:val="clear" w:color="000000" w:fill="FFFFFF"/>
            <w:noWrap/>
            <w:vAlign w:val="center"/>
            <w:hideMark/>
          </w:tcPr>
          <w:p w14:paraId="35C4AC40"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510EE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059DDA7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85.8</w:t>
            </w:r>
          </w:p>
        </w:tc>
        <w:tc>
          <w:tcPr>
            <w:tcW w:w="817" w:type="dxa"/>
            <w:tcBorders>
              <w:top w:val="nil"/>
              <w:left w:val="nil"/>
              <w:bottom w:val="single" w:sz="4" w:space="0" w:color="auto"/>
              <w:right w:val="single" w:sz="4" w:space="0" w:color="auto"/>
            </w:tcBorders>
            <w:shd w:val="clear" w:color="auto" w:fill="auto"/>
            <w:noWrap/>
            <w:vAlign w:val="center"/>
            <w:hideMark/>
          </w:tcPr>
          <w:p w14:paraId="13D1F4C0"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5.5</w:t>
            </w:r>
          </w:p>
        </w:tc>
        <w:tc>
          <w:tcPr>
            <w:tcW w:w="966" w:type="dxa"/>
            <w:tcBorders>
              <w:top w:val="nil"/>
              <w:left w:val="nil"/>
              <w:bottom w:val="single" w:sz="4" w:space="0" w:color="auto"/>
              <w:right w:val="single" w:sz="4" w:space="0" w:color="auto"/>
            </w:tcBorders>
            <w:shd w:val="clear" w:color="000000" w:fill="FFFFFF"/>
            <w:noWrap/>
            <w:vAlign w:val="center"/>
            <w:hideMark/>
          </w:tcPr>
          <w:p w14:paraId="78A7191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1.165185</w:t>
            </w:r>
          </w:p>
        </w:tc>
        <w:tc>
          <w:tcPr>
            <w:tcW w:w="966" w:type="dxa"/>
            <w:tcBorders>
              <w:top w:val="nil"/>
              <w:left w:val="nil"/>
              <w:bottom w:val="single" w:sz="4" w:space="0" w:color="auto"/>
              <w:right w:val="single" w:sz="4" w:space="0" w:color="auto"/>
            </w:tcBorders>
            <w:shd w:val="clear" w:color="000000" w:fill="FFFFFF"/>
            <w:noWrap/>
            <w:vAlign w:val="center"/>
            <w:hideMark/>
          </w:tcPr>
          <w:p w14:paraId="3D7AF2D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652.2631</w:t>
            </w:r>
          </w:p>
        </w:tc>
      </w:tr>
      <w:tr w:rsidR="00117F69" w:rsidRPr="0035519F" w14:paraId="6CB3625B"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B1C27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85</w:t>
            </w:r>
          </w:p>
        </w:tc>
        <w:tc>
          <w:tcPr>
            <w:tcW w:w="960" w:type="dxa"/>
            <w:tcBorders>
              <w:top w:val="nil"/>
              <w:left w:val="nil"/>
              <w:bottom w:val="single" w:sz="4" w:space="0" w:color="auto"/>
              <w:right w:val="single" w:sz="4" w:space="0" w:color="auto"/>
            </w:tcBorders>
            <w:shd w:val="clear" w:color="000000" w:fill="FFFFFF"/>
            <w:noWrap/>
            <w:vAlign w:val="center"/>
            <w:hideMark/>
          </w:tcPr>
          <w:p w14:paraId="137DA5A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6488C0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383191C9"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93</w:t>
            </w:r>
          </w:p>
        </w:tc>
        <w:tc>
          <w:tcPr>
            <w:tcW w:w="950" w:type="dxa"/>
            <w:tcBorders>
              <w:top w:val="nil"/>
              <w:left w:val="nil"/>
              <w:bottom w:val="single" w:sz="4" w:space="0" w:color="auto"/>
              <w:right w:val="single" w:sz="4" w:space="0" w:color="auto"/>
            </w:tcBorders>
            <w:shd w:val="clear" w:color="000000" w:fill="FFFFFF"/>
            <w:noWrap/>
            <w:vAlign w:val="center"/>
            <w:hideMark/>
          </w:tcPr>
          <w:p w14:paraId="60B2954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50" w:type="dxa"/>
            <w:tcBorders>
              <w:top w:val="nil"/>
              <w:left w:val="nil"/>
              <w:bottom w:val="single" w:sz="4" w:space="0" w:color="auto"/>
              <w:right w:val="single" w:sz="4" w:space="0" w:color="auto"/>
            </w:tcBorders>
            <w:shd w:val="clear" w:color="000000" w:fill="FFFFFF"/>
            <w:noWrap/>
            <w:vAlign w:val="center"/>
            <w:hideMark/>
          </w:tcPr>
          <w:p w14:paraId="3E16772D" w14:textId="77777777" w:rsidR="00B543B3" w:rsidRPr="0035519F" w:rsidRDefault="00B543B3" w:rsidP="00304D34">
            <w:pPr>
              <w:spacing w:line="240" w:lineRule="auto"/>
              <w:jc w:val="center"/>
              <w:rPr>
                <w:rFonts w:ascii="Arial" w:eastAsia="Times New Roman" w:hAnsi="Arial" w:cs="Arial"/>
                <w:sz w:val="18"/>
                <w:szCs w:val="18"/>
              </w:rPr>
            </w:pPr>
          </w:p>
        </w:tc>
        <w:tc>
          <w:tcPr>
            <w:tcW w:w="916" w:type="dxa"/>
            <w:tcBorders>
              <w:top w:val="nil"/>
              <w:left w:val="nil"/>
              <w:bottom w:val="single" w:sz="4" w:space="0" w:color="auto"/>
              <w:right w:val="single" w:sz="4" w:space="0" w:color="auto"/>
            </w:tcBorders>
            <w:shd w:val="clear" w:color="000000" w:fill="FFFFFF"/>
            <w:noWrap/>
            <w:vAlign w:val="center"/>
            <w:hideMark/>
          </w:tcPr>
          <w:p w14:paraId="7EE6C8C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101.7</w:t>
            </w:r>
          </w:p>
        </w:tc>
        <w:tc>
          <w:tcPr>
            <w:tcW w:w="817" w:type="dxa"/>
            <w:tcBorders>
              <w:top w:val="nil"/>
              <w:left w:val="nil"/>
              <w:bottom w:val="single" w:sz="4" w:space="0" w:color="auto"/>
              <w:right w:val="single" w:sz="4" w:space="0" w:color="auto"/>
            </w:tcBorders>
            <w:shd w:val="clear" w:color="auto" w:fill="auto"/>
            <w:noWrap/>
            <w:vAlign w:val="center"/>
            <w:hideMark/>
          </w:tcPr>
          <w:p w14:paraId="76B11C1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17.26</w:t>
            </w:r>
          </w:p>
        </w:tc>
        <w:tc>
          <w:tcPr>
            <w:tcW w:w="966" w:type="dxa"/>
            <w:tcBorders>
              <w:top w:val="nil"/>
              <w:left w:val="nil"/>
              <w:bottom w:val="single" w:sz="4" w:space="0" w:color="auto"/>
              <w:right w:val="single" w:sz="4" w:space="0" w:color="auto"/>
            </w:tcBorders>
            <w:shd w:val="clear" w:color="000000" w:fill="FFFFFF"/>
            <w:noWrap/>
            <w:vAlign w:val="center"/>
            <w:hideMark/>
          </w:tcPr>
          <w:p w14:paraId="038F4ED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4.334178</w:t>
            </w:r>
          </w:p>
        </w:tc>
        <w:tc>
          <w:tcPr>
            <w:tcW w:w="966" w:type="dxa"/>
            <w:tcBorders>
              <w:top w:val="nil"/>
              <w:left w:val="nil"/>
              <w:bottom w:val="single" w:sz="4" w:space="0" w:color="auto"/>
              <w:right w:val="single" w:sz="4" w:space="0" w:color="auto"/>
            </w:tcBorders>
            <w:shd w:val="clear" w:color="000000" w:fill="FFFFFF"/>
            <w:noWrap/>
            <w:vAlign w:val="center"/>
            <w:hideMark/>
          </w:tcPr>
          <w:p w14:paraId="2BD02F4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74.71128</w:t>
            </w:r>
          </w:p>
        </w:tc>
      </w:tr>
      <w:tr w:rsidR="00117F69" w:rsidRPr="0035519F" w14:paraId="68034446"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8D11E8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86</w:t>
            </w:r>
          </w:p>
        </w:tc>
        <w:tc>
          <w:tcPr>
            <w:tcW w:w="960" w:type="dxa"/>
            <w:tcBorders>
              <w:top w:val="nil"/>
              <w:left w:val="nil"/>
              <w:bottom w:val="single" w:sz="4" w:space="0" w:color="auto"/>
              <w:right w:val="single" w:sz="4" w:space="0" w:color="auto"/>
            </w:tcBorders>
            <w:shd w:val="clear" w:color="000000" w:fill="FFFFFF"/>
            <w:noWrap/>
            <w:vAlign w:val="center"/>
            <w:hideMark/>
          </w:tcPr>
          <w:p w14:paraId="498D7A1C"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5392662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49</w:t>
            </w:r>
          </w:p>
        </w:tc>
        <w:tc>
          <w:tcPr>
            <w:tcW w:w="1022" w:type="dxa"/>
            <w:tcBorders>
              <w:top w:val="nil"/>
              <w:left w:val="nil"/>
              <w:bottom w:val="single" w:sz="4" w:space="0" w:color="auto"/>
              <w:right w:val="single" w:sz="4" w:space="0" w:color="auto"/>
            </w:tcBorders>
            <w:shd w:val="clear" w:color="000000" w:fill="FFFFFF"/>
            <w:noWrap/>
            <w:vAlign w:val="center"/>
            <w:hideMark/>
          </w:tcPr>
          <w:p w14:paraId="3266BCA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81</w:t>
            </w:r>
          </w:p>
        </w:tc>
        <w:tc>
          <w:tcPr>
            <w:tcW w:w="950" w:type="dxa"/>
            <w:tcBorders>
              <w:top w:val="nil"/>
              <w:left w:val="nil"/>
              <w:bottom w:val="single" w:sz="4" w:space="0" w:color="auto"/>
              <w:right w:val="single" w:sz="4" w:space="0" w:color="auto"/>
            </w:tcBorders>
            <w:shd w:val="clear" w:color="000000" w:fill="FFFFFF"/>
            <w:noWrap/>
            <w:vAlign w:val="center"/>
            <w:hideMark/>
          </w:tcPr>
          <w:p w14:paraId="2A60AA50"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9728FC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1B01F75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103.9</w:t>
            </w:r>
          </w:p>
        </w:tc>
        <w:tc>
          <w:tcPr>
            <w:tcW w:w="817" w:type="dxa"/>
            <w:tcBorders>
              <w:top w:val="nil"/>
              <w:left w:val="nil"/>
              <w:bottom w:val="single" w:sz="4" w:space="0" w:color="auto"/>
              <w:right w:val="single" w:sz="4" w:space="0" w:color="auto"/>
            </w:tcBorders>
            <w:shd w:val="clear" w:color="auto" w:fill="auto"/>
            <w:noWrap/>
            <w:vAlign w:val="center"/>
            <w:hideMark/>
          </w:tcPr>
          <w:p w14:paraId="357BAE96"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15.06</w:t>
            </w:r>
          </w:p>
        </w:tc>
        <w:tc>
          <w:tcPr>
            <w:tcW w:w="966" w:type="dxa"/>
            <w:tcBorders>
              <w:top w:val="nil"/>
              <w:left w:val="nil"/>
              <w:bottom w:val="single" w:sz="4" w:space="0" w:color="auto"/>
              <w:right w:val="single" w:sz="4" w:space="0" w:color="auto"/>
            </w:tcBorders>
            <w:shd w:val="clear" w:color="000000" w:fill="FFFFFF"/>
            <w:noWrap/>
            <w:vAlign w:val="center"/>
            <w:hideMark/>
          </w:tcPr>
          <w:p w14:paraId="64E5775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3.863541</w:t>
            </w:r>
          </w:p>
        </w:tc>
        <w:tc>
          <w:tcPr>
            <w:tcW w:w="966" w:type="dxa"/>
            <w:tcBorders>
              <w:top w:val="nil"/>
              <w:left w:val="nil"/>
              <w:bottom w:val="single" w:sz="4" w:space="0" w:color="auto"/>
              <w:right w:val="single" w:sz="4" w:space="0" w:color="auto"/>
            </w:tcBorders>
            <w:shd w:val="clear" w:color="000000" w:fill="FFFFFF"/>
            <w:noWrap/>
            <w:vAlign w:val="center"/>
            <w:hideMark/>
          </w:tcPr>
          <w:p w14:paraId="5221714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90.01567</w:t>
            </w:r>
          </w:p>
        </w:tc>
      </w:tr>
      <w:tr w:rsidR="00117F69" w:rsidRPr="0035519F" w14:paraId="2AF400C2"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5F13F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87</w:t>
            </w:r>
          </w:p>
        </w:tc>
        <w:tc>
          <w:tcPr>
            <w:tcW w:w="960" w:type="dxa"/>
            <w:tcBorders>
              <w:top w:val="nil"/>
              <w:left w:val="nil"/>
              <w:bottom w:val="single" w:sz="4" w:space="0" w:color="auto"/>
              <w:right w:val="single" w:sz="4" w:space="0" w:color="auto"/>
            </w:tcBorders>
            <w:shd w:val="clear" w:color="000000" w:fill="FFFFFF"/>
            <w:noWrap/>
            <w:vAlign w:val="center"/>
            <w:hideMark/>
          </w:tcPr>
          <w:p w14:paraId="3A8D98B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6529525D"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30</w:t>
            </w:r>
          </w:p>
        </w:tc>
        <w:tc>
          <w:tcPr>
            <w:tcW w:w="1022" w:type="dxa"/>
            <w:tcBorders>
              <w:top w:val="nil"/>
              <w:left w:val="nil"/>
              <w:bottom w:val="single" w:sz="4" w:space="0" w:color="auto"/>
              <w:right w:val="single" w:sz="4" w:space="0" w:color="auto"/>
            </w:tcBorders>
            <w:shd w:val="clear" w:color="000000" w:fill="FFFFFF"/>
            <w:noWrap/>
            <w:vAlign w:val="center"/>
            <w:hideMark/>
          </w:tcPr>
          <w:p w14:paraId="7D49B37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83</w:t>
            </w:r>
          </w:p>
        </w:tc>
        <w:tc>
          <w:tcPr>
            <w:tcW w:w="950" w:type="dxa"/>
            <w:tcBorders>
              <w:top w:val="nil"/>
              <w:left w:val="nil"/>
              <w:bottom w:val="single" w:sz="4" w:space="0" w:color="auto"/>
              <w:right w:val="single" w:sz="4" w:space="0" w:color="auto"/>
            </w:tcBorders>
            <w:shd w:val="clear" w:color="000000" w:fill="FFFFFF"/>
            <w:noWrap/>
            <w:vAlign w:val="center"/>
            <w:hideMark/>
          </w:tcPr>
          <w:p w14:paraId="0F76DBD6"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5DDC61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6A8623C5"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99.5</w:t>
            </w:r>
          </w:p>
        </w:tc>
        <w:tc>
          <w:tcPr>
            <w:tcW w:w="817" w:type="dxa"/>
            <w:tcBorders>
              <w:top w:val="nil"/>
              <w:left w:val="nil"/>
              <w:bottom w:val="single" w:sz="4" w:space="0" w:color="auto"/>
              <w:right w:val="single" w:sz="4" w:space="0" w:color="auto"/>
            </w:tcBorders>
            <w:shd w:val="clear" w:color="auto" w:fill="auto"/>
            <w:noWrap/>
            <w:vAlign w:val="center"/>
            <w:hideMark/>
          </w:tcPr>
          <w:p w14:paraId="37172A0A"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10.8</w:t>
            </w:r>
          </w:p>
        </w:tc>
        <w:tc>
          <w:tcPr>
            <w:tcW w:w="966" w:type="dxa"/>
            <w:tcBorders>
              <w:top w:val="nil"/>
              <w:left w:val="nil"/>
              <w:bottom w:val="single" w:sz="4" w:space="0" w:color="auto"/>
              <w:right w:val="single" w:sz="4" w:space="0" w:color="auto"/>
            </w:tcBorders>
            <w:shd w:val="clear" w:color="000000" w:fill="FFFFFF"/>
            <w:noWrap/>
            <w:vAlign w:val="center"/>
            <w:hideMark/>
          </w:tcPr>
          <w:p w14:paraId="0EB4839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2.653333</w:t>
            </w:r>
          </w:p>
        </w:tc>
        <w:tc>
          <w:tcPr>
            <w:tcW w:w="966" w:type="dxa"/>
            <w:tcBorders>
              <w:top w:val="nil"/>
              <w:left w:val="nil"/>
              <w:bottom w:val="single" w:sz="4" w:space="0" w:color="auto"/>
              <w:right w:val="single" w:sz="4" w:space="0" w:color="auto"/>
            </w:tcBorders>
            <w:shd w:val="clear" w:color="000000" w:fill="FFFFFF"/>
            <w:noWrap/>
            <w:vAlign w:val="center"/>
            <w:hideMark/>
          </w:tcPr>
          <w:p w14:paraId="3E284BE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61.72323</w:t>
            </w:r>
          </w:p>
        </w:tc>
      </w:tr>
      <w:tr w:rsidR="00117F69" w:rsidRPr="0035519F" w14:paraId="4F95B3BF" w14:textId="77777777" w:rsidTr="00B543B3">
        <w:trPr>
          <w:trHeight w:val="14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DCDDC4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lastRenderedPageBreak/>
              <w:t>88</w:t>
            </w:r>
          </w:p>
        </w:tc>
        <w:tc>
          <w:tcPr>
            <w:tcW w:w="960" w:type="dxa"/>
            <w:tcBorders>
              <w:top w:val="nil"/>
              <w:left w:val="nil"/>
              <w:bottom w:val="single" w:sz="4" w:space="0" w:color="auto"/>
              <w:right w:val="single" w:sz="4" w:space="0" w:color="auto"/>
            </w:tcBorders>
            <w:shd w:val="clear" w:color="000000" w:fill="FFFFFF"/>
            <w:noWrap/>
            <w:vAlign w:val="center"/>
            <w:hideMark/>
          </w:tcPr>
          <w:p w14:paraId="0D888CC7"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L</w:t>
            </w:r>
          </w:p>
        </w:tc>
        <w:tc>
          <w:tcPr>
            <w:tcW w:w="850" w:type="dxa"/>
            <w:tcBorders>
              <w:top w:val="nil"/>
              <w:left w:val="nil"/>
              <w:bottom w:val="single" w:sz="4" w:space="0" w:color="auto"/>
              <w:right w:val="single" w:sz="4" w:space="0" w:color="auto"/>
            </w:tcBorders>
            <w:shd w:val="clear" w:color="000000" w:fill="FFFFFF"/>
            <w:noWrap/>
            <w:vAlign w:val="center"/>
            <w:hideMark/>
          </w:tcPr>
          <w:p w14:paraId="4A8D60DF"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29</w:t>
            </w:r>
          </w:p>
        </w:tc>
        <w:tc>
          <w:tcPr>
            <w:tcW w:w="1022" w:type="dxa"/>
            <w:tcBorders>
              <w:top w:val="nil"/>
              <w:left w:val="nil"/>
              <w:bottom w:val="single" w:sz="4" w:space="0" w:color="auto"/>
              <w:right w:val="single" w:sz="4" w:space="0" w:color="auto"/>
            </w:tcBorders>
            <w:shd w:val="clear" w:color="000000" w:fill="FFFFFF"/>
            <w:noWrap/>
            <w:vAlign w:val="center"/>
            <w:hideMark/>
          </w:tcPr>
          <w:p w14:paraId="2CCA15C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77</w:t>
            </w:r>
          </w:p>
        </w:tc>
        <w:tc>
          <w:tcPr>
            <w:tcW w:w="950" w:type="dxa"/>
            <w:tcBorders>
              <w:top w:val="nil"/>
              <w:left w:val="nil"/>
              <w:bottom w:val="single" w:sz="4" w:space="0" w:color="auto"/>
              <w:right w:val="single" w:sz="4" w:space="0" w:color="auto"/>
            </w:tcBorders>
            <w:shd w:val="clear" w:color="000000" w:fill="FFFFFF"/>
            <w:noWrap/>
            <w:vAlign w:val="center"/>
            <w:hideMark/>
          </w:tcPr>
          <w:p w14:paraId="5FB2CADC" w14:textId="77777777" w:rsidR="00B543B3" w:rsidRPr="0035519F" w:rsidRDefault="00B543B3" w:rsidP="00304D34">
            <w:pPr>
              <w:spacing w:line="240" w:lineRule="auto"/>
              <w:jc w:val="center"/>
              <w:rPr>
                <w:rFonts w:ascii="Arial" w:eastAsia="Times New Roman" w:hAnsi="Arial" w:cs="Arial"/>
                <w:sz w:val="18"/>
                <w:szCs w:val="18"/>
              </w:rPr>
            </w:pPr>
          </w:p>
        </w:tc>
        <w:tc>
          <w:tcPr>
            <w:tcW w:w="950" w:type="dxa"/>
            <w:tcBorders>
              <w:top w:val="nil"/>
              <w:left w:val="nil"/>
              <w:bottom w:val="single" w:sz="4" w:space="0" w:color="auto"/>
              <w:right w:val="single" w:sz="4" w:space="0" w:color="auto"/>
            </w:tcBorders>
            <w:shd w:val="clear" w:color="000000" w:fill="FFFFFF"/>
            <w:noWrap/>
            <w:vAlign w:val="center"/>
            <w:hideMark/>
          </w:tcPr>
          <w:p w14:paraId="691D4A03"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Segoe UI Symbol" w:eastAsia="Times New Roman" w:hAnsi="Segoe UI Symbol" w:cs="Segoe UI Symbol"/>
                <w:sz w:val="18"/>
                <w:szCs w:val="18"/>
              </w:rPr>
              <w:t>✓</w:t>
            </w:r>
          </w:p>
        </w:tc>
        <w:tc>
          <w:tcPr>
            <w:tcW w:w="916" w:type="dxa"/>
            <w:tcBorders>
              <w:top w:val="nil"/>
              <w:left w:val="nil"/>
              <w:bottom w:val="single" w:sz="4" w:space="0" w:color="auto"/>
              <w:right w:val="single" w:sz="4" w:space="0" w:color="auto"/>
            </w:tcBorders>
            <w:shd w:val="clear" w:color="000000" w:fill="FFFFFF"/>
            <w:noWrap/>
            <w:vAlign w:val="center"/>
            <w:hideMark/>
          </w:tcPr>
          <w:p w14:paraId="23AD4B1B"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92.9</w:t>
            </w:r>
          </w:p>
        </w:tc>
        <w:tc>
          <w:tcPr>
            <w:tcW w:w="817" w:type="dxa"/>
            <w:tcBorders>
              <w:top w:val="nil"/>
              <w:left w:val="nil"/>
              <w:bottom w:val="single" w:sz="4" w:space="0" w:color="auto"/>
              <w:right w:val="single" w:sz="4" w:space="0" w:color="auto"/>
            </w:tcBorders>
            <w:shd w:val="clear" w:color="auto" w:fill="auto"/>
            <w:noWrap/>
            <w:vAlign w:val="center"/>
            <w:hideMark/>
          </w:tcPr>
          <w:p w14:paraId="4A270182"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14.06</w:t>
            </w:r>
          </w:p>
        </w:tc>
        <w:tc>
          <w:tcPr>
            <w:tcW w:w="966" w:type="dxa"/>
            <w:tcBorders>
              <w:top w:val="nil"/>
              <w:left w:val="nil"/>
              <w:bottom w:val="single" w:sz="4" w:space="0" w:color="auto"/>
              <w:right w:val="single" w:sz="4" w:space="0" w:color="auto"/>
            </w:tcBorders>
            <w:shd w:val="clear" w:color="000000" w:fill="FFFFFF"/>
            <w:noWrap/>
            <w:vAlign w:val="center"/>
            <w:hideMark/>
          </w:tcPr>
          <w:p w14:paraId="5571A2A1"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3.225121</w:t>
            </w:r>
          </w:p>
        </w:tc>
        <w:tc>
          <w:tcPr>
            <w:tcW w:w="966" w:type="dxa"/>
            <w:tcBorders>
              <w:top w:val="nil"/>
              <w:left w:val="nil"/>
              <w:bottom w:val="single" w:sz="4" w:space="0" w:color="auto"/>
              <w:right w:val="single" w:sz="4" w:space="0" w:color="auto"/>
            </w:tcBorders>
            <w:shd w:val="clear" w:color="000000" w:fill="FFFFFF"/>
            <w:noWrap/>
            <w:vAlign w:val="center"/>
            <w:hideMark/>
          </w:tcPr>
          <w:p w14:paraId="0378E27E" w14:textId="77777777" w:rsidR="00B543B3" w:rsidRPr="0035519F" w:rsidRDefault="00B543B3" w:rsidP="00304D34">
            <w:pPr>
              <w:spacing w:line="240" w:lineRule="auto"/>
              <w:jc w:val="center"/>
              <w:rPr>
                <w:rFonts w:ascii="Arial" w:eastAsia="Times New Roman" w:hAnsi="Arial" w:cs="Arial"/>
                <w:sz w:val="18"/>
                <w:szCs w:val="18"/>
              </w:rPr>
            </w:pPr>
            <w:r w:rsidRPr="0035519F">
              <w:rPr>
                <w:rFonts w:ascii="Arial" w:eastAsia="Times New Roman" w:hAnsi="Arial" w:cs="Arial"/>
                <w:sz w:val="18"/>
                <w:szCs w:val="18"/>
              </w:rPr>
              <w:t>240.6369</w:t>
            </w:r>
          </w:p>
        </w:tc>
      </w:tr>
    </w:tbl>
    <w:p w14:paraId="3D1D742A" w14:textId="77777777" w:rsidR="00B543B3" w:rsidRPr="0035519F" w:rsidRDefault="00B543B3" w:rsidP="00304D34">
      <w:pPr>
        <w:pStyle w:val="ListParagraph"/>
        <w:spacing w:line="240" w:lineRule="auto"/>
        <w:ind w:left="1080" w:right="18" w:hanging="1080"/>
        <w:jc w:val="both"/>
        <w:rPr>
          <w:rFonts w:ascii="Arial" w:hAnsi="Arial" w:cs="Arial"/>
          <w:b/>
          <w:sz w:val="24"/>
          <w:szCs w:val="24"/>
        </w:rPr>
      </w:pPr>
    </w:p>
    <w:p w14:paraId="2DFE3791" w14:textId="7016CAF2" w:rsidR="00B543B3" w:rsidRPr="0035519F" w:rsidRDefault="00B543B3" w:rsidP="00304D34">
      <w:pPr>
        <w:pStyle w:val="ListParagraph"/>
        <w:spacing w:line="240" w:lineRule="auto"/>
        <w:ind w:left="1080" w:right="18" w:hanging="1080"/>
        <w:jc w:val="both"/>
        <w:rPr>
          <w:rFonts w:ascii="Arial" w:hAnsi="Arial" w:cs="Arial"/>
          <w:b/>
          <w:sz w:val="24"/>
          <w:szCs w:val="24"/>
          <w:lang w:val="id-ID"/>
        </w:rPr>
      </w:pPr>
    </w:p>
    <w:p w14:paraId="0CA67405" w14:textId="3EE0168B" w:rsidR="00B543B3" w:rsidRPr="0035519F" w:rsidRDefault="00147B41" w:rsidP="00147B41">
      <w:pPr>
        <w:pStyle w:val="Caption"/>
        <w:rPr>
          <w:rFonts w:ascii="Arial" w:hAnsi="Arial" w:cs="Arial"/>
          <w:b/>
          <w:i w:val="0"/>
          <w:color w:val="auto"/>
          <w:sz w:val="24"/>
        </w:rPr>
      </w:pPr>
      <w:bookmarkStart w:id="100" w:name="_Toc111022803"/>
      <w:bookmarkStart w:id="101" w:name="_Toc111025461"/>
      <w:r w:rsidRPr="0035519F">
        <w:rPr>
          <w:rFonts w:ascii="Arial" w:hAnsi="Arial" w:cs="Arial"/>
          <w:b/>
          <w:i w:val="0"/>
          <w:color w:val="auto"/>
          <w:sz w:val="24"/>
        </w:rPr>
        <w:t xml:space="preserve">Lampiran </w:t>
      </w:r>
      <w:r w:rsidRPr="0035519F">
        <w:rPr>
          <w:rFonts w:ascii="Arial" w:hAnsi="Arial" w:cs="Arial"/>
          <w:b/>
          <w:i w:val="0"/>
          <w:color w:val="auto"/>
          <w:sz w:val="24"/>
        </w:rPr>
        <w:fldChar w:fldCharType="begin"/>
      </w:r>
      <w:r w:rsidRPr="0035519F">
        <w:rPr>
          <w:rFonts w:ascii="Arial" w:hAnsi="Arial" w:cs="Arial"/>
          <w:b/>
          <w:i w:val="0"/>
          <w:color w:val="auto"/>
          <w:sz w:val="24"/>
        </w:rPr>
        <w:instrText xml:space="preserve"> SEQ Lampiran \* ARABIC </w:instrText>
      </w:r>
      <w:r w:rsidRPr="0035519F">
        <w:rPr>
          <w:rFonts w:ascii="Arial" w:hAnsi="Arial" w:cs="Arial"/>
          <w:b/>
          <w:i w:val="0"/>
          <w:color w:val="auto"/>
          <w:sz w:val="24"/>
        </w:rPr>
        <w:fldChar w:fldCharType="separate"/>
      </w:r>
      <w:r w:rsidR="005B4074">
        <w:rPr>
          <w:rFonts w:ascii="Arial" w:hAnsi="Arial" w:cs="Arial"/>
          <w:b/>
          <w:i w:val="0"/>
          <w:noProof/>
          <w:color w:val="auto"/>
          <w:sz w:val="24"/>
        </w:rPr>
        <w:t>5</w:t>
      </w:r>
      <w:r w:rsidRPr="0035519F">
        <w:rPr>
          <w:rFonts w:ascii="Arial" w:hAnsi="Arial" w:cs="Arial"/>
          <w:b/>
          <w:i w:val="0"/>
          <w:color w:val="auto"/>
          <w:sz w:val="24"/>
        </w:rPr>
        <w:fldChar w:fldCharType="end"/>
      </w:r>
      <w:r w:rsidR="00B543B3" w:rsidRPr="0035519F">
        <w:rPr>
          <w:rFonts w:ascii="Arial" w:hAnsi="Arial" w:cs="Arial"/>
          <w:b/>
          <w:i w:val="0"/>
          <w:color w:val="auto"/>
          <w:sz w:val="24"/>
        </w:rPr>
        <w:t>. Curriculum Vitae</w:t>
      </w:r>
      <w:bookmarkEnd w:id="100"/>
      <w:bookmarkEnd w:id="101"/>
    </w:p>
    <w:p w14:paraId="68BD9C16" w14:textId="77777777" w:rsidR="00B543B3" w:rsidRPr="0035519F" w:rsidRDefault="00B543B3" w:rsidP="00304D34">
      <w:pPr>
        <w:spacing w:before="211"/>
        <w:rPr>
          <w:rFonts w:ascii="Arial" w:hAnsi="Arial" w:cs="Arial"/>
          <w:b/>
          <w:i/>
          <w:sz w:val="24"/>
        </w:rPr>
      </w:pPr>
    </w:p>
    <w:p w14:paraId="4D19E1A4" w14:textId="77777777" w:rsidR="00B543B3" w:rsidRPr="0035519F" w:rsidRDefault="00B543B3" w:rsidP="002C5221">
      <w:pPr>
        <w:pStyle w:val="Default"/>
        <w:widowControl/>
        <w:numPr>
          <w:ilvl w:val="0"/>
          <w:numId w:val="41"/>
        </w:numPr>
        <w:spacing w:line="360" w:lineRule="auto"/>
        <w:ind w:left="360"/>
        <w:rPr>
          <w:b/>
          <w:color w:val="auto"/>
          <w:u w:val="single"/>
        </w:rPr>
      </w:pPr>
      <w:r w:rsidRPr="0035519F">
        <w:rPr>
          <w:b/>
          <w:bCs/>
          <w:color w:val="auto"/>
          <w:u w:val="single"/>
        </w:rPr>
        <w:t xml:space="preserve">DATA PRIBADI  </w:t>
      </w:r>
    </w:p>
    <w:p w14:paraId="74F22EC3" w14:textId="77777777" w:rsidR="00B543B3" w:rsidRPr="0035519F" w:rsidRDefault="00B543B3" w:rsidP="00304D34">
      <w:pPr>
        <w:pStyle w:val="Default"/>
        <w:widowControl/>
        <w:spacing w:line="360" w:lineRule="auto"/>
        <w:ind w:left="360"/>
        <w:rPr>
          <w:bCs/>
          <w:color w:val="auto"/>
        </w:rPr>
      </w:pPr>
      <w:r w:rsidRPr="0035519F">
        <w:rPr>
          <w:bCs/>
          <w:color w:val="auto"/>
        </w:rPr>
        <w:t xml:space="preserve">Nama </w:t>
      </w:r>
      <w:r w:rsidRPr="0035519F">
        <w:rPr>
          <w:bCs/>
          <w:color w:val="auto"/>
        </w:rPr>
        <w:tab/>
      </w:r>
      <w:r w:rsidRPr="0035519F">
        <w:rPr>
          <w:bCs/>
          <w:color w:val="auto"/>
        </w:rPr>
        <w:tab/>
      </w:r>
      <w:r w:rsidRPr="0035519F">
        <w:rPr>
          <w:bCs/>
          <w:color w:val="auto"/>
        </w:rPr>
        <w:tab/>
        <w:t xml:space="preserve">: dr. Abd. Rahim Mubarak </w:t>
      </w:r>
    </w:p>
    <w:p w14:paraId="09F8D50C" w14:textId="77777777" w:rsidR="00B543B3" w:rsidRPr="0035519F" w:rsidRDefault="00B543B3" w:rsidP="00304D34">
      <w:pPr>
        <w:pStyle w:val="Default"/>
        <w:widowControl/>
        <w:spacing w:line="360" w:lineRule="auto"/>
        <w:ind w:left="360"/>
        <w:rPr>
          <w:bCs/>
          <w:color w:val="auto"/>
        </w:rPr>
      </w:pPr>
      <w:r w:rsidRPr="0035519F">
        <w:rPr>
          <w:bCs/>
          <w:color w:val="auto"/>
        </w:rPr>
        <w:t>Tempat, tanggal lahir</w:t>
      </w:r>
      <w:r w:rsidRPr="0035519F">
        <w:rPr>
          <w:bCs/>
          <w:color w:val="auto"/>
        </w:rPr>
        <w:tab/>
        <w:t>: Ujung Pandang, 1 Agustus 1985</w:t>
      </w:r>
    </w:p>
    <w:p w14:paraId="2A11D78C" w14:textId="77777777" w:rsidR="00B543B3" w:rsidRPr="0035519F" w:rsidRDefault="00B543B3" w:rsidP="00304D34">
      <w:pPr>
        <w:pStyle w:val="Default"/>
        <w:widowControl/>
        <w:spacing w:line="360" w:lineRule="auto"/>
        <w:ind w:left="360"/>
        <w:rPr>
          <w:bCs/>
          <w:color w:val="auto"/>
        </w:rPr>
      </w:pPr>
      <w:r w:rsidRPr="0035519F">
        <w:rPr>
          <w:bCs/>
          <w:color w:val="auto"/>
        </w:rPr>
        <w:t>Agama</w:t>
      </w:r>
      <w:r w:rsidRPr="0035519F">
        <w:rPr>
          <w:bCs/>
          <w:color w:val="auto"/>
        </w:rPr>
        <w:tab/>
      </w:r>
      <w:r w:rsidRPr="0035519F">
        <w:rPr>
          <w:bCs/>
          <w:color w:val="auto"/>
        </w:rPr>
        <w:tab/>
      </w:r>
      <w:r w:rsidRPr="0035519F">
        <w:rPr>
          <w:bCs/>
          <w:color w:val="auto"/>
        </w:rPr>
        <w:tab/>
        <w:t xml:space="preserve">: Islam </w:t>
      </w:r>
    </w:p>
    <w:p w14:paraId="0986D374" w14:textId="77777777" w:rsidR="00B543B3" w:rsidRPr="0035519F" w:rsidRDefault="00B543B3" w:rsidP="00304D34">
      <w:pPr>
        <w:pStyle w:val="Default"/>
        <w:widowControl/>
        <w:spacing w:line="360" w:lineRule="auto"/>
        <w:ind w:left="360"/>
        <w:rPr>
          <w:bCs/>
          <w:color w:val="auto"/>
        </w:rPr>
      </w:pPr>
      <w:r w:rsidRPr="0035519F">
        <w:rPr>
          <w:bCs/>
          <w:color w:val="auto"/>
        </w:rPr>
        <w:t xml:space="preserve">Pekerjaan </w:t>
      </w:r>
      <w:r w:rsidRPr="0035519F">
        <w:rPr>
          <w:bCs/>
          <w:color w:val="auto"/>
        </w:rPr>
        <w:tab/>
      </w:r>
      <w:r w:rsidRPr="0035519F">
        <w:rPr>
          <w:bCs/>
          <w:color w:val="auto"/>
        </w:rPr>
        <w:tab/>
        <w:t>: Mahasiswa PPDS</w:t>
      </w:r>
    </w:p>
    <w:p w14:paraId="146AC875" w14:textId="77777777" w:rsidR="00B543B3" w:rsidRPr="0035519F" w:rsidRDefault="00B543B3" w:rsidP="00304D34">
      <w:pPr>
        <w:pStyle w:val="Default"/>
        <w:widowControl/>
        <w:spacing w:line="360" w:lineRule="auto"/>
        <w:ind w:left="360"/>
        <w:rPr>
          <w:bCs/>
          <w:color w:val="auto"/>
        </w:rPr>
      </w:pPr>
      <w:r w:rsidRPr="0035519F">
        <w:rPr>
          <w:bCs/>
          <w:color w:val="auto"/>
        </w:rPr>
        <w:t>NIP</w:t>
      </w:r>
      <w:r w:rsidRPr="0035519F">
        <w:rPr>
          <w:bCs/>
          <w:color w:val="auto"/>
        </w:rPr>
        <w:tab/>
      </w:r>
      <w:r w:rsidRPr="0035519F">
        <w:rPr>
          <w:bCs/>
          <w:color w:val="auto"/>
        </w:rPr>
        <w:tab/>
      </w:r>
      <w:r w:rsidRPr="0035519F">
        <w:rPr>
          <w:bCs/>
          <w:color w:val="auto"/>
        </w:rPr>
        <w:tab/>
        <w:t>: 198508012011011003</w:t>
      </w:r>
    </w:p>
    <w:p w14:paraId="5F98F6A3" w14:textId="77777777" w:rsidR="00B543B3" w:rsidRPr="0035519F" w:rsidRDefault="00B543B3" w:rsidP="00304D34">
      <w:pPr>
        <w:pStyle w:val="Default"/>
        <w:widowControl/>
        <w:spacing w:line="360" w:lineRule="auto"/>
        <w:ind w:left="360"/>
        <w:rPr>
          <w:bCs/>
          <w:color w:val="auto"/>
        </w:rPr>
      </w:pPr>
      <w:r w:rsidRPr="0035519F">
        <w:rPr>
          <w:bCs/>
          <w:color w:val="auto"/>
        </w:rPr>
        <w:t xml:space="preserve">Pangkat/Golongan </w:t>
      </w:r>
      <w:r w:rsidRPr="0035519F">
        <w:rPr>
          <w:bCs/>
          <w:color w:val="auto"/>
        </w:rPr>
        <w:tab/>
        <w:t>: Penata, III/c</w:t>
      </w:r>
    </w:p>
    <w:p w14:paraId="0A3AA5A8" w14:textId="77777777" w:rsidR="00B543B3" w:rsidRPr="0035519F" w:rsidRDefault="00B543B3" w:rsidP="00304D34">
      <w:pPr>
        <w:pStyle w:val="Default"/>
        <w:widowControl/>
        <w:spacing w:line="360" w:lineRule="auto"/>
        <w:ind w:left="360"/>
        <w:rPr>
          <w:color w:val="auto"/>
        </w:rPr>
      </w:pPr>
      <w:r w:rsidRPr="0035519F">
        <w:rPr>
          <w:bCs/>
          <w:color w:val="auto"/>
        </w:rPr>
        <w:t>Alamat Domisili</w:t>
      </w:r>
      <w:r w:rsidRPr="0035519F">
        <w:rPr>
          <w:bCs/>
          <w:color w:val="auto"/>
        </w:rPr>
        <w:tab/>
      </w:r>
      <w:r w:rsidRPr="0035519F">
        <w:rPr>
          <w:bCs/>
          <w:color w:val="auto"/>
        </w:rPr>
        <w:tab/>
        <w:t>: Perum Bukit Deltamas Daya Blok C. No.4</w:t>
      </w:r>
    </w:p>
    <w:p w14:paraId="06F1DABA" w14:textId="77777777" w:rsidR="00B543B3" w:rsidRPr="0035519F" w:rsidRDefault="00B543B3" w:rsidP="002C5221">
      <w:pPr>
        <w:pStyle w:val="ListParagraph"/>
        <w:widowControl w:val="0"/>
        <w:numPr>
          <w:ilvl w:val="0"/>
          <w:numId w:val="42"/>
        </w:numPr>
        <w:autoSpaceDE w:val="0"/>
        <w:autoSpaceDN w:val="0"/>
        <w:spacing w:before="100" w:beforeAutospacing="1" w:after="100" w:afterAutospacing="1" w:line="240" w:lineRule="auto"/>
        <w:ind w:left="360"/>
        <w:contextualSpacing w:val="0"/>
        <w:rPr>
          <w:rFonts w:ascii="Arial" w:hAnsi="Arial" w:cs="Arial"/>
          <w:b/>
          <w:bCs/>
          <w:sz w:val="24"/>
          <w:szCs w:val="24"/>
          <w:u w:val="single"/>
        </w:rPr>
      </w:pPr>
      <w:r w:rsidRPr="0035519F">
        <w:rPr>
          <w:rFonts w:ascii="Arial" w:hAnsi="Arial" w:cs="Arial"/>
          <w:b/>
          <w:bCs/>
          <w:sz w:val="24"/>
          <w:szCs w:val="24"/>
          <w:u w:val="single"/>
        </w:rPr>
        <w:t>RIWAYAT PENDIDIKAN</w:t>
      </w:r>
    </w:p>
    <w:tbl>
      <w:tblPr>
        <w:tblW w:w="7874"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286"/>
        <w:gridCol w:w="2610"/>
        <w:gridCol w:w="1530"/>
        <w:gridCol w:w="1800"/>
      </w:tblGrid>
      <w:tr w:rsidR="00117F69" w:rsidRPr="0035519F" w14:paraId="672C70F0" w14:textId="77777777" w:rsidTr="00B543B3">
        <w:trPr>
          <w:trHeight w:val="562"/>
        </w:trPr>
        <w:tc>
          <w:tcPr>
            <w:tcW w:w="648" w:type="dxa"/>
            <w:vAlign w:val="center"/>
          </w:tcPr>
          <w:p w14:paraId="0760C9FF" w14:textId="77777777" w:rsidR="00B543B3" w:rsidRPr="0035519F" w:rsidRDefault="00B543B3" w:rsidP="00304D34">
            <w:pPr>
              <w:pStyle w:val="Default"/>
              <w:jc w:val="center"/>
              <w:rPr>
                <w:rFonts w:eastAsia="Calibri"/>
                <w:b/>
                <w:color w:val="auto"/>
              </w:rPr>
            </w:pPr>
            <w:r w:rsidRPr="0035519F">
              <w:rPr>
                <w:rFonts w:eastAsia="Calibri"/>
                <w:b/>
                <w:color w:val="auto"/>
              </w:rPr>
              <w:t>NO</w:t>
            </w:r>
          </w:p>
        </w:tc>
        <w:tc>
          <w:tcPr>
            <w:tcW w:w="1286" w:type="dxa"/>
            <w:vAlign w:val="center"/>
          </w:tcPr>
          <w:p w14:paraId="2731E67F" w14:textId="77777777" w:rsidR="00B543B3" w:rsidRPr="0035519F" w:rsidRDefault="00B543B3" w:rsidP="00304D34">
            <w:pPr>
              <w:pStyle w:val="Default"/>
              <w:jc w:val="center"/>
              <w:rPr>
                <w:rFonts w:eastAsia="Calibri"/>
                <w:b/>
                <w:color w:val="auto"/>
              </w:rPr>
            </w:pPr>
            <w:r w:rsidRPr="0035519F">
              <w:rPr>
                <w:rFonts w:eastAsia="Calibri"/>
                <w:b/>
                <w:color w:val="auto"/>
              </w:rPr>
              <w:t>STRATA</w:t>
            </w:r>
          </w:p>
        </w:tc>
        <w:tc>
          <w:tcPr>
            <w:tcW w:w="2610" w:type="dxa"/>
            <w:vAlign w:val="center"/>
          </w:tcPr>
          <w:p w14:paraId="40646C14" w14:textId="77777777" w:rsidR="00B543B3" w:rsidRPr="0035519F" w:rsidRDefault="00B543B3" w:rsidP="00304D34">
            <w:pPr>
              <w:pStyle w:val="Default"/>
              <w:jc w:val="center"/>
              <w:rPr>
                <w:rFonts w:eastAsia="Calibri"/>
                <w:b/>
                <w:color w:val="auto"/>
              </w:rPr>
            </w:pPr>
            <w:r w:rsidRPr="0035519F">
              <w:rPr>
                <w:rFonts w:eastAsia="Calibri"/>
                <w:b/>
                <w:color w:val="auto"/>
              </w:rPr>
              <w:t>INSTITUSI</w:t>
            </w:r>
          </w:p>
        </w:tc>
        <w:tc>
          <w:tcPr>
            <w:tcW w:w="1530" w:type="dxa"/>
            <w:vAlign w:val="center"/>
          </w:tcPr>
          <w:p w14:paraId="67932237" w14:textId="77777777" w:rsidR="00B543B3" w:rsidRPr="0035519F" w:rsidRDefault="00B543B3" w:rsidP="00304D34">
            <w:pPr>
              <w:pStyle w:val="Default"/>
              <w:jc w:val="center"/>
              <w:rPr>
                <w:rFonts w:eastAsia="Calibri"/>
                <w:b/>
                <w:color w:val="auto"/>
              </w:rPr>
            </w:pPr>
            <w:r w:rsidRPr="0035519F">
              <w:rPr>
                <w:rFonts w:eastAsia="Calibri"/>
                <w:b/>
                <w:color w:val="auto"/>
              </w:rPr>
              <w:t>TEMPAT</w:t>
            </w:r>
          </w:p>
        </w:tc>
        <w:tc>
          <w:tcPr>
            <w:tcW w:w="1800" w:type="dxa"/>
            <w:vAlign w:val="center"/>
          </w:tcPr>
          <w:p w14:paraId="129487DA" w14:textId="77777777" w:rsidR="00B543B3" w:rsidRPr="0035519F" w:rsidRDefault="00B543B3" w:rsidP="00304D34">
            <w:pPr>
              <w:pStyle w:val="Default"/>
              <w:jc w:val="center"/>
              <w:rPr>
                <w:rFonts w:eastAsia="Calibri"/>
                <w:b/>
                <w:color w:val="auto"/>
              </w:rPr>
            </w:pPr>
            <w:r w:rsidRPr="0035519F">
              <w:rPr>
                <w:rFonts w:eastAsia="Calibri"/>
                <w:b/>
                <w:color w:val="auto"/>
              </w:rPr>
              <w:t>TAHUN TAMAT</w:t>
            </w:r>
          </w:p>
        </w:tc>
      </w:tr>
      <w:tr w:rsidR="00117F69" w:rsidRPr="0035519F" w14:paraId="6E3DE906" w14:textId="77777777" w:rsidTr="00B543B3">
        <w:trPr>
          <w:trHeight w:val="382"/>
        </w:trPr>
        <w:tc>
          <w:tcPr>
            <w:tcW w:w="648" w:type="dxa"/>
            <w:vAlign w:val="center"/>
          </w:tcPr>
          <w:p w14:paraId="2EF5909D" w14:textId="77777777" w:rsidR="00B543B3" w:rsidRPr="0035519F" w:rsidRDefault="00B543B3" w:rsidP="00304D34">
            <w:pPr>
              <w:pStyle w:val="Default"/>
              <w:jc w:val="center"/>
              <w:rPr>
                <w:rFonts w:eastAsia="Calibri"/>
                <w:color w:val="auto"/>
              </w:rPr>
            </w:pPr>
            <w:r w:rsidRPr="0035519F">
              <w:rPr>
                <w:rFonts w:eastAsia="Calibri"/>
                <w:color w:val="auto"/>
              </w:rPr>
              <w:t>1.</w:t>
            </w:r>
          </w:p>
        </w:tc>
        <w:tc>
          <w:tcPr>
            <w:tcW w:w="1286" w:type="dxa"/>
            <w:vAlign w:val="center"/>
          </w:tcPr>
          <w:p w14:paraId="1DB9A051" w14:textId="77777777" w:rsidR="00B543B3" w:rsidRPr="0035519F" w:rsidRDefault="00B543B3" w:rsidP="00304D34">
            <w:pPr>
              <w:pStyle w:val="Default"/>
              <w:jc w:val="center"/>
              <w:rPr>
                <w:rFonts w:eastAsia="Calibri"/>
                <w:color w:val="auto"/>
              </w:rPr>
            </w:pPr>
            <w:r w:rsidRPr="0035519F">
              <w:rPr>
                <w:rFonts w:eastAsia="Calibri"/>
                <w:color w:val="auto"/>
              </w:rPr>
              <w:t>SD</w:t>
            </w:r>
          </w:p>
        </w:tc>
        <w:tc>
          <w:tcPr>
            <w:tcW w:w="2610" w:type="dxa"/>
            <w:vAlign w:val="center"/>
          </w:tcPr>
          <w:p w14:paraId="75480FA0" w14:textId="77777777" w:rsidR="00B543B3" w:rsidRPr="0035519F" w:rsidRDefault="00B543B3" w:rsidP="00304D34">
            <w:pPr>
              <w:pStyle w:val="ListParagraph"/>
              <w:tabs>
                <w:tab w:val="left" w:pos="360"/>
                <w:tab w:val="left" w:pos="6120"/>
              </w:tabs>
              <w:ind w:left="0"/>
              <w:jc w:val="center"/>
              <w:rPr>
                <w:rFonts w:ascii="Arial" w:hAnsi="Arial" w:cs="Arial"/>
              </w:rPr>
            </w:pPr>
            <w:r w:rsidRPr="0035519F">
              <w:rPr>
                <w:rFonts w:ascii="Arial" w:hAnsi="Arial" w:cs="Arial"/>
              </w:rPr>
              <w:t>SDN 3 Pinrang</w:t>
            </w:r>
          </w:p>
        </w:tc>
        <w:tc>
          <w:tcPr>
            <w:tcW w:w="1530" w:type="dxa"/>
            <w:vAlign w:val="center"/>
          </w:tcPr>
          <w:p w14:paraId="688C62E9" w14:textId="77777777" w:rsidR="00B543B3" w:rsidRPr="0035519F" w:rsidRDefault="00B543B3" w:rsidP="00304D34">
            <w:pPr>
              <w:pStyle w:val="ListParagraph"/>
              <w:tabs>
                <w:tab w:val="left" w:pos="360"/>
                <w:tab w:val="left" w:pos="6120"/>
              </w:tabs>
              <w:ind w:left="0"/>
              <w:jc w:val="center"/>
              <w:rPr>
                <w:rFonts w:ascii="Arial" w:hAnsi="Arial" w:cs="Arial"/>
              </w:rPr>
            </w:pPr>
            <w:r w:rsidRPr="0035519F">
              <w:rPr>
                <w:rFonts w:ascii="Arial" w:hAnsi="Arial" w:cs="Arial"/>
              </w:rPr>
              <w:t>Kab. Pinrang</w:t>
            </w:r>
          </w:p>
        </w:tc>
        <w:tc>
          <w:tcPr>
            <w:tcW w:w="1800" w:type="dxa"/>
            <w:vAlign w:val="center"/>
          </w:tcPr>
          <w:p w14:paraId="6CBB7329" w14:textId="77777777" w:rsidR="00B543B3" w:rsidRPr="0035519F" w:rsidRDefault="00B543B3" w:rsidP="00304D34">
            <w:pPr>
              <w:pStyle w:val="ListParagraph"/>
              <w:tabs>
                <w:tab w:val="left" w:pos="360"/>
                <w:tab w:val="left" w:pos="6120"/>
              </w:tabs>
              <w:ind w:left="0"/>
              <w:jc w:val="center"/>
              <w:rPr>
                <w:rFonts w:ascii="Arial" w:hAnsi="Arial" w:cs="Arial"/>
              </w:rPr>
            </w:pPr>
            <w:r w:rsidRPr="0035519F">
              <w:rPr>
                <w:rFonts w:ascii="Arial" w:hAnsi="Arial" w:cs="Arial"/>
              </w:rPr>
              <w:t>1997</w:t>
            </w:r>
          </w:p>
        </w:tc>
      </w:tr>
      <w:tr w:rsidR="00117F69" w:rsidRPr="0035519F" w14:paraId="35CDDD68" w14:textId="77777777" w:rsidTr="00B543B3">
        <w:trPr>
          <w:trHeight w:val="142"/>
        </w:trPr>
        <w:tc>
          <w:tcPr>
            <w:tcW w:w="648" w:type="dxa"/>
            <w:vAlign w:val="center"/>
          </w:tcPr>
          <w:p w14:paraId="58217234" w14:textId="77777777" w:rsidR="00B543B3" w:rsidRPr="0035519F" w:rsidRDefault="00B543B3" w:rsidP="00304D34">
            <w:pPr>
              <w:pStyle w:val="Default"/>
              <w:jc w:val="center"/>
              <w:rPr>
                <w:rFonts w:eastAsia="Calibri"/>
                <w:color w:val="auto"/>
              </w:rPr>
            </w:pPr>
            <w:r w:rsidRPr="0035519F">
              <w:rPr>
                <w:rFonts w:eastAsia="Calibri"/>
                <w:color w:val="auto"/>
              </w:rPr>
              <w:t>2.</w:t>
            </w:r>
          </w:p>
        </w:tc>
        <w:tc>
          <w:tcPr>
            <w:tcW w:w="1286" w:type="dxa"/>
            <w:vAlign w:val="center"/>
          </w:tcPr>
          <w:p w14:paraId="16272BCE" w14:textId="77777777" w:rsidR="00B543B3" w:rsidRPr="0035519F" w:rsidRDefault="00B543B3" w:rsidP="00304D34">
            <w:pPr>
              <w:pStyle w:val="Default"/>
              <w:jc w:val="center"/>
              <w:rPr>
                <w:rFonts w:eastAsia="Calibri"/>
                <w:color w:val="auto"/>
              </w:rPr>
            </w:pPr>
            <w:r w:rsidRPr="0035519F">
              <w:rPr>
                <w:rFonts w:eastAsia="Calibri"/>
                <w:color w:val="auto"/>
              </w:rPr>
              <w:t>SMP</w:t>
            </w:r>
          </w:p>
        </w:tc>
        <w:tc>
          <w:tcPr>
            <w:tcW w:w="2610" w:type="dxa"/>
            <w:vAlign w:val="center"/>
          </w:tcPr>
          <w:p w14:paraId="77C83B6D"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SLTPN 1 Pinrang</w:t>
            </w:r>
          </w:p>
        </w:tc>
        <w:tc>
          <w:tcPr>
            <w:tcW w:w="1530" w:type="dxa"/>
            <w:vAlign w:val="center"/>
          </w:tcPr>
          <w:p w14:paraId="579CAA46"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rPr>
              <w:t>Kab. Pinrang</w:t>
            </w:r>
          </w:p>
        </w:tc>
        <w:tc>
          <w:tcPr>
            <w:tcW w:w="1800" w:type="dxa"/>
            <w:vAlign w:val="center"/>
          </w:tcPr>
          <w:p w14:paraId="303D2C01"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2000</w:t>
            </w:r>
          </w:p>
        </w:tc>
      </w:tr>
      <w:tr w:rsidR="00117F69" w:rsidRPr="0035519F" w14:paraId="268E69D8" w14:textId="77777777" w:rsidTr="00B543B3">
        <w:trPr>
          <w:trHeight w:val="142"/>
        </w:trPr>
        <w:tc>
          <w:tcPr>
            <w:tcW w:w="648" w:type="dxa"/>
            <w:vAlign w:val="center"/>
          </w:tcPr>
          <w:p w14:paraId="35B3BDB7" w14:textId="77777777" w:rsidR="00B543B3" w:rsidRPr="0035519F" w:rsidRDefault="00B543B3" w:rsidP="00304D34">
            <w:pPr>
              <w:pStyle w:val="Default"/>
              <w:jc w:val="center"/>
              <w:rPr>
                <w:rFonts w:eastAsia="Calibri"/>
                <w:color w:val="auto"/>
              </w:rPr>
            </w:pPr>
            <w:r w:rsidRPr="0035519F">
              <w:rPr>
                <w:rFonts w:eastAsia="Calibri"/>
                <w:color w:val="auto"/>
              </w:rPr>
              <w:t>3.</w:t>
            </w:r>
          </w:p>
        </w:tc>
        <w:tc>
          <w:tcPr>
            <w:tcW w:w="1286" w:type="dxa"/>
            <w:vAlign w:val="center"/>
          </w:tcPr>
          <w:p w14:paraId="4B81F4A4" w14:textId="77777777" w:rsidR="00B543B3" w:rsidRPr="0035519F" w:rsidRDefault="00B543B3" w:rsidP="00304D34">
            <w:pPr>
              <w:pStyle w:val="Default"/>
              <w:jc w:val="center"/>
              <w:rPr>
                <w:rFonts w:eastAsia="Calibri"/>
                <w:color w:val="auto"/>
              </w:rPr>
            </w:pPr>
            <w:r w:rsidRPr="0035519F">
              <w:rPr>
                <w:rFonts w:eastAsia="Calibri"/>
                <w:color w:val="auto"/>
              </w:rPr>
              <w:t>SMA</w:t>
            </w:r>
          </w:p>
        </w:tc>
        <w:tc>
          <w:tcPr>
            <w:tcW w:w="2610" w:type="dxa"/>
            <w:vAlign w:val="center"/>
          </w:tcPr>
          <w:p w14:paraId="53930547"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SMUN 1 Pinrang</w:t>
            </w:r>
          </w:p>
        </w:tc>
        <w:tc>
          <w:tcPr>
            <w:tcW w:w="1530" w:type="dxa"/>
            <w:vAlign w:val="center"/>
          </w:tcPr>
          <w:p w14:paraId="4A3E5C7E"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rPr>
              <w:t>Kab. Pinrang</w:t>
            </w:r>
          </w:p>
        </w:tc>
        <w:tc>
          <w:tcPr>
            <w:tcW w:w="1800" w:type="dxa"/>
            <w:vAlign w:val="center"/>
          </w:tcPr>
          <w:p w14:paraId="556F3699"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2003</w:t>
            </w:r>
          </w:p>
        </w:tc>
      </w:tr>
      <w:tr w:rsidR="00117F69" w:rsidRPr="0035519F" w14:paraId="2F4D62F3" w14:textId="77777777" w:rsidTr="00B543B3">
        <w:trPr>
          <w:trHeight w:val="142"/>
        </w:trPr>
        <w:tc>
          <w:tcPr>
            <w:tcW w:w="648" w:type="dxa"/>
            <w:vAlign w:val="center"/>
          </w:tcPr>
          <w:p w14:paraId="407F4A47" w14:textId="77777777" w:rsidR="00B543B3" w:rsidRPr="0035519F" w:rsidRDefault="00B543B3" w:rsidP="00304D34">
            <w:pPr>
              <w:pStyle w:val="Default"/>
              <w:jc w:val="center"/>
              <w:rPr>
                <w:rFonts w:eastAsia="Calibri"/>
                <w:color w:val="auto"/>
              </w:rPr>
            </w:pPr>
            <w:r w:rsidRPr="0035519F">
              <w:rPr>
                <w:rFonts w:eastAsia="Calibri"/>
                <w:color w:val="auto"/>
              </w:rPr>
              <w:t>4.</w:t>
            </w:r>
          </w:p>
        </w:tc>
        <w:tc>
          <w:tcPr>
            <w:tcW w:w="1286" w:type="dxa"/>
            <w:vAlign w:val="center"/>
          </w:tcPr>
          <w:p w14:paraId="6E515238" w14:textId="77777777" w:rsidR="00B543B3" w:rsidRPr="0035519F" w:rsidRDefault="00B543B3" w:rsidP="00304D34">
            <w:pPr>
              <w:pStyle w:val="Default"/>
              <w:jc w:val="center"/>
              <w:rPr>
                <w:rFonts w:eastAsia="Calibri"/>
                <w:color w:val="auto"/>
              </w:rPr>
            </w:pPr>
            <w:r w:rsidRPr="0035519F">
              <w:rPr>
                <w:rFonts w:eastAsia="Calibri"/>
                <w:color w:val="auto"/>
              </w:rPr>
              <w:t>Dokter</w:t>
            </w:r>
          </w:p>
        </w:tc>
        <w:tc>
          <w:tcPr>
            <w:tcW w:w="2610" w:type="dxa"/>
            <w:vAlign w:val="center"/>
          </w:tcPr>
          <w:p w14:paraId="40CC12AC" w14:textId="77777777" w:rsidR="00B543B3" w:rsidRPr="0035519F" w:rsidRDefault="00B543B3" w:rsidP="00304D34">
            <w:pPr>
              <w:pStyle w:val="ListParagraph"/>
              <w:tabs>
                <w:tab w:val="left" w:pos="360"/>
                <w:tab w:val="left" w:pos="6120"/>
              </w:tabs>
              <w:ind w:left="0" w:hanging="175"/>
              <w:jc w:val="center"/>
              <w:rPr>
                <w:rFonts w:ascii="Arial" w:hAnsi="Arial" w:cs="Arial"/>
                <w:sz w:val="24"/>
                <w:szCs w:val="24"/>
              </w:rPr>
            </w:pPr>
            <w:r w:rsidRPr="0035519F">
              <w:rPr>
                <w:rFonts w:ascii="Arial" w:hAnsi="Arial" w:cs="Arial"/>
                <w:sz w:val="24"/>
                <w:szCs w:val="24"/>
              </w:rPr>
              <w:t>Fakultas Kedokteran Universitas Muslim Indonesia</w:t>
            </w:r>
          </w:p>
        </w:tc>
        <w:tc>
          <w:tcPr>
            <w:tcW w:w="1530" w:type="dxa"/>
            <w:vAlign w:val="center"/>
          </w:tcPr>
          <w:p w14:paraId="6FF532B6" w14:textId="77777777" w:rsidR="00B543B3" w:rsidRPr="0035519F" w:rsidRDefault="00B543B3" w:rsidP="00304D34">
            <w:pPr>
              <w:pStyle w:val="ListParagraph"/>
              <w:tabs>
                <w:tab w:val="left" w:pos="360"/>
                <w:tab w:val="left" w:pos="6120"/>
              </w:tabs>
              <w:ind w:left="0"/>
              <w:jc w:val="center"/>
              <w:rPr>
                <w:rFonts w:ascii="Arial" w:hAnsi="Arial" w:cs="Arial"/>
              </w:rPr>
            </w:pPr>
            <w:r w:rsidRPr="0035519F">
              <w:rPr>
                <w:rFonts w:ascii="Arial" w:hAnsi="Arial" w:cs="Arial"/>
              </w:rPr>
              <w:t>Makasaar</w:t>
            </w:r>
          </w:p>
        </w:tc>
        <w:tc>
          <w:tcPr>
            <w:tcW w:w="1800" w:type="dxa"/>
            <w:vAlign w:val="center"/>
          </w:tcPr>
          <w:p w14:paraId="2CA77557"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2010</w:t>
            </w:r>
          </w:p>
        </w:tc>
      </w:tr>
      <w:tr w:rsidR="00117F69" w:rsidRPr="0035519F" w14:paraId="1599744B" w14:textId="77777777" w:rsidTr="00B543B3">
        <w:trPr>
          <w:trHeight w:val="142"/>
        </w:trPr>
        <w:tc>
          <w:tcPr>
            <w:tcW w:w="648" w:type="dxa"/>
            <w:vAlign w:val="center"/>
          </w:tcPr>
          <w:p w14:paraId="46D9BDAC" w14:textId="77777777" w:rsidR="00B543B3" w:rsidRPr="0035519F" w:rsidRDefault="00B543B3" w:rsidP="00304D34">
            <w:pPr>
              <w:pStyle w:val="Default"/>
              <w:jc w:val="center"/>
              <w:rPr>
                <w:rFonts w:eastAsia="Calibri"/>
                <w:color w:val="auto"/>
              </w:rPr>
            </w:pPr>
            <w:r w:rsidRPr="0035519F">
              <w:rPr>
                <w:rFonts w:eastAsia="Calibri"/>
                <w:color w:val="auto"/>
              </w:rPr>
              <w:t>5.</w:t>
            </w:r>
          </w:p>
        </w:tc>
        <w:tc>
          <w:tcPr>
            <w:tcW w:w="1286" w:type="dxa"/>
            <w:vAlign w:val="center"/>
          </w:tcPr>
          <w:p w14:paraId="2A4E4E92" w14:textId="77777777" w:rsidR="00B543B3" w:rsidRPr="0035519F" w:rsidRDefault="00B543B3" w:rsidP="00304D34">
            <w:pPr>
              <w:pStyle w:val="Default"/>
              <w:jc w:val="center"/>
              <w:rPr>
                <w:rFonts w:eastAsia="Calibri"/>
                <w:color w:val="auto"/>
              </w:rPr>
            </w:pPr>
            <w:r w:rsidRPr="0035519F">
              <w:rPr>
                <w:rFonts w:eastAsia="Calibri"/>
                <w:color w:val="auto"/>
              </w:rPr>
              <w:t>Spesialis</w:t>
            </w:r>
          </w:p>
        </w:tc>
        <w:tc>
          <w:tcPr>
            <w:tcW w:w="2610" w:type="dxa"/>
            <w:vAlign w:val="center"/>
          </w:tcPr>
          <w:p w14:paraId="1928FDC6" w14:textId="77777777" w:rsidR="00B543B3" w:rsidRPr="0035519F" w:rsidRDefault="00B543B3" w:rsidP="00304D34">
            <w:pPr>
              <w:pStyle w:val="ListParagraph"/>
              <w:tabs>
                <w:tab w:val="left" w:pos="360"/>
                <w:tab w:val="left" w:pos="6120"/>
              </w:tabs>
              <w:ind w:left="0" w:firstLine="95"/>
              <w:jc w:val="center"/>
              <w:rPr>
                <w:rFonts w:ascii="Arial" w:hAnsi="Arial" w:cs="Arial"/>
                <w:sz w:val="24"/>
                <w:szCs w:val="24"/>
              </w:rPr>
            </w:pPr>
            <w:r w:rsidRPr="0035519F">
              <w:rPr>
                <w:rFonts w:ascii="Arial" w:hAnsi="Arial" w:cs="Arial"/>
                <w:sz w:val="24"/>
                <w:szCs w:val="24"/>
              </w:rPr>
              <w:t>Prodi Ilmu Patologi Klinik FK-UNHAS</w:t>
            </w:r>
          </w:p>
        </w:tc>
        <w:tc>
          <w:tcPr>
            <w:tcW w:w="1530" w:type="dxa"/>
            <w:vAlign w:val="center"/>
          </w:tcPr>
          <w:p w14:paraId="549C5A63" w14:textId="77777777" w:rsidR="00B543B3" w:rsidRPr="0035519F" w:rsidRDefault="00B543B3" w:rsidP="00304D34">
            <w:pPr>
              <w:pStyle w:val="ListParagraph"/>
              <w:tabs>
                <w:tab w:val="left" w:pos="360"/>
                <w:tab w:val="left" w:pos="6120"/>
              </w:tabs>
              <w:ind w:left="0"/>
              <w:jc w:val="center"/>
              <w:rPr>
                <w:rFonts w:ascii="Arial" w:hAnsi="Arial" w:cs="Arial"/>
              </w:rPr>
            </w:pPr>
            <w:r w:rsidRPr="0035519F">
              <w:rPr>
                <w:rFonts w:ascii="Arial" w:hAnsi="Arial" w:cs="Arial"/>
              </w:rPr>
              <w:t>Makassar</w:t>
            </w:r>
          </w:p>
        </w:tc>
        <w:tc>
          <w:tcPr>
            <w:tcW w:w="1800" w:type="dxa"/>
            <w:vAlign w:val="center"/>
          </w:tcPr>
          <w:p w14:paraId="0D44706B" w14:textId="77777777" w:rsidR="00B543B3" w:rsidRPr="0035519F" w:rsidRDefault="00B543B3" w:rsidP="00304D34">
            <w:pPr>
              <w:pStyle w:val="ListParagraph"/>
              <w:tabs>
                <w:tab w:val="left" w:pos="360"/>
                <w:tab w:val="left" w:pos="6120"/>
              </w:tabs>
              <w:ind w:left="0"/>
              <w:jc w:val="center"/>
              <w:rPr>
                <w:rFonts w:ascii="Arial" w:hAnsi="Arial" w:cs="Arial"/>
                <w:sz w:val="24"/>
                <w:szCs w:val="24"/>
              </w:rPr>
            </w:pPr>
            <w:r w:rsidRPr="0035519F">
              <w:rPr>
                <w:rFonts w:ascii="Arial" w:hAnsi="Arial" w:cs="Arial"/>
                <w:sz w:val="24"/>
                <w:szCs w:val="24"/>
              </w:rPr>
              <w:t>2018-sekarang</w:t>
            </w:r>
          </w:p>
        </w:tc>
      </w:tr>
    </w:tbl>
    <w:p w14:paraId="3B0F164C" w14:textId="77777777" w:rsidR="00B543B3" w:rsidRPr="0035519F" w:rsidRDefault="00B543B3" w:rsidP="002C5221">
      <w:pPr>
        <w:pStyle w:val="ListParagraph"/>
        <w:widowControl w:val="0"/>
        <w:numPr>
          <w:ilvl w:val="0"/>
          <w:numId w:val="42"/>
        </w:numPr>
        <w:autoSpaceDE w:val="0"/>
        <w:autoSpaceDN w:val="0"/>
        <w:spacing w:before="100" w:beforeAutospacing="1" w:after="100" w:afterAutospacing="1" w:line="240" w:lineRule="auto"/>
        <w:ind w:left="450"/>
        <w:contextualSpacing w:val="0"/>
        <w:rPr>
          <w:rFonts w:ascii="Arial" w:hAnsi="Arial" w:cs="Arial"/>
          <w:b/>
          <w:bCs/>
          <w:sz w:val="24"/>
          <w:szCs w:val="24"/>
          <w:u w:val="single"/>
        </w:rPr>
      </w:pPr>
      <w:r w:rsidRPr="0035519F">
        <w:rPr>
          <w:rFonts w:ascii="Arial" w:hAnsi="Arial" w:cs="Arial"/>
          <w:b/>
          <w:bCs/>
          <w:sz w:val="24"/>
          <w:szCs w:val="24"/>
        </w:rPr>
        <w:t>RIWAYAT PEKERJAAN</w:t>
      </w:r>
    </w:p>
    <w:tbl>
      <w:tblPr>
        <w:tblW w:w="7858" w:type="dxa"/>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1076"/>
        <w:gridCol w:w="2391"/>
        <w:gridCol w:w="1944"/>
        <w:gridCol w:w="1800"/>
      </w:tblGrid>
      <w:tr w:rsidR="00117F69" w:rsidRPr="0035519F" w14:paraId="68398B72" w14:textId="77777777" w:rsidTr="00B543B3">
        <w:tc>
          <w:tcPr>
            <w:tcW w:w="647" w:type="dxa"/>
            <w:tcBorders>
              <w:bottom w:val="nil"/>
            </w:tcBorders>
            <w:shd w:val="clear" w:color="auto" w:fill="auto"/>
            <w:vAlign w:val="center"/>
          </w:tcPr>
          <w:p w14:paraId="4CD72C2A" w14:textId="6870C080" w:rsidR="00B543B3" w:rsidRPr="0035519F" w:rsidRDefault="00B543B3" w:rsidP="00304D34">
            <w:pPr>
              <w:spacing w:before="120"/>
              <w:jc w:val="center"/>
              <w:rPr>
                <w:rFonts w:ascii="Arial" w:hAnsi="Arial" w:cs="Arial"/>
                <w:b/>
                <w:lang w:val="fi-FI"/>
              </w:rPr>
            </w:pPr>
            <w:r w:rsidRPr="0035519F">
              <w:rPr>
                <w:rFonts w:ascii="Arial" w:hAnsi="Arial" w:cs="Arial"/>
                <w:b/>
                <w:lang w:val="fi-FI"/>
              </w:rPr>
              <w:t>No.</w:t>
            </w:r>
          </w:p>
        </w:tc>
        <w:tc>
          <w:tcPr>
            <w:tcW w:w="1076" w:type="dxa"/>
            <w:tcBorders>
              <w:bottom w:val="nil"/>
            </w:tcBorders>
            <w:shd w:val="clear" w:color="auto" w:fill="auto"/>
            <w:vAlign w:val="center"/>
          </w:tcPr>
          <w:p w14:paraId="75C616D4" w14:textId="77777777" w:rsidR="00B543B3" w:rsidRPr="0035519F" w:rsidRDefault="00B543B3" w:rsidP="00304D34">
            <w:pPr>
              <w:spacing w:before="120"/>
              <w:jc w:val="center"/>
              <w:rPr>
                <w:rFonts w:ascii="Arial" w:hAnsi="Arial" w:cs="Arial"/>
                <w:b/>
                <w:lang w:val="fi-FI"/>
              </w:rPr>
            </w:pPr>
            <w:r w:rsidRPr="0035519F">
              <w:rPr>
                <w:rFonts w:ascii="Arial" w:hAnsi="Arial" w:cs="Arial"/>
                <w:b/>
                <w:lang w:val="fi-FI"/>
              </w:rPr>
              <w:t>Jabatan</w:t>
            </w:r>
          </w:p>
        </w:tc>
        <w:tc>
          <w:tcPr>
            <w:tcW w:w="2391" w:type="dxa"/>
            <w:tcBorders>
              <w:bottom w:val="nil"/>
            </w:tcBorders>
            <w:shd w:val="clear" w:color="auto" w:fill="auto"/>
            <w:vAlign w:val="center"/>
          </w:tcPr>
          <w:p w14:paraId="4B66BF79" w14:textId="77777777" w:rsidR="00B543B3" w:rsidRPr="0035519F" w:rsidRDefault="00B543B3" w:rsidP="00304D34">
            <w:pPr>
              <w:spacing w:before="120"/>
              <w:jc w:val="center"/>
              <w:rPr>
                <w:rFonts w:ascii="Arial" w:hAnsi="Arial" w:cs="Arial"/>
                <w:b/>
                <w:lang w:val="fi-FI"/>
              </w:rPr>
            </w:pPr>
            <w:r w:rsidRPr="0035519F">
              <w:rPr>
                <w:rFonts w:ascii="Arial" w:hAnsi="Arial" w:cs="Arial"/>
                <w:b/>
                <w:lang w:val="fi-FI"/>
              </w:rPr>
              <w:t>Instansi</w:t>
            </w:r>
          </w:p>
        </w:tc>
        <w:tc>
          <w:tcPr>
            <w:tcW w:w="1944" w:type="dxa"/>
            <w:tcBorders>
              <w:bottom w:val="nil"/>
            </w:tcBorders>
            <w:vAlign w:val="center"/>
          </w:tcPr>
          <w:p w14:paraId="3FCC538F" w14:textId="77777777" w:rsidR="00B543B3" w:rsidRPr="0035519F" w:rsidRDefault="00B543B3" w:rsidP="00304D34">
            <w:pPr>
              <w:spacing w:before="120"/>
              <w:jc w:val="center"/>
              <w:rPr>
                <w:rFonts w:ascii="Arial" w:hAnsi="Arial" w:cs="Arial"/>
                <w:b/>
                <w:lang w:val="fi-FI"/>
              </w:rPr>
            </w:pPr>
            <w:r w:rsidRPr="0035519F">
              <w:rPr>
                <w:rFonts w:ascii="Arial" w:hAnsi="Arial" w:cs="Arial"/>
                <w:b/>
                <w:lang w:val="fi-FI"/>
              </w:rPr>
              <w:t>Tempat</w:t>
            </w:r>
          </w:p>
        </w:tc>
        <w:tc>
          <w:tcPr>
            <w:tcW w:w="1800" w:type="dxa"/>
            <w:tcBorders>
              <w:bottom w:val="nil"/>
            </w:tcBorders>
            <w:vAlign w:val="center"/>
          </w:tcPr>
          <w:p w14:paraId="1CAE5D2F" w14:textId="77777777" w:rsidR="00B543B3" w:rsidRPr="0035519F" w:rsidRDefault="00B543B3" w:rsidP="00304D34">
            <w:pPr>
              <w:spacing w:before="120"/>
              <w:jc w:val="center"/>
              <w:rPr>
                <w:rFonts w:ascii="Arial" w:hAnsi="Arial" w:cs="Arial"/>
                <w:b/>
                <w:lang w:val="fi-FI"/>
              </w:rPr>
            </w:pPr>
            <w:r w:rsidRPr="0035519F">
              <w:rPr>
                <w:rFonts w:ascii="Arial" w:hAnsi="Arial" w:cs="Arial"/>
                <w:b/>
                <w:lang w:val="fi-FI"/>
              </w:rPr>
              <w:t>Periode</w:t>
            </w:r>
          </w:p>
        </w:tc>
      </w:tr>
      <w:tr w:rsidR="00117F69" w:rsidRPr="0035519F" w14:paraId="0CC34360" w14:textId="77777777" w:rsidTr="00B543B3">
        <w:tc>
          <w:tcPr>
            <w:tcW w:w="647" w:type="dxa"/>
            <w:tcBorders>
              <w:top w:val="nil"/>
            </w:tcBorders>
            <w:shd w:val="clear" w:color="auto" w:fill="auto"/>
            <w:vAlign w:val="center"/>
          </w:tcPr>
          <w:p w14:paraId="02A7772C" w14:textId="77777777" w:rsidR="00B543B3" w:rsidRPr="0035519F" w:rsidRDefault="00B543B3" w:rsidP="00304D34">
            <w:pPr>
              <w:jc w:val="center"/>
              <w:rPr>
                <w:rFonts w:ascii="Arial" w:hAnsi="Arial" w:cs="Arial"/>
                <w:lang w:val="fi-FI"/>
              </w:rPr>
            </w:pPr>
          </w:p>
        </w:tc>
        <w:tc>
          <w:tcPr>
            <w:tcW w:w="1076" w:type="dxa"/>
            <w:tcBorders>
              <w:top w:val="nil"/>
            </w:tcBorders>
            <w:shd w:val="clear" w:color="auto" w:fill="auto"/>
            <w:vAlign w:val="center"/>
          </w:tcPr>
          <w:p w14:paraId="6D9395E5" w14:textId="77777777" w:rsidR="00B543B3" w:rsidRPr="0035519F" w:rsidRDefault="00B543B3" w:rsidP="00304D34">
            <w:pPr>
              <w:jc w:val="center"/>
              <w:rPr>
                <w:rFonts w:ascii="Arial" w:hAnsi="Arial" w:cs="Arial"/>
                <w:lang w:val="fi-FI"/>
              </w:rPr>
            </w:pPr>
          </w:p>
        </w:tc>
        <w:tc>
          <w:tcPr>
            <w:tcW w:w="2391" w:type="dxa"/>
            <w:tcBorders>
              <w:top w:val="nil"/>
            </w:tcBorders>
            <w:shd w:val="clear" w:color="auto" w:fill="auto"/>
            <w:vAlign w:val="center"/>
          </w:tcPr>
          <w:p w14:paraId="51EA53E6" w14:textId="77777777" w:rsidR="00B543B3" w:rsidRPr="0035519F" w:rsidRDefault="00B543B3" w:rsidP="00304D34">
            <w:pPr>
              <w:jc w:val="center"/>
              <w:rPr>
                <w:rFonts w:ascii="Arial" w:hAnsi="Arial" w:cs="Arial"/>
                <w:lang w:val="fi-FI"/>
              </w:rPr>
            </w:pPr>
          </w:p>
        </w:tc>
        <w:tc>
          <w:tcPr>
            <w:tcW w:w="1944" w:type="dxa"/>
            <w:tcBorders>
              <w:top w:val="nil"/>
            </w:tcBorders>
            <w:vAlign w:val="center"/>
          </w:tcPr>
          <w:p w14:paraId="25A18A14" w14:textId="77777777" w:rsidR="00B543B3" w:rsidRPr="0035519F" w:rsidRDefault="00B543B3" w:rsidP="00304D34">
            <w:pPr>
              <w:jc w:val="center"/>
              <w:rPr>
                <w:rFonts w:ascii="Arial" w:hAnsi="Arial" w:cs="Arial"/>
                <w:lang w:val="fi-FI"/>
              </w:rPr>
            </w:pPr>
          </w:p>
        </w:tc>
        <w:tc>
          <w:tcPr>
            <w:tcW w:w="1800" w:type="dxa"/>
            <w:tcBorders>
              <w:top w:val="nil"/>
            </w:tcBorders>
            <w:vAlign w:val="center"/>
          </w:tcPr>
          <w:p w14:paraId="413AEDD8" w14:textId="77777777" w:rsidR="00B543B3" w:rsidRPr="0035519F" w:rsidRDefault="00B543B3" w:rsidP="00304D34">
            <w:pPr>
              <w:jc w:val="center"/>
              <w:rPr>
                <w:rFonts w:ascii="Arial" w:hAnsi="Arial" w:cs="Arial"/>
                <w:lang w:val="fi-FI"/>
              </w:rPr>
            </w:pPr>
          </w:p>
        </w:tc>
      </w:tr>
      <w:tr w:rsidR="00117F69" w:rsidRPr="0035519F" w14:paraId="61ED9A9B" w14:textId="77777777" w:rsidTr="00B543B3">
        <w:tc>
          <w:tcPr>
            <w:tcW w:w="647" w:type="dxa"/>
            <w:shd w:val="clear" w:color="auto" w:fill="auto"/>
            <w:vAlign w:val="center"/>
          </w:tcPr>
          <w:p w14:paraId="39FC6D6D" w14:textId="77777777" w:rsidR="00B543B3" w:rsidRPr="0035519F" w:rsidRDefault="00B543B3" w:rsidP="00304D34">
            <w:pPr>
              <w:jc w:val="center"/>
              <w:rPr>
                <w:rFonts w:ascii="Arial" w:hAnsi="Arial" w:cs="Arial"/>
                <w:lang w:val="fi-FI"/>
              </w:rPr>
            </w:pPr>
            <w:r w:rsidRPr="0035519F">
              <w:rPr>
                <w:rFonts w:ascii="Arial" w:hAnsi="Arial" w:cs="Arial"/>
                <w:lang w:val="fi-FI"/>
              </w:rPr>
              <w:t>1.</w:t>
            </w:r>
          </w:p>
        </w:tc>
        <w:tc>
          <w:tcPr>
            <w:tcW w:w="1076" w:type="dxa"/>
            <w:shd w:val="clear" w:color="auto" w:fill="auto"/>
            <w:vAlign w:val="center"/>
          </w:tcPr>
          <w:p w14:paraId="23FEC73D" w14:textId="77777777" w:rsidR="00B543B3" w:rsidRPr="0035519F" w:rsidRDefault="00B543B3" w:rsidP="00304D34">
            <w:pPr>
              <w:jc w:val="center"/>
              <w:rPr>
                <w:rFonts w:ascii="Arial" w:hAnsi="Arial" w:cs="Arial"/>
                <w:lang w:val="fi-FI"/>
              </w:rPr>
            </w:pPr>
            <w:r w:rsidRPr="0035519F">
              <w:rPr>
                <w:rFonts w:ascii="Arial" w:hAnsi="Arial" w:cs="Arial"/>
                <w:lang w:val="fi-FI"/>
              </w:rPr>
              <w:t>Dokter Umum</w:t>
            </w:r>
          </w:p>
        </w:tc>
        <w:tc>
          <w:tcPr>
            <w:tcW w:w="2391" w:type="dxa"/>
            <w:shd w:val="clear" w:color="auto" w:fill="auto"/>
            <w:vAlign w:val="center"/>
          </w:tcPr>
          <w:p w14:paraId="002E446F" w14:textId="77777777" w:rsidR="00B543B3" w:rsidRPr="0035519F" w:rsidRDefault="00B543B3" w:rsidP="00304D34">
            <w:pPr>
              <w:jc w:val="center"/>
              <w:rPr>
                <w:rFonts w:ascii="Arial" w:hAnsi="Arial" w:cs="Arial"/>
                <w:lang w:val="fi-FI"/>
              </w:rPr>
            </w:pPr>
            <w:r w:rsidRPr="0035519F">
              <w:rPr>
                <w:rFonts w:ascii="Arial" w:hAnsi="Arial" w:cs="Arial"/>
                <w:lang w:val="fi-FI"/>
              </w:rPr>
              <w:t>RS Mutiara</w:t>
            </w:r>
          </w:p>
        </w:tc>
        <w:tc>
          <w:tcPr>
            <w:tcW w:w="1944" w:type="dxa"/>
            <w:vAlign w:val="center"/>
          </w:tcPr>
          <w:p w14:paraId="0A03FE90" w14:textId="77777777" w:rsidR="00B543B3" w:rsidRPr="0035519F" w:rsidRDefault="00B543B3" w:rsidP="00304D34">
            <w:pPr>
              <w:jc w:val="center"/>
              <w:rPr>
                <w:rFonts w:ascii="Arial" w:hAnsi="Arial" w:cs="Arial"/>
                <w:lang w:val="fi-FI"/>
              </w:rPr>
            </w:pPr>
            <w:r w:rsidRPr="0035519F">
              <w:rPr>
                <w:rFonts w:ascii="Arial" w:hAnsi="Arial" w:cs="Arial"/>
                <w:lang w:val="fi-FI"/>
              </w:rPr>
              <w:t>Kota Sorong, Papua Barat</w:t>
            </w:r>
          </w:p>
        </w:tc>
        <w:tc>
          <w:tcPr>
            <w:tcW w:w="1800" w:type="dxa"/>
            <w:vAlign w:val="center"/>
          </w:tcPr>
          <w:p w14:paraId="5649A28B" w14:textId="77777777" w:rsidR="00B543B3" w:rsidRPr="0035519F" w:rsidRDefault="00B543B3" w:rsidP="00304D34">
            <w:pPr>
              <w:jc w:val="center"/>
              <w:rPr>
                <w:rFonts w:ascii="Arial" w:hAnsi="Arial" w:cs="Arial"/>
                <w:lang w:val="fi-FI"/>
              </w:rPr>
            </w:pPr>
            <w:r w:rsidRPr="0035519F">
              <w:rPr>
                <w:rFonts w:ascii="Arial" w:hAnsi="Arial" w:cs="Arial"/>
                <w:lang w:val="fi-FI"/>
              </w:rPr>
              <w:t>2010-2011</w:t>
            </w:r>
          </w:p>
        </w:tc>
      </w:tr>
      <w:tr w:rsidR="00B543B3" w:rsidRPr="00117F69" w14:paraId="2003BD6D" w14:textId="77777777" w:rsidTr="00B543B3">
        <w:tc>
          <w:tcPr>
            <w:tcW w:w="647" w:type="dxa"/>
            <w:shd w:val="clear" w:color="auto" w:fill="auto"/>
            <w:vAlign w:val="center"/>
          </w:tcPr>
          <w:p w14:paraId="73512158" w14:textId="77777777" w:rsidR="00B543B3" w:rsidRPr="0035519F" w:rsidRDefault="00B543B3" w:rsidP="00304D34">
            <w:pPr>
              <w:jc w:val="center"/>
              <w:rPr>
                <w:rFonts w:ascii="Arial" w:hAnsi="Arial" w:cs="Arial"/>
                <w:lang w:val="fi-FI"/>
              </w:rPr>
            </w:pPr>
            <w:r w:rsidRPr="0035519F">
              <w:rPr>
                <w:rFonts w:ascii="Arial" w:hAnsi="Arial" w:cs="Arial"/>
                <w:lang w:val="fi-FI"/>
              </w:rPr>
              <w:lastRenderedPageBreak/>
              <w:t>2.</w:t>
            </w:r>
          </w:p>
        </w:tc>
        <w:tc>
          <w:tcPr>
            <w:tcW w:w="1076" w:type="dxa"/>
            <w:shd w:val="clear" w:color="auto" w:fill="auto"/>
            <w:vAlign w:val="center"/>
          </w:tcPr>
          <w:p w14:paraId="0A792289" w14:textId="77777777" w:rsidR="00B543B3" w:rsidRPr="0035519F" w:rsidRDefault="00B543B3" w:rsidP="00304D34">
            <w:pPr>
              <w:jc w:val="center"/>
              <w:rPr>
                <w:rFonts w:ascii="Arial" w:hAnsi="Arial" w:cs="Arial"/>
                <w:lang w:val="fi-FI"/>
              </w:rPr>
            </w:pPr>
            <w:r w:rsidRPr="0035519F">
              <w:rPr>
                <w:rFonts w:ascii="Arial" w:hAnsi="Arial" w:cs="Arial"/>
                <w:lang w:val="fi-FI"/>
              </w:rPr>
              <w:t>Dokter Umum</w:t>
            </w:r>
          </w:p>
        </w:tc>
        <w:tc>
          <w:tcPr>
            <w:tcW w:w="2391" w:type="dxa"/>
            <w:shd w:val="clear" w:color="auto" w:fill="auto"/>
            <w:vAlign w:val="center"/>
          </w:tcPr>
          <w:p w14:paraId="642E9518" w14:textId="77777777" w:rsidR="00B543B3" w:rsidRPr="0035519F" w:rsidRDefault="00B543B3" w:rsidP="00304D34">
            <w:pPr>
              <w:jc w:val="center"/>
              <w:rPr>
                <w:rFonts w:ascii="Arial" w:hAnsi="Arial" w:cs="Arial"/>
                <w:lang w:val="fi-FI"/>
              </w:rPr>
            </w:pPr>
            <w:r w:rsidRPr="0035519F">
              <w:rPr>
                <w:rFonts w:ascii="Arial" w:hAnsi="Arial" w:cs="Arial"/>
                <w:lang w:val="fi-FI"/>
              </w:rPr>
              <w:t>Puskesmas Lero – Puskesmas Salo</w:t>
            </w:r>
          </w:p>
        </w:tc>
        <w:tc>
          <w:tcPr>
            <w:tcW w:w="1944" w:type="dxa"/>
            <w:vAlign w:val="center"/>
          </w:tcPr>
          <w:p w14:paraId="6A1AA3D1" w14:textId="77777777" w:rsidR="00B543B3" w:rsidRPr="0035519F" w:rsidRDefault="00B543B3" w:rsidP="00304D34">
            <w:pPr>
              <w:jc w:val="center"/>
              <w:rPr>
                <w:rFonts w:ascii="Arial" w:hAnsi="Arial" w:cs="Arial"/>
                <w:lang w:val="fi-FI"/>
              </w:rPr>
            </w:pPr>
            <w:r w:rsidRPr="0035519F">
              <w:rPr>
                <w:rFonts w:ascii="Arial" w:hAnsi="Arial" w:cs="Arial"/>
                <w:lang w:val="fi-FI"/>
              </w:rPr>
              <w:t>Kabupaten Pinrang, Sulawesi Selatan</w:t>
            </w:r>
          </w:p>
        </w:tc>
        <w:tc>
          <w:tcPr>
            <w:tcW w:w="1800" w:type="dxa"/>
            <w:vAlign w:val="center"/>
          </w:tcPr>
          <w:p w14:paraId="1B0B6A8F" w14:textId="77777777" w:rsidR="00B543B3" w:rsidRPr="00117F69" w:rsidRDefault="00B543B3" w:rsidP="00304D34">
            <w:pPr>
              <w:jc w:val="center"/>
              <w:rPr>
                <w:rFonts w:ascii="Arial" w:hAnsi="Arial" w:cs="Arial"/>
                <w:lang w:val="fi-FI"/>
              </w:rPr>
            </w:pPr>
            <w:r w:rsidRPr="0035519F">
              <w:rPr>
                <w:rFonts w:ascii="Arial" w:hAnsi="Arial" w:cs="Arial"/>
                <w:lang w:val="fi-FI"/>
              </w:rPr>
              <w:t>2011-2018</w:t>
            </w:r>
          </w:p>
        </w:tc>
      </w:tr>
    </w:tbl>
    <w:p w14:paraId="4A86D165" w14:textId="77777777" w:rsidR="00B543B3" w:rsidRPr="00117F69" w:rsidRDefault="00B543B3" w:rsidP="00304D34">
      <w:pPr>
        <w:pStyle w:val="ListParagraph"/>
        <w:spacing w:line="240" w:lineRule="auto"/>
        <w:ind w:left="1080" w:right="18" w:hanging="1080"/>
        <w:jc w:val="both"/>
        <w:rPr>
          <w:rFonts w:ascii="Arial" w:hAnsi="Arial" w:cs="Arial"/>
          <w:b/>
          <w:sz w:val="24"/>
          <w:szCs w:val="24"/>
          <w:lang w:val="id-ID"/>
        </w:rPr>
      </w:pPr>
    </w:p>
    <w:sectPr w:rsidR="00B543B3" w:rsidRPr="00117F69" w:rsidSect="000A3BC5">
      <w:pgSz w:w="11910" w:h="16840"/>
      <w:pgMar w:top="2268" w:right="1701" w:bottom="1701" w:left="226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9FE8E" w14:textId="77777777" w:rsidR="00BD6E9E" w:rsidRDefault="00BD6E9E">
      <w:pPr>
        <w:spacing w:after="0" w:line="240" w:lineRule="auto"/>
      </w:pPr>
      <w:r>
        <w:separator/>
      </w:r>
    </w:p>
  </w:endnote>
  <w:endnote w:type="continuationSeparator" w:id="0">
    <w:p w14:paraId="07BAE41F" w14:textId="77777777" w:rsidR="00BD6E9E" w:rsidRDefault="00BD6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notTrueType/>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551697"/>
      <w:docPartObj>
        <w:docPartGallery w:val="Page Numbers (Bottom of Page)"/>
        <w:docPartUnique/>
      </w:docPartObj>
    </w:sdtPr>
    <w:sdtEndPr>
      <w:rPr>
        <w:noProof/>
      </w:rPr>
    </w:sdtEndPr>
    <w:sdtContent>
      <w:p w14:paraId="57420685" w14:textId="71E87452" w:rsidR="00CE38BD" w:rsidRDefault="00CE38BD">
        <w:pPr>
          <w:pStyle w:val="Footer"/>
          <w:jc w:val="right"/>
        </w:pPr>
        <w:r>
          <w:fldChar w:fldCharType="begin"/>
        </w:r>
        <w:r>
          <w:instrText xml:space="preserve"> PAGE   \* MERGEFORMAT </w:instrText>
        </w:r>
        <w:r>
          <w:fldChar w:fldCharType="separate"/>
        </w:r>
        <w:r w:rsidR="005B4074">
          <w:rPr>
            <w:noProof/>
          </w:rPr>
          <w:t>xiii</w:t>
        </w:r>
        <w:r>
          <w:rPr>
            <w:noProof/>
          </w:rPr>
          <w:fldChar w:fldCharType="end"/>
        </w:r>
      </w:p>
    </w:sdtContent>
  </w:sdt>
  <w:p w14:paraId="1B0108D1" w14:textId="77777777" w:rsidR="00CE38BD" w:rsidRDefault="00CE3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3C1DE" w14:textId="77777777" w:rsidR="00BD6E9E" w:rsidRDefault="00BD6E9E">
      <w:pPr>
        <w:spacing w:after="0" w:line="240" w:lineRule="auto"/>
      </w:pPr>
      <w:r>
        <w:separator/>
      </w:r>
    </w:p>
  </w:footnote>
  <w:footnote w:type="continuationSeparator" w:id="0">
    <w:p w14:paraId="23D78818" w14:textId="77777777" w:rsidR="00BD6E9E" w:rsidRDefault="00BD6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42B70"/>
    <w:multiLevelType w:val="hybridMultilevel"/>
    <w:tmpl w:val="672EC126"/>
    <w:lvl w:ilvl="0" w:tplc="767C08EC">
      <w:start w:val="1"/>
      <w:numFmt w:val="decimal"/>
      <w:lvlText w:val="%1."/>
      <w:lvlJc w:val="left"/>
      <w:pPr>
        <w:ind w:left="1513" w:hanging="285"/>
      </w:pPr>
      <w:rPr>
        <w:rFonts w:ascii="Arial" w:eastAsia="Arial" w:hAnsi="Arial" w:cs="Arial" w:hint="default"/>
        <w:spacing w:val="-2"/>
        <w:w w:val="100"/>
        <w:sz w:val="24"/>
        <w:szCs w:val="24"/>
        <w:lang w:val="id" w:eastAsia="en-US" w:bidi="ar-SA"/>
      </w:rPr>
    </w:lvl>
    <w:lvl w:ilvl="1" w:tplc="8A4AC9F8">
      <w:start w:val="1"/>
      <w:numFmt w:val="lowerLetter"/>
      <w:lvlText w:val="%2."/>
      <w:lvlJc w:val="left"/>
      <w:pPr>
        <w:ind w:left="1797" w:hanging="284"/>
      </w:pPr>
      <w:rPr>
        <w:rFonts w:ascii="Arial" w:eastAsia="Arial" w:hAnsi="Arial" w:cs="Arial" w:hint="default"/>
        <w:spacing w:val="-2"/>
        <w:w w:val="100"/>
        <w:sz w:val="24"/>
        <w:szCs w:val="24"/>
        <w:lang w:val="id" w:eastAsia="en-US" w:bidi="ar-SA"/>
      </w:rPr>
    </w:lvl>
    <w:lvl w:ilvl="2" w:tplc="D652C442">
      <w:start w:val="1"/>
      <w:numFmt w:val="upperLetter"/>
      <w:lvlText w:val="%3."/>
      <w:lvlJc w:val="left"/>
      <w:pPr>
        <w:ind w:left="4309" w:hanging="360"/>
        <w:jc w:val="right"/>
      </w:pPr>
      <w:rPr>
        <w:rFonts w:ascii="Arial" w:eastAsia="Arial" w:hAnsi="Arial" w:cs="Arial" w:hint="default"/>
        <w:b/>
        <w:bCs/>
        <w:spacing w:val="-13"/>
        <w:w w:val="99"/>
        <w:sz w:val="24"/>
        <w:szCs w:val="24"/>
        <w:lang w:val="id" w:eastAsia="en-US" w:bidi="ar-SA"/>
      </w:rPr>
    </w:lvl>
    <w:lvl w:ilvl="3" w:tplc="9544D3FA">
      <w:numFmt w:val="bullet"/>
      <w:lvlText w:val="•"/>
      <w:lvlJc w:val="left"/>
      <w:pPr>
        <w:ind w:left="5091" w:hanging="360"/>
      </w:pPr>
      <w:rPr>
        <w:rFonts w:hint="default"/>
        <w:lang w:val="id" w:eastAsia="en-US" w:bidi="ar-SA"/>
      </w:rPr>
    </w:lvl>
    <w:lvl w:ilvl="4" w:tplc="AA9A725A">
      <w:numFmt w:val="bullet"/>
      <w:lvlText w:val="•"/>
      <w:lvlJc w:val="left"/>
      <w:pPr>
        <w:ind w:left="5882" w:hanging="360"/>
      </w:pPr>
      <w:rPr>
        <w:rFonts w:hint="default"/>
        <w:lang w:val="id" w:eastAsia="en-US" w:bidi="ar-SA"/>
      </w:rPr>
    </w:lvl>
    <w:lvl w:ilvl="5" w:tplc="4E28AE98">
      <w:numFmt w:val="bullet"/>
      <w:lvlText w:val="•"/>
      <w:lvlJc w:val="left"/>
      <w:pPr>
        <w:ind w:left="6673" w:hanging="360"/>
      </w:pPr>
      <w:rPr>
        <w:rFonts w:hint="default"/>
        <w:lang w:val="id" w:eastAsia="en-US" w:bidi="ar-SA"/>
      </w:rPr>
    </w:lvl>
    <w:lvl w:ilvl="6" w:tplc="7D628D3E">
      <w:numFmt w:val="bullet"/>
      <w:lvlText w:val="•"/>
      <w:lvlJc w:val="left"/>
      <w:pPr>
        <w:ind w:left="7464" w:hanging="360"/>
      </w:pPr>
      <w:rPr>
        <w:rFonts w:hint="default"/>
        <w:lang w:val="id" w:eastAsia="en-US" w:bidi="ar-SA"/>
      </w:rPr>
    </w:lvl>
    <w:lvl w:ilvl="7" w:tplc="2E420B46">
      <w:numFmt w:val="bullet"/>
      <w:lvlText w:val="•"/>
      <w:lvlJc w:val="left"/>
      <w:pPr>
        <w:ind w:left="8255" w:hanging="360"/>
      </w:pPr>
      <w:rPr>
        <w:rFonts w:hint="default"/>
        <w:lang w:val="id" w:eastAsia="en-US" w:bidi="ar-SA"/>
      </w:rPr>
    </w:lvl>
    <w:lvl w:ilvl="8" w:tplc="D0FE315C">
      <w:numFmt w:val="bullet"/>
      <w:lvlText w:val="•"/>
      <w:lvlJc w:val="left"/>
      <w:pPr>
        <w:ind w:left="9046" w:hanging="360"/>
      </w:pPr>
      <w:rPr>
        <w:rFonts w:hint="default"/>
        <w:lang w:val="id" w:eastAsia="en-US" w:bidi="ar-SA"/>
      </w:rPr>
    </w:lvl>
  </w:abstractNum>
  <w:abstractNum w:abstractNumId="1" w15:restartNumberingAfterBreak="0">
    <w:nsid w:val="09982DE2"/>
    <w:multiLevelType w:val="hybridMultilevel"/>
    <w:tmpl w:val="EB163A1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AED689B"/>
    <w:multiLevelType w:val="hybridMultilevel"/>
    <w:tmpl w:val="8CC84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162E5"/>
    <w:multiLevelType w:val="hybridMultilevel"/>
    <w:tmpl w:val="CFACA4AA"/>
    <w:lvl w:ilvl="0" w:tplc="75C45D9E">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0F4D392B"/>
    <w:multiLevelType w:val="hybridMultilevel"/>
    <w:tmpl w:val="B01C9E1E"/>
    <w:lvl w:ilvl="0" w:tplc="CD6A091E">
      <w:start w:val="1"/>
      <w:numFmt w:val="lowerLetter"/>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C2FCA"/>
    <w:multiLevelType w:val="hybridMultilevel"/>
    <w:tmpl w:val="25D0FDDA"/>
    <w:lvl w:ilvl="0" w:tplc="DB62D2B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8B55DE"/>
    <w:multiLevelType w:val="hybridMultilevel"/>
    <w:tmpl w:val="D1AE8A48"/>
    <w:lvl w:ilvl="0" w:tplc="FBFC8040">
      <w:numFmt w:val="bullet"/>
      <w:lvlText w:val="-"/>
      <w:lvlJc w:val="left"/>
      <w:pPr>
        <w:ind w:left="720" w:hanging="360"/>
      </w:pPr>
      <w:rPr>
        <w:rFonts w:ascii="Arial" w:eastAsia="Arial" w:hAnsi="Arial" w:cs="Arial" w:hint="default"/>
        <w:spacing w:val="-4"/>
        <w:w w:val="99"/>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27F22"/>
    <w:multiLevelType w:val="hybridMultilevel"/>
    <w:tmpl w:val="3DA8D8D4"/>
    <w:lvl w:ilvl="0" w:tplc="91BA0030">
      <w:start w:val="1"/>
      <w:numFmt w:val="decimal"/>
      <w:lvlText w:val="%1)"/>
      <w:lvlJc w:val="left"/>
      <w:pPr>
        <w:ind w:left="2645" w:hanging="425"/>
      </w:pPr>
      <w:rPr>
        <w:rFonts w:ascii="Arial" w:eastAsia="Arial" w:hAnsi="Arial" w:cs="Arial" w:hint="default"/>
        <w:w w:val="99"/>
        <w:sz w:val="24"/>
        <w:szCs w:val="24"/>
        <w:lang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4071618"/>
    <w:multiLevelType w:val="hybridMultilevel"/>
    <w:tmpl w:val="A0D6C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790130"/>
    <w:multiLevelType w:val="hybridMultilevel"/>
    <w:tmpl w:val="593CC4FA"/>
    <w:lvl w:ilvl="0" w:tplc="FBFC8040">
      <w:numFmt w:val="bullet"/>
      <w:lvlText w:val="-"/>
      <w:lvlJc w:val="left"/>
      <w:pPr>
        <w:ind w:left="720" w:hanging="360"/>
      </w:pPr>
      <w:rPr>
        <w:rFonts w:ascii="Arial" w:eastAsia="Arial" w:hAnsi="Arial" w:cs="Arial" w:hint="default"/>
        <w:spacing w:val="-4"/>
        <w:w w:val="99"/>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7D743B"/>
    <w:multiLevelType w:val="hybridMultilevel"/>
    <w:tmpl w:val="BEBA666C"/>
    <w:lvl w:ilvl="0" w:tplc="CC7E9660">
      <w:start w:val="1"/>
      <w:numFmt w:val="decimal"/>
      <w:lvlText w:val="%1."/>
      <w:lvlJc w:val="left"/>
      <w:pPr>
        <w:ind w:left="1795" w:hanging="428"/>
      </w:pPr>
      <w:rPr>
        <w:b/>
        <w:bCs/>
        <w:w w:val="100"/>
        <w:lang w:eastAsia="en-US" w:bidi="ar-SA"/>
      </w:rPr>
    </w:lvl>
    <w:lvl w:ilvl="1" w:tplc="60E25BDE">
      <w:start w:val="1"/>
      <w:numFmt w:val="lowerLetter"/>
      <w:lvlText w:val="%2."/>
      <w:lvlJc w:val="left"/>
      <w:pPr>
        <w:ind w:left="2220" w:hanging="425"/>
      </w:pPr>
      <w:rPr>
        <w:rFonts w:ascii="Arial" w:eastAsia="Arial" w:hAnsi="Arial" w:cs="Arial" w:hint="default"/>
        <w:w w:val="100"/>
        <w:sz w:val="24"/>
        <w:szCs w:val="24"/>
        <w:lang w:eastAsia="en-US" w:bidi="ar-SA"/>
      </w:rPr>
    </w:lvl>
    <w:lvl w:ilvl="2" w:tplc="C2863FD0">
      <w:numFmt w:val="bullet"/>
      <w:lvlText w:val="•"/>
      <w:lvlJc w:val="left"/>
      <w:pPr>
        <w:ind w:left="3049" w:hanging="425"/>
      </w:pPr>
      <w:rPr>
        <w:lang w:eastAsia="en-US" w:bidi="ar-SA"/>
      </w:rPr>
    </w:lvl>
    <w:lvl w:ilvl="3" w:tplc="9DD2FB1E">
      <w:numFmt w:val="bullet"/>
      <w:lvlText w:val="•"/>
      <w:lvlJc w:val="left"/>
      <w:pPr>
        <w:ind w:left="3879" w:hanging="425"/>
      </w:pPr>
      <w:rPr>
        <w:lang w:eastAsia="en-US" w:bidi="ar-SA"/>
      </w:rPr>
    </w:lvl>
    <w:lvl w:ilvl="4" w:tplc="7632C5B6">
      <w:numFmt w:val="bullet"/>
      <w:lvlText w:val="•"/>
      <w:lvlJc w:val="left"/>
      <w:pPr>
        <w:ind w:left="4708" w:hanging="425"/>
      </w:pPr>
      <w:rPr>
        <w:lang w:eastAsia="en-US" w:bidi="ar-SA"/>
      </w:rPr>
    </w:lvl>
    <w:lvl w:ilvl="5" w:tplc="82A68D2A">
      <w:numFmt w:val="bullet"/>
      <w:lvlText w:val="•"/>
      <w:lvlJc w:val="left"/>
      <w:pPr>
        <w:ind w:left="5538" w:hanging="425"/>
      </w:pPr>
      <w:rPr>
        <w:lang w:eastAsia="en-US" w:bidi="ar-SA"/>
      </w:rPr>
    </w:lvl>
    <w:lvl w:ilvl="6" w:tplc="0220C9C0">
      <w:numFmt w:val="bullet"/>
      <w:lvlText w:val="•"/>
      <w:lvlJc w:val="left"/>
      <w:pPr>
        <w:ind w:left="6368" w:hanging="425"/>
      </w:pPr>
      <w:rPr>
        <w:lang w:eastAsia="en-US" w:bidi="ar-SA"/>
      </w:rPr>
    </w:lvl>
    <w:lvl w:ilvl="7" w:tplc="5B54FB84">
      <w:numFmt w:val="bullet"/>
      <w:lvlText w:val="•"/>
      <w:lvlJc w:val="left"/>
      <w:pPr>
        <w:ind w:left="7197" w:hanging="425"/>
      </w:pPr>
      <w:rPr>
        <w:lang w:eastAsia="en-US" w:bidi="ar-SA"/>
      </w:rPr>
    </w:lvl>
    <w:lvl w:ilvl="8" w:tplc="B8284F5C">
      <w:numFmt w:val="bullet"/>
      <w:lvlText w:val="•"/>
      <w:lvlJc w:val="left"/>
      <w:pPr>
        <w:ind w:left="8027" w:hanging="425"/>
      </w:pPr>
      <w:rPr>
        <w:lang w:eastAsia="en-US" w:bidi="ar-SA"/>
      </w:rPr>
    </w:lvl>
  </w:abstractNum>
  <w:abstractNum w:abstractNumId="11" w15:restartNumberingAfterBreak="0">
    <w:nsid w:val="198943E4"/>
    <w:multiLevelType w:val="hybridMultilevel"/>
    <w:tmpl w:val="896A5054"/>
    <w:lvl w:ilvl="0" w:tplc="FBFC8040">
      <w:numFmt w:val="bullet"/>
      <w:lvlText w:val="-"/>
      <w:lvlJc w:val="left"/>
      <w:pPr>
        <w:ind w:left="333" w:hanging="284"/>
      </w:pPr>
      <w:rPr>
        <w:rFonts w:ascii="Arial" w:eastAsia="Arial" w:hAnsi="Arial" w:cs="Arial" w:hint="default"/>
        <w:spacing w:val="-4"/>
        <w:w w:val="99"/>
        <w:sz w:val="24"/>
        <w:szCs w:val="24"/>
      </w:rPr>
    </w:lvl>
    <w:lvl w:ilvl="1" w:tplc="A54281FE">
      <w:numFmt w:val="bullet"/>
      <w:lvlText w:val="•"/>
      <w:lvlJc w:val="left"/>
      <w:pPr>
        <w:ind w:left="701" w:hanging="284"/>
      </w:pPr>
    </w:lvl>
    <w:lvl w:ilvl="2" w:tplc="730ACEE4">
      <w:numFmt w:val="bullet"/>
      <w:lvlText w:val="•"/>
      <w:lvlJc w:val="left"/>
      <w:pPr>
        <w:ind w:left="1063" w:hanging="284"/>
      </w:pPr>
    </w:lvl>
    <w:lvl w:ilvl="3" w:tplc="AD1A2F10">
      <w:numFmt w:val="bullet"/>
      <w:lvlText w:val="•"/>
      <w:lvlJc w:val="left"/>
      <w:pPr>
        <w:ind w:left="1424" w:hanging="284"/>
      </w:pPr>
    </w:lvl>
    <w:lvl w:ilvl="4" w:tplc="CCEE64B6">
      <w:numFmt w:val="bullet"/>
      <w:lvlText w:val="•"/>
      <w:lvlJc w:val="left"/>
      <w:pPr>
        <w:ind w:left="1786" w:hanging="284"/>
      </w:pPr>
    </w:lvl>
    <w:lvl w:ilvl="5" w:tplc="2FCC2F26">
      <w:numFmt w:val="bullet"/>
      <w:lvlText w:val="•"/>
      <w:lvlJc w:val="left"/>
      <w:pPr>
        <w:ind w:left="2148" w:hanging="284"/>
      </w:pPr>
    </w:lvl>
    <w:lvl w:ilvl="6" w:tplc="3FCA8C18">
      <w:numFmt w:val="bullet"/>
      <w:lvlText w:val="•"/>
      <w:lvlJc w:val="left"/>
      <w:pPr>
        <w:ind w:left="2509" w:hanging="284"/>
      </w:pPr>
    </w:lvl>
    <w:lvl w:ilvl="7" w:tplc="09A6814C">
      <w:numFmt w:val="bullet"/>
      <w:lvlText w:val="•"/>
      <w:lvlJc w:val="left"/>
      <w:pPr>
        <w:ind w:left="2871" w:hanging="284"/>
      </w:pPr>
    </w:lvl>
    <w:lvl w:ilvl="8" w:tplc="CD5615AA">
      <w:numFmt w:val="bullet"/>
      <w:lvlText w:val="•"/>
      <w:lvlJc w:val="left"/>
      <w:pPr>
        <w:ind w:left="3232" w:hanging="284"/>
      </w:pPr>
    </w:lvl>
  </w:abstractNum>
  <w:abstractNum w:abstractNumId="12" w15:restartNumberingAfterBreak="0">
    <w:nsid w:val="1F095F70"/>
    <w:multiLevelType w:val="hybridMultilevel"/>
    <w:tmpl w:val="8D823A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E3EE0"/>
    <w:multiLevelType w:val="hybridMultilevel"/>
    <w:tmpl w:val="53509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C19F5"/>
    <w:multiLevelType w:val="hybridMultilevel"/>
    <w:tmpl w:val="E0D28AB4"/>
    <w:lvl w:ilvl="0" w:tplc="43AEE4F6">
      <w:start w:val="4"/>
      <w:numFmt w:val="decimal"/>
      <w:lvlText w:val="%1)"/>
      <w:lvlJc w:val="left"/>
      <w:pPr>
        <w:ind w:left="1582" w:hanging="286"/>
      </w:pPr>
      <w:rPr>
        <w:w w:val="99"/>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D0F419D"/>
    <w:multiLevelType w:val="hybridMultilevel"/>
    <w:tmpl w:val="BDB45808"/>
    <w:lvl w:ilvl="0" w:tplc="2D9ACD2A">
      <w:start w:val="3"/>
      <w:numFmt w:val="lowerLetter"/>
      <w:lvlText w:val="%1)"/>
      <w:lvlJc w:val="left"/>
      <w:pPr>
        <w:ind w:left="1865" w:hanging="286"/>
      </w:pPr>
      <w:rPr>
        <w:rFonts w:ascii="Arial" w:eastAsia="Arial" w:hAnsi="Arial" w:cs="Arial" w:hint="default"/>
        <w:w w:val="99"/>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AB43C40"/>
    <w:multiLevelType w:val="hybridMultilevel"/>
    <w:tmpl w:val="61BA8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BD6C48"/>
    <w:multiLevelType w:val="hybridMultilevel"/>
    <w:tmpl w:val="CB8429DC"/>
    <w:lvl w:ilvl="0" w:tplc="FBFC8040">
      <w:numFmt w:val="bullet"/>
      <w:lvlText w:val="-"/>
      <w:lvlJc w:val="left"/>
      <w:pPr>
        <w:ind w:left="720" w:hanging="360"/>
      </w:pPr>
      <w:rPr>
        <w:rFonts w:ascii="Arial" w:eastAsia="Arial" w:hAnsi="Arial" w:cs="Arial" w:hint="default"/>
        <w:spacing w:val="-4"/>
        <w:w w:val="99"/>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A73FBC"/>
    <w:multiLevelType w:val="hybridMultilevel"/>
    <w:tmpl w:val="1E16B1BA"/>
    <w:lvl w:ilvl="0" w:tplc="0409000F">
      <w:start w:val="2"/>
      <w:numFmt w:val="upperLetter"/>
      <w:lvlText w:val="%1."/>
      <w:lvlJc w:val="left"/>
      <w:pPr>
        <w:ind w:left="720" w:hanging="360"/>
      </w:pPr>
      <w:rPr>
        <w:rFonts w:hint="default"/>
        <w:b/>
      </w:rPr>
    </w:lvl>
    <w:lvl w:ilvl="1" w:tplc="F1D889FA"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097CC5"/>
    <w:multiLevelType w:val="hybridMultilevel"/>
    <w:tmpl w:val="D1928D5C"/>
    <w:lvl w:ilvl="0" w:tplc="FBFC8040">
      <w:numFmt w:val="bullet"/>
      <w:lvlText w:val="-"/>
      <w:lvlJc w:val="left"/>
      <w:pPr>
        <w:ind w:left="720" w:hanging="360"/>
      </w:pPr>
      <w:rPr>
        <w:rFonts w:ascii="Arial" w:eastAsia="Arial" w:hAnsi="Arial" w:cs="Arial" w:hint="default"/>
        <w:spacing w:val="-4"/>
        <w:w w:val="99"/>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142952"/>
    <w:multiLevelType w:val="hybridMultilevel"/>
    <w:tmpl w:val="3326AE26"/>
    <w:lvl w:ilvl="0" w:tplc="FA8203D4">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4330399D"/>
    <w:multiLevelType w:val="hybridMultilevel"/>
    <w:tmpl w:val="B84A9B3C"/>
    <w:lvl w:ilvl="0" w:tplc="3D1224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3C35EA"/>
    <w:multiLevelType w:val="hybridMultilevel"/>
    <w:tmpl w:val="4DDAF6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FD28BE"/>
    <w:multiLevelType w:val="hybridMultilevel"/>
    <w:tmpl w:val="826043CE"/>
    <w:lvl w:ilvl="0" w:tplc="523636C6">
      <w:start w:val="1"/>
      <w:numFmt w:val="lowerLetter"/>
      <w:lvlText w:val="%1."/>
      <w:lvlJc w:val="left"/>
      <w:pPr>
        <w:ind w:left="1146" w:hanging="360"/>
      </w:pPr>
      <w:rPr>
        <w:b w:val="0"/>
      </w:rPr>
    </w:lvl>
    <w:lvl w:ilvl="1" w:tplc="04210019">
      <w:start w:val="1"/>
      <w:numFmt w:val="lowerLetter"/>
      <w:lvlText w:val="%2."/>
      <w:lvlJc w:val="left"/>
      <w:pPr>
        <w:ind w:left="1866" w:hanging="360"/>
      </w:pPr>
    </w:lvl>
    <w:lvl w:ilvl="2" w:tplc="0421001B">
      <w:start w:val="1"/>
      <w:numFmt w:val="lowerRoman"/>
      <w:lvlText w:val="%3."/>
      <w:lvlJc w:val="right"/>
      <w:pPr>
        <w:ind w:left="2586" w:hanging="180"/>
      </w:pPr>
    </w:lvl>
    <w:lvl w:ilvl="3" w:tplc="C16032E6">
      <w:start w:val="1"/>
      <w:numFmt w:val="lowerRoman"/>
      <w:lvlText w:val="%4."/>
      <w:lvlJc w:val="left"/>
      <w:pPr>
        <w:ind w:left="3306" w:hanging="360"/>
      </w:pPr>
      <w:rPr>
        <w:rFonts w:ascii="Arial" w:eastAsia="Calibri" w:hAnsi="Arial" w:cs="Arial"/>
        <w:b w:val="0"/>
        <w:i w:val="0"/>
      </w:rPr>
    </w:lvl>
    <w:lvl w:ilvl="4" w:tplc="04210019">
      <w:start w:val="1"/>
      <w:numFmt w:val="lowerLetter"/>
      <w:lvlText w:val="%5."/>
      <w:lvlJc w:val="left"/>
      <w:pPr>
        <w:ind w:left="4026" w:hanging="360"/>
      </w:pPr>
    </w:lvl>
    <w:lvl w:ilvl="5" w:tplc="46E298D4">
      <w:start w:val="1"/>
      <w:numFmt w:val="lowerRoman"/>
      <w:lvlText w:val="%6."/>
      <w:lvlJc w:val="right"/>
      <w:pPr>
        <w:ind w:left="4746" w:hanging="180"/>
      </w:pPr>
      <w:rPr>
        <w:rFonts w:ascii="Arial" w:eastAsia="Calibri" w:hAnsi="Arial" w:cs="Arial"/>
      </w:rPr>
    </w:lvl>
    <w:lvl w:ilvl="6" w:tplc="558404D2">
      <w:start w:val="1"/>
      <w:numFmt w:val="decimal"/>
      <w:lvlText w:val="%7."/>
      <w:lvlJc w:val="left"/>
      <w:pPr>
        <w:ind w:left="5466" w:hanging="360"/>
      </w:pPr>
      <w:rPr>
        <w:b w:val="0"/>
      </w:rPr>
    </w:lvl>
    <w:lvl w:ilvl="7" w:tplc="04210019">
      <w:start w:val="1"/>
      <w:numFmt w:val="lowerLetter"/>
      <w:lvlText w:val="%8."/>
      <w:lvlJc w:val="left"/>
      <w:pPr>
        <w:ind w:left="6186" w:hanging="360"/>
      </w:pPr>
    </w:lvl>
    <w:lvl w:ilvl="8" w:tplc="91A01236">
      <w:start w:val="1"/>
      <w:numFmt w:val="lowerRoman"/>
      <w:lvlText w:val="%9."/>
      <w:lvlJc w:val="right"/>
      <w:pPr>
        <w:ind w:left="6906" w:hanging="180"/>
      </w:pPr>
      <w:rPr>
        <w:b w:val="0"/>
      </w:rPr>
    </w:lvl>
  </w:abstractNum>
  <w:abstractNum w:abstractNumId="24" w15:restartNumberingAfterBreak="0">
    <w:nsid w:val="4E2E07BE"/>
    <w:multiLevelType w:val="hybridMultilevel"/>
    <w:tmpl w:val="96420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A641D6"/>
    <w:multiLevelType w:val="hybridMultilevel"/>
    <w:tmpl w:val="11A2EA7E"/>
    <w:lvl w:ilvl="0" w:tplc="04E4E24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921E15"/>
    <w:multiLevelType w:val="hybridMultilevel"/>
    <w:tmpl w:val="DFD484FA"/>
    <w:lvl w:ilvl="0" w:tplc="20502934">
      <w:start w:val="1"/>
      <w:numFmt w:val="decimal"/>
      <w:lvlText w:val="%1."/>
      <w:lvlJc w:val="left"/>
      <w:pPr>
        <w:ind w:left="1015" w:hanging="428"/>
      </w:pPr>
      <w:rPr>
        <w:rFonts w:ascii="Arial" w:eastAsia="Arial" w:hAnsi="Arial" w:cs="Arial" w:hint="default"/>
        <w:b/>
        <w:bCs/>
        <w:spacing w:val="-2"/>
        <w:w w:val="99"/>
        <w:sz w:val="24"/>
        <w:szCs w:val="24"/>
      </w:rPr>
    </w:lvl>
    <w:lvl w:ilvl="1" w:tplc="FE5E1C92">
      <w:start w:val="1"/>
      <w:numFmt w:val="lowerLetter"/>
      <w:lvlText w:val="%2."/>
      <w:lvlJc w:val="left"/>
      <w:pPr>
        <w:ind w:left="1296" w:hanging="281"/>
      </w:pPr>
      <w:rPr>
        <w:w w:val="100"/>
      </w:rPr>
    </w:lvl>
    <w:lvl w:ilvl="2" w:tplc="74B0EA12">
      <w:start w:val="1"/>
      <w:numFmt w:val="decimal"/>
      <w:lvlText w:val="%3)"/>
      <w:lvlJc w:val="left"/>
      <w:pPr>
        <w:ind w:left="1582" w:hanging="286"/>
      </w:pPr>
      <w:rPr>
        <w:w w:val="99"/>
      </w:rPr>
    </w:lvl>
    <w:lvl w:ilvl="3" w:tplc="CADC0988">
      <w:start w:val="1"/>
      <w:numFmt w:val="lowerLetter"/>
      <w:lvlText w:val="%4)"/>
      <w:lvlJc w:val="left"/>
      <w:pPr>
        <w:ind w:left="1865" w:hanging="286"/>
      </w:pPr>
      <w:rPr>
        <w:rFonts w:ascii="Arial" w:eastAsia="Arial" w:hAnsi="Arial" w:cs="Arial" w:hint="default"/>
        <w:w w:val="99"/>
        <w:sz w:val="24"/>
        <w:szCs w:val="24"/>
      </w:rPr>
    </w:lvl>
    <w:lvl w:ilvl="4" w:tplc="E4981AB0">
      <w:start w:val="1"/>
      <w:numFmt w:val="decimal"/>
      <w:lvlText w:val="%5."/>
      <w:lvlJc w:val="left"/>
      <w:pPr>
        <w:ind w:left="2149" w:hanging="286"/>
      </w:pPr>
      <w:rPr>
        <w:rFonts w:ascii="Arial" w:eastAsia="Arial" w:hAnsi="Arial" w:cs="Arial" w:hint="default"/>
        <w:w w:val="99"/>
        <w:sz w:val="24"/>
        <w:szCs w:val="24"/>
      </w:rPr>
    </w:lvl>
    <w:lvl w:ilvl="5" w:tplc="4A70F79A">
      <w:numFmt w:val="bullet"/>
      <w:lvlText w:val="•"/>
      <w:lvlJc w:val="left"/>
      <w:pPr>
        <w:ind w:left="3341" w:hanging="286"/>
      </w:pPr>
    </w:lvl>
    <w:lvl w:ilvl="6" w:tplc="6DCC85A8">
      <w:numFmt w:val="bullet"/>
      <w:lvlText w:val="•"/>
      <w:lvlJc w:val="left"/>
      <w:pPr>
        <w:ind w:left="4542" w:hanging="286"/>
      </w:pPr>
    </w:lvl>
    <w:lvl w:ilvl="7" w:tplc="F906E170">
      <w:numFmt w:val="bullet"/>
      <w:lvlText w:val="•"/>
      <w:lvlJc w:val="left"/>
      <w:pPr>
        <w:ind w:left="5743" w:hanging="286"/>
      </w:pPr>
    </w:lvl>
    <w:lvl w:ilvl="8" w:tplc="23F61B9E">
      <w:numFmt w:val="bullet"/>
      <w:lvlText w:val="•"/>
      <w:lvlJc w:val="left"/>
      <w:pPr>
        <w:ind w:left="6944" w:hanging="286"/>
      </w:pPr>
    </w:lvl>
  </w:abstractNum>
  <w:abstractNum w:abstractNumId="27" w15:restartNumberingAfterBreak="0">
    <w:nsid w:val="529A1C72"/>
    <w:multiLevelType w:val="hybridMultilevel"/>
    <w:tmpl w:val="FD66C0EC"/>
    <w:lvl w:ilvl="0" w:tplc="CF58DBC6">
      <w:start w:val="1"/>
      <w:numFmt w:val="decimal"/>
      <w:lvlText w:val="%1)"/>
      <w:lvlJc w:val="left"/>
      <w:pPr>
        <w:ind w:left="1582" w:hanging="286"/>
      </w:pPr>
      <w:rPr>
        <w:w w:val="99"/>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2B11BF9"/>
    <w:multiLevelType w:val="hybridMultilevel"/>
    <w:tmpl w:val="EFBA530A"/>
    <w:lvl w:ilvl="0" w:tplc="700CFF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40161A3"/>
    <w:multiLevelType w:val="hybridMultilevel"/>
    <w:tmpl w:val="D0FCE59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0" w15:restartNumberingAfterBreak="0">
    <w:nsid w:val="5A9B26C1"/>
    <w:multiLevelType w:val="hybridMultilevel"/>
    <w:tmpl w:val="D26C30A2"/>
    <w:lvl w:ilvl="0" w:tplc="CD085B08">
      <w:start w:val="1"/>
      <w:numFmt w:val="lowerLetter"/>
      <w:lvlText w:val="%1."/>
      <w:lvlJc w:val="left"/>
      <w:pPr>
        <w:ind w:left="1146" w:hanging="360"/>
      </w:pPr>
      <w:rPr>
        <w:rFonts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15:restartNumberingAfterBreak="0">
    <w:nsid w:val="5BF50982"/>
    <w:multiLevelType w:val="hybridMultilevel"/>
    <w:tmpl w:val="BA48099A"/>
    <w:lvl w:ilvl="0" w:tplc="0374F866">
      <w:start w:val="1"/>
      <w:numFmt w:val="decimal"/>
      <w:lvlText w:val="%1."/>
      <w:lvlJc w:val="left"/>
      <w:pPr>
        <w:ind w:left="360" w:hanging="360"/>
      </w:pPr>
      <w:rPr>
        <w:b/>
      </w:rPr>
    </w:lvl>
    <w:lvl w:ilvl="1" w:tplc="04090017">
      <w:start w:val="1"/>
      <w:numFmt w:val="lowerLetter"/>
      <w:lvlText w:val="%2)"/>
      <w:lvlJc w:val="left"/>
      <w:pPr>
        <w:ind w:left="1440" w:hanging="360"/>
      </w:pPr>
    </w:lvl>
    <w:lvl w:ilvl="2" w:tplc="0EA4F4FA">
      <w:start w:val="1"/>
      <w:numFmt w:val="upperLetter"/>
      <w:lvlText w:val="%3."/>
      <w:lvlJc w:val="left"/>
      <w:pPr>
        <w:ind w:left="558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FD950BA"/>
    <w:multiLevelType w:val="hybridMultilevel"/>
    <w:tmpl w:val="8D8470AE"/>
    <w:lvl w:ilvl="0" w:tplc="7ED640BC">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7D80518"/>
    <w:multiLevelType w:val="hybridMultilevel"/>
    <w:tmpl w:val="8EF2813A"/>
    <w:lvl w:ilvl="0" w:tplc="D2EAE67A">
      <w:start w:val="1"/>
      <w:numFmt w:val="lowerLetter"/>
      <w:lvlText w:val="%1."/>
      <w:lvlJc w:val="left"/>
      <w:pPr>
        <w:ind w:left="786" w:hanging="360"/>
      </w:pPr>
    </w:lvl>
    <w:lvl w:ilvl="1" w:tplc="04210019">
      <w:start w:val="1"/>
      <w:numFmt w:val="lowerLetter"/>
      <w:lvlText w:val="%2."/>
      <w:lvlJc w:val="left"/>
      <w:pPr>
        <w:ind w:left="1506" w:hanging="360"/>
      </w:pPr>
    </w:lvl>
    <w:lvl w:ilvl="2" w:tplc="0421001B">
      <w:start w:val="1"/>
      <w:numFmt w:val="lowerRoman"/>
      <w:lvlText w:val="%3."/>
      <w:lvlJc w:val="right"/>
      <w:pPr>
        <w:ind w:left="2226" w:hanging="180"/>
      </w:pPr>
    </w:lvl>
    <w:lvl w:ilvl="3" w:tplc="0421000F">
      <w:start w:val="1"/>
      <w:numFmt w:val="decimal"/>
      <w:lvlText w:val="%4."/>
      <w:lvlJc w:val="left"/>
      <w:pPr>
        <w:ind w:left="2946" w:hanging="360"/>
      </w:pPr>
    </w:lvl>
    <w:lvl w:ilvl="4" w:tplc="04210019">
      <w:start w:val="1"/>
      <w:numFmt w:val="lowerLetter"/>
      <w:lvlText w:val="%5."/>
      <w:lvlJc w:val="left"/>
      <w:pPr>
        <w:ind w:left="3666" w:hanging="360"/>
      </w:pPr>
    </w:lvl>
    <w:lvl w:ilvl="5" w:tplc="0421001B">
      <w:start w:val="1"/>
      <w:numFmt w:val="lowerRoman"/>
      <w:lvlText w:val="%6."/>
      <w:lvlJc w:val="right"/>
      <w:pPr>
        <w:ind w:left="4386" w:hanging="180"/>
      </w:pPr>
    </w:lvl>
    <w:lvl w:ilvl="6" w:tplc="0421000F">
      <w:start w:val="1"/>
      <w:numFmt w:val="decimal"/>
      <w:lvlText w:val="%7."/>
      <w:lvlJc w:val="left"/>
      <w:pPr>
        <w:ind w:left="5106" w:hanging="360"/>
      </w:pPr>
    </w:lvl>
    <w:lvl w:ilvl="7" w:tplc="04210019">
      <w:start w:val="1"/>
      <w:numFmt w:val="lowerLetter"/>
      <w:lvlText w:val="%8."/>
      <w:lvlJc w:val="left"/>
      <w:pPr>
        <w:ind w:left="5826" w:hanging="360"/>
      </w:pPr>
    </w:lvl>
    <w:lvl w:ilvl="8" w:tplc="0421001B">
      <w:start w:val="1"/>
      <w:numFmt w:val="lowerRoman"/>
      <w:lvlText w:val="%9."/>
      <w:lvlJc w:val="right"/>
      <w:pPr>
        <w:ind w:left="6546" w:hanging="180"/>
      </w:pPr>
    </w:lvl>
  </w:abstractNum>
  <w:abstractNum w:abstractNumId="34" w15:restartNumberingAfterBreak="0">
    <w:nsid w:val="67DF2BA9"/>
    <w:multiLevelType w:val="hybridMultilevel"/>
    <w:tmpl w:val="7D36033E"/>
    <w:lvl w:ilvl="0" w:tplc="0409000F">
      <w:start w:val="1"/>
      <w:numFmt w:val="decimal"/>
      <w:lvlText w:val="%1."/>
      <w:lvlJc w:val="left"/>
      <w:pPr>
        <w:ind w:left="63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98722A6"/>
    <w:multiLevelType w:val="hybridMultilevel"/>
    <w:tmpl w:val="276E0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621079"/>
    <w:multiLevelType w:val="hybridMultilevel"/>
    <w:tmpl w:val="99E802E2"/>
    <w:lvl w:ilvl="0" w:tplc="A398A8AE">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7" w15:restartNumberingAfterBreak="0">
    <w:nsid w:val="6A8D7713"/>
    <w:multiLevelType w:val="hybridMultilevel"/>
    <w:tmpl w:val="C6D6AD1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AE9367C"/>
    <w:multiLevelType w:val="hybridMultilevel"/>
    <w:tmpl w:val="C5025E7A"/>
    <w:lvl w:ilvl="0" w:tplc="04090019">
      <w:start w:val="1"/>
      <w:numFmt w:val="lowerLetter"/>
      <w:lvlText w:val="%1."/>
      <w:lvlJc w:val="left"/>
      <w:pPr>
        <w:ind w:left="1146" w:hanging="360"/>
      </w:p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9" w15:restartNumberingAfterBreak="0">
    <w:nsid w:val="6C280883"/>
    <w:multiLevelType w:val="hybridMultilevel"/>
    <w:tmpl w:val="4C8E3310"/>
    <w:lvl w:ilvl="0" w:tplc="CBCE5AF2">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40" w15:restartNumberingAfterBreak="0">
    <w:nsid w:val="6DB74767"/>
    <w:multiLevelType w:val="hybridMultilevel"/>
    <w:tmpl w:val="DDD86BF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E6E436A"/>
    <w:multiLevelType w:val="hybridMultilevel"/>
    <w:tmpl w:val="E40667CA"/>
    <w:lvl w:ilvl="0" w:tplc="4798DE54">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42" w15:restartNumberingAfterBreak="0">
    <w:nsid w:val="700B24E7"/>
    <w:multiLevelType w:val="hybridMultilevel"/>
    <w:tmpl w:val="D4D694BE"/>
    <w:lvl w:ilvl="0" w:tplc="CD26BF14">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0C576A7"/>
    <w:multiLevelType w:val="hybridMultilevel"/>
    <w:tmpl w:val="F14819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C63920"/>
    <w:multiLevelType w:val="hybridMultilevel"/>
    <w:tmpl w:val="715AFB9A"/>
    <w:lvl w:ilvl="0" w:tplc="0409001B">
      <w:start w:val="1"/>
      <w:numFmt w:val="low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15:restartNumberingAfterBreak="0">
    <w:nsid w:val="76F27277"/>
    <w:multiLevelType w:val="hybridMultilevel"/>
    <w:tmpl w:val="3C6C74FC"/>
    <w:lvl w:ilvl="0" w:tplc="04210011">
      <w:start w:val="1"/>
      <w:numFmt w:val="decimal"/>
      <w:lvlText w:val="%1)"/>
      <w:lvlJc w:val="left"/>
      <w:pPr>
        <w:ind w:left="1795" w:hanging="428"/>
      </w:pPr>
      <w:rPr>
        <w:b/>
        <w:bCs/>
        <w:i w:val="0"/>
        <w:w w:val="100"/>
        <w:sz w:val="24"/>
        <w:szCs w:val="24"/>
        <w:lang w:eastAsia="en-US" w:bidi="ar-SA"/>
      </w:rPr>
    </w:lvl>
    <w:lvl w:ilvl="1" w:tplc="204A1478">
      <w:start w:val="1"/>
      <w:numFmt w:val="lowerLetter"/>
      <w:lvlText w:val="%2."/>
      <w:lvlJc w:val="left"/>
      <w:pPr>
        <w:ind w:left="2220" w:hanging="425"/>
      </w:pPr>
      <w:rPr>
        <w:rFonts w:ascii="Arial" w:eastAsia="Arial" w:hAnsi="Arial" w:cs="Arial" w:hint="default"/>
        <w:b/>
        <w:bCs/>
        <w:w w:val="100"/>
        <w:sz w:val="24"/>
        <w:szCs w:val="24"/>
        <w:lang w:eastAsia="en-US" w:bidi="ar-SA"/>
      </w:rPr>
    </w:lvl>
    <w:lvl w:ilvl="2" w:tplc="91BA0030">
      <w:start w:val="1"/>
      <w:numFmt w:val="decimal"/>
      <w:lvlText w:val="%3)"/>
      <w:lvlJc w:val="left"/>
      <w:pPr>
        <w:ind w:left="2645" w:hanging="425"/>
      </w:pPr>
      <w:rPr>
        <w:rFonts w:ascii="Arial" w:eastAsia="Arial" w:hAnsi="Arial" w:cs="Arial" w:hint="default"/>
        <w:w w:val="99"/>
        <w:sz w:val="24"/>
        <w:szCs w:val="24"/>
        <w:lang w:eastAsia="en-US" w:bidi="ar-SA"/>
      </w:rPr>
    </w:lvl>
    <w:lvl w:ilvl="3" w:tplc="B2EEE510">
      <w:start w:val="1"/>
      <w:numFmt w:val="lowerRoman"/>
      <w:lvlText w:val="%4."/>
      <w:lvlJc w:val="left"/>
      <w:pPr>
        <w:ind w:left="3070" w:hanging="219"/>
      </w:pPr>
      <w:rPr>
        <w:rFonts w:ascii="Arial" w:eastAsia="Arial" w:hAnsi="Arial" w:cs="Arial" w:hint="default"/>
        <w:spacing w:val="-1"/>
        <w:w w:val="100"/>
        <w:sz w:val="24"/>
        <w:szCs w:val="24"/>
        <w:lang w:eastAsia="en-US" w:bidi="ar-SA"/>
      </w:rPr>
    </w:lvl>
    <w:lvl w:ilvl="4" w:tplc="21169964">
      <w:numFmt w:val="bullet"/>
      <w:lvlText w:val="•"/>
      <w:lvlJc w:val="left"/>
      <w:pPr>
        <w:ind w:left="4023" w:hanging="219"/>
      </w:pPr>
      <w:rPr>
        <w:lang w:eastAsia="en-US" w:bidi="ar-SA"/>
      </w:rPr>
    </w:lvl>
    <w:lvl w:ilvl="5" w:tplc="3C3E88D4">
      <w:numFmt w:val="bullet"/>
      <w:lvlText w:val="•"/>
      <w:lvlJc w:val="left"/>
      <w:pPr>
        <w:ind w:left="4967" w:hanging="219"/>
      </w:pPr>
      <w:rPr>
        <w:lang w:eastAsia="en-US" w:bidi="ar-SA"/>
      </w:rPr>
    </w:lvl>
    <w:lvl w:ilvl="6" w:tplc="C6F6559E">
      <w:numFmt w:val="bullet"/>
      <w:lvlText w:val="•"/>
      <w:lvlJc w:val="left"/>
      <w:pPr>
        <w:ind w:left="5911" w:hanging="219"/>
      </w:pPr>
      <w:rPr>
        <w:lang w:eastAsia="en-US" w:bidi="ar-SA"/>
      </w:rPr>
    </w:lvl>
    <w:lvl w:ilvl="7" w:tplc="E13E9F1A">
      <w:numFmt w:val="bullet"/>
      <w:lvlText w:val="•"/>
      <w:lvlJc w:val="left"/>
      <w:pPr>
        <w:ind w:left="6855" w:hanging="219"/>
      </w:pPr>
      <w:rPr>
        <w:lang w:eastAsia="en-US" w:bidi="ar-SA"/>
      </w:rPr>
    </w:lvl>
    <w:lvl w:ilvl="8" w:tplc="3392AE02">
      <w:numFmt w:val="bullet"/>
      <w:lvlText w:val="•"/>
      <w:lvlJc w:val="left"/>
      <w:pPr>
        <w:ind w:left="7798" w:hanging="219"/>
      </w:pPr>
      <w:rPr>
        <w:lang w:eastAsia="en-US" w:bidi="ar-SA"/>
      </w:rPr>
    </w:lvl>
  </w:abstractNum>
  <w:abstractNum w:abstractNumId="46" w15:restartNumberingAfterBreak="0">
    <w:nsid w:val="78E66E4D"/>
    <w:multiLevelType w:val="hybridMultilevel"/>
    <w:tmpl w:val="7DEAD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851B2"/>
    <w:multiLevelType w:val="hybridMultilevel"/>
    <w:tmpl w:val="A70E4E7E"/>
    <w:lvl w:ilvl="0" w:tplc="0409000F">
      <w:start w:val="1"/>
      <w:numFmt w:val="decimal"/>
      <w:lvlText w:val="%1."/>
      <w:lvlJc w:val="left"/>
      <w:pPr>
        <w:ind w:left="63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E5A0B1A"/>
    <w:multiLevelType w:val="hybridMultilevel"/>
    <w:tmpl w:val="EF704998"/>
    <w:lvl w:ilvl="0" w:tplc="CF3CADD2">
      <w:start w:val="1"/>
      <w:numFmt w:val="lowerLetter"/>
      <w:lvlText w:val="%1."/>
      <w:lvlJc w:val="left"/>
      <w:pPr>
        <w:ind w:left="786" w:hanging="360"/>
      </w:pPr>
    </w:lvl>
    <w:lvl w:ilvl="1" w:tplc="04210019">
      <w:start w:val="1"/>
      <w:numFmt w:val="lowerLetter"/>
      <w:lvlText w:val="%2."/>
      <w:lvlJc w:val="left"/>
      <w:pPr>
        <w:ind w:left="1506" w:hanging="360"/>
      </w:pPr>
    </w:lvl>
    <w:lvl w:ilvl="2" w:tplc="0421001B">
      <w:start w:val="1"/>
      <w:numFmt w:val="lowerRoman"/>
      <w:lvlText w:val="%3."/>
      <w:lvlJc w:val="right"/>
      <w:pPr>
        <w:ind w:left="2226" w:hanging="180"/>
      </w:pPr>
    </w:lvl>
    <w:lvl w:ilvl="3" w:tplc="0421000F">
      <w:start w:val="1"/>
      <w:numFmt w:val="decimal"/>
      <w:lvlText w:val="%4."/>
      <w:lvlJc w:val="left"/>
      <w:pPr>
        <w:ind w:left="2946" w:hanging="360"/>
      </w:pPr>
    </w:lvl>
    <w:lvl w:ilvl="4" w:tplc="04210019">
      <w:start w:val="1"/>
      <w:numFmt w:val="lowerLetter"/>
      <w:lvlText w:val="%5."/>
      <w:lvlJc w:val="left"/>
      <w:pPr>
        <w:ind w:left="3666" w:hanging="360"/>
      </w:pPr>
    </w:lvl>
    <w:lvl w:ilvl="5" w:tplc="0421001B">
      <w:start w:val="1"/>
      <w:numFmt w:val="lowerRoman"/>
      <w:lvlText w:val="%6."/>
      <w:lvlJc w:val="right"/>
      <w:pPr>
        <w:ind w:left="4386" w:hanging="180"/>
      </w:pPr>
    </w:lvl>
    <w:lvl w:ilvl="6" w:tplc="0421000F">
      <w:start w:val="1"/>
      <w:numFmt w:val="decimal"/>
      <w:lvlText w:val="%7."/>
      <w:lvlJc w:val="left"/>
      <w:pPr>
        <w:ind w:left="5106" w:hanging="360"/>
      </w:pPr>
    </w:lvl>
    <w:lvl w:ilvl="7" w:tplc="04210019">
      <w:start w:val="1"/>
      <w:numFmt w:val="lowerLetter"/>
      <w:lvlText w:val="%8."/>
      <w:lvlJc w:val="left"/>
      <w:pPr>
        <w:ind w:left="5826" w:hanging="360"/>
      </w:pPr>
    </w:lvl>
    <w:lvl w:ilvl="8" w:tplc="0421001B">
      <w:start w:val="1"/>
      <w:numFmt w:val="lowerRoman"/>
      <w:lvlText w:val="%9."/>
      <w:lvlJc w:val="right"/>
      <w:pPr>
        <w:ind w:left="6546" w:hanging="180"/>
      </w:pPr>
    </w:lvl>
  </w:abstractNum>
  <w:abstractNum w:abstractNumId="49" w15:restartNumberingAfterBreak="0">
    <w:nsid w:val="7F9D004C"/>
    <w:multiLevelType w:val="hybridMultilevel"/>
    <w:tmpl w:val="9F16BAE8"/>
    <w:lvl w:ilvl="0" w:tplc="00C4B6B2">
      <w:start w:val="1"/>
      <w:numFmt w:val="lowerLetter"/>
      <w:lvlText w:val="%1."/>
      <w:lvlJc w:val="left"/>
      <w:pPr>
        <w:ind w:left="1211" w:hanging="360"/>
      </w:pPr>
      <w:rPr>
        <w:rFonts w:hint="default"/>
      </w:rPr>
    </w:lvl>
    <w:lvl w:ilvl="1" w:tplc="DF22D714">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7">
    <w:abstractNumId w:val="11"/>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43"/>
  </w:num>
  <w:num w:numId="25">
    <w:abstractNumId w:val="46"/>
  </w:num>
  <w:num w:numId="26">
    <w:abstractNumId w:val="28"/>
  </w:num>
  <w:num w:numId="27">
    <w:abstractNumId w:val="12"/>
  </w:num>
  <w:num w:numId="28">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29">
    <w:abstractNumId w:val="30"/>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num>
  <w:num w:numId="33">
    <w:abstractNumId w:val="16"/>
  </w:num>
  <w:num w:numId="34">
    <w:abstractNumId w:val="49"/>
  </w:num>
  <w:num w:numId="35">
    <w:abstractNumId w:val="21"/>
  </w:num>
  <w:num w:numId="36">
    <w:abstractNumId w:val="1"/>
  </w:num>
  <w:num w:numId="37">
    <w:abstractNumId w:val="25"/>
  </w:num>
  <w:num w:numId="38">
    <w:abstractNumId w:val="34"/>
  </w:num>
  <w:num w:numId="39">
    <w:abstractNumId w:val="24"/>
  </w:num>
  <w:num w:numId="40">
    <w:abstractNumId w:val="3"/>
  </w:num>
  <w:num w:numId="41">
    <w:abstractNumId w:val="8"/>
  </w:num>
  <w:num w:numId="42">
    <w:abstractNumId w:val="18"/>
  </w:num>
  <w:num w:numId="43">
    <w:abstractNumId w:val="38"/>
  </w:num>
  <w:num w:numId="44">
    <w:abstractNumId w:val="9"/>
  </w:num>
  <w:num w:numId="45">
    <w:abstractNumId w:val="19"/>
  </w:num>
  <w:num w:numId="46">
    <w:abstractNumId w:val="0"/>
  </w:num>
  <w:num w:numId="47">
    <w:abstractNumId w:val="2"/>
  </w:num>
  <w:num w:numId="48">
    <w:abstractNumId w:val="13"/>
  </w:num>
  <w:num w:numId="49">
    <w:abstractNumId w:val="37"/>
  </w:num>
  <w:num w:numId="50">
    <w:abstractNumId w:val="31"/>
  </w:num>
  <w:num w:numId="51">
    <w:abstractNumId w:val="6"/>
  </w:num>
  <w:num w:numId="52">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AB"/>
    <w:rsid w:val="00001259"/>
    <w:rsid w:val="00004CB5"/>
    <w:rsid w:val="000060EA"/>
    <w:rsid w:val="0000723E"/>
    <w:rsid w:val="000143C3"/>
    <w:rsid w:val="0001609E"/>
    <w:rsid w:val="0003017A"/>
    <w:rsid w:val="00031205"/>
    <w:rsid w:val="00033106"/>
    <w:rsid w:val="00041ABC"/>
    <w:rsid w:val="00044215"/>
    <w:rsid w:val="0005295A"/>
    <w:rsid w:val="000557D2"/>
    <w:rsid w:val="000714B4"/>
    <w:rsid w:val="000736EE"/>
    <w:rsid w:val="00075DEE"/>
    <w:rsid w:val="00075F6C"/>
    <w:rsid w:val="00083CE9"/>
    <w:rsid w:val="00085CBD"/>
    <w:rsid w:val="00092904"/>
    <w:rsid w:val="000971A7"/>
    <w:rsid w:val="000A18E1"/>
    <w:rsid w:val="000A3BC5"/>
    <w:rsid w:val="000A54C4"/>
    <w:rsid w:val="000A5835"/>
    <w:rsid w:val="000A6529"/>
    <w:rsid w:val="000B40CA"/>
    <w:rsid w:val="000B55DE"/>
    <w:rsid w:val="000C50B6"/>
    <w:rsid w:val="000C55CB"/>
    <w:rsid w:val="000C7941"/>
    <w:rsid w:val="000C7CBF"/>
    <w:rsid w:val="000E2109"/>
    <w:rsid w:val="000E361F"/>
    <w:rsid w:val="000E7219"/>
    <w:rsid w:val="000E725D"/>
    <w:rsid w:val="000E77B2"/>
    <w:rsid w:val="000F5CE5"/>
    <w:rsid w:val="000F6055"/>
    <w:rsid w:val="00101FF8"/>
    <w:rsid w:val="00102BE0"/>
    <w:rsid w:val="00102DFE"/>
    <w:rsid w:val="0010544D"/>
    <w:rsid w:val="0011245B"/>
    <w:rsid w:val="00113434"/>
    <w:rsid w:val="001169AA"/>
    <w:rsid w:val="00116E8E"/>
    <w:rsid w:val="00116FDF"/>
    <w:rsid w:val="00117C25"/>
    <w:rsid w:val="00117F69"/>
    <w:rsid w:val="001221ED"/>
    <w:rsid w:val="0012466D"/>
    <w:rsid w:val="001266F2"/>
    <w:rsid w:val="00140824"/>
    <w:rsid w:val="001435F2"/>
    <w:rsid w:val="00147B41"/>
    <w:rsid w:val="001500DE"/>
    <w:rsid w:val="0016001C"/>
    <w:rsid w:val="0016645F"/>
    <w:rsid w:val="00170ACF"/>
    <w:rsid w:val="00171E86"/>
    <w:rsid w:val="0017306E"/>
    <w:rsid w:val="0017560D"/>
    <w:rsid w:val="001771ED"/>
    <w:rsid w:val="00180F47"/>
    <w:rsid w:val="001817DB"/>
    <w:rsid w:val="00182AC6"/>
    <w:rsid w:val="00184CD6"/>
    <w:rsid w:val="00184E53"/>
    <w:rsid w:val="00185A17"/>
    <w:rsid w:val="00185E00"/>
    <w:rsid w:val="0019588C"/>
    <w:rsid w:val="001A1A98"/>
    <w:rsid w:val="001A4571"/>
    <w:rsid w:val="001A5E69"/>
    <w:rsid w:val="001B24FD"/>
    <w:rsid w:val="001B3B3E"/>
    <w:rsid w:val="001B46B8"/>
    <w:rsid w:val="001B68C7"/>
    <w:rsid w:val="001C440B"/>
    <w:rsid w:val="001D5108"/>
    <w:rsid w:val="001E181A"/>
    <w:rsid w:val="001E4269"/>
    <w:rsid w:val="001E4EB1"/>
    <w:rsid w:val="001E4EE3"/>
    <w:rsid w:val="001E72A4"/>
    <w:rsid w:val="001E7AAE"/>
    <w:rsid w:val="001F0E36"/>
    <w:rsid w:val="001F40CB"/>
    <w:rsid w:val="001F56E6"/>
    <w:rsid w:val="00211A1C"/>
    <w:rsid w:val="002158CD"/>
    <w:rsid w:val="002164D1"/>
    <w:rsid w:val="00225E79"/>
    <w:rsid w:val="00235767"/>
    <w:rsid w:val="00235DFE"/>
    <w:rsid w:val="00242523"/>
    <w:rsid w:val="00242B88"/>
    <w:rsid w:val="002443C1"/>
    <w:rsid w:val="0025173E"/>
    <w:rsid w:val="00254191"/>
    <w:rsid w:val="00257E47"/>
    <w:rsid w:val="00261DAB"/>
    <w:rsid w:val="0026284F"/>
    <w:rsid w:val="002807ED"/>
    <w:rsid w:val="002825CA"/>
    <w:rsid w:val="00284D5E"/>
    <w:rsid w:val="002910AB"/>
    <w:rsid w:val="00292F2B"/>
    <w:rsid w:val="002956B6"/>
    <w:rsid w:val="00297EB7"/>
    <w:rsid w:val="002A3E11"/>
    <w:rsid w:val="002B0CE6"/>
    <w:rsid w:val="002B1110"/>
    <w:rsid w:val="002B4757"/>
    <w:rsid w:val="002C2C62"/>
    <w:rsid w:val="002C3ADB"/>
    <w:rsid w:val="002C5221"/>
    <w:rsid w:val="002D0491"/>
    <w:rsid w:val="002D0CD4"/>
    <w:rsid w:val="002D1DCE"/>
    <w:rsid w:val="002D2F38"/>
    <w:rsid w:val="002D4A1E"/>
    <w:rsid w:val="002D7818"/>
    <w:rsid w:val="002D7E1D"/>
    <w:rsid w:val="002E13B4"/>
    <w:rsid w:val="002E2D93"/>
    <w:rsid w:val="002F2019"/>
    <w:rsid w:val="002F7832"/>
    <w:rsid w:val="00301DFC"/>
    <w:rsid w:val="00304D34"/>
    <w:rsid w:val="0031032D"/>
    <w:rsid w:val="00310B3A"/>
    <w:rsid w:val="0031228A"/>
    <w:rsid w:val="0031450B"/>
    <w:rsid w:val="00314B4E"/>
    <w:rsid w:val="00321C3F"/>
    <w:rsid w:val="00324C72"/>
    <w:rsid w:val="003308DD"/>
    <w:rsid w:val="00331B82"/>
    <w:rsid w:val="00336C8B"/>
    <w:rsid w:val="00337A5F"/>
    <w:rsid w:val="00340083"/>
    <w:rsid w:val="00354987"/>
    <w:rsid w:val="00354E33"/>
    <w:rsid w:val="0035519F"/>
    <w:rsid w:val="00360E35"/>
    <w:rsid w:val="003626A6"/>
    <w:rsid w:val="00363776"/>
    <w:rsid w:val="00366344"/>
    <w:rsid w:val="003672C0"/>
    <w:rsid w:val="0038350A"/>
    <w:rsid w:val="0039112C"/>
    <w:rsid w:val="0039132F"/>
    <w:rsid w:val="003964BA"/>
    <w:rsid w:val="00396638"/>
    <w:rsid w:val="00397574"/>
    <w:rsid w:val="003A0096"/>
    <w:rsid w:val="003A25F0"/>
    <w:rsid w:val="003A41D3"/>
    <w:rsid w:val="003B14CE"/>
    <w:rsid w:val="003B23FD"/>
    <w:rsid w:val="003B3EAA"/>
    <w:rsid w:val="003D4803"/>
    <w:rsid w:val="003D5B39"/>
    <w:rsid w:val="003E0683"/>
    <w:rsid w:val="003E1B24"/>
    <w:rsid w:val="003E6681"/>
    <w:rsid w:val="003E72B1"/>
    <w:rsid w:val="003F23F5"/>
    <w:rsid w:val="003F5144"/>
    <w:rsid w:val="003F5C97"/>
    <w:rsid w:val="00400D2C"/>
    <w:rsid w:val="0040636E"/>
    <w:rsid w:val="0041363C"/>
    <w:rsid w:val="00417FAB"/>
    <w:rsid w:val="00421D53"/>
    <w:rsid w:val="00421EBA"/>
    <w:rsid w:val="004232F3"/>
    <w:rsid w:val="00427073"/>
    <w:rsid w:val="0043450B"/>
    <w:rsid w:val="004351B4"/>
    <w:rsid w:val="0044147C"/>
    <w:rsid w:val="00444C3B"/>
    <w:rsid w:val="0044523D"/>
    <w:rsid w:val="00446CBD"/>
    <w:rsid w:val="00447B86"/>
    <w:rsid w:val="00450AEC"/>
    <w:rsid w:val="00450B72"/>
    <w:rsid w:val="00451DB9"/>
    <w:rsid w:val="0045243F"/>
    <w:rsid w:val="00461CDD"/>
    <w:rsid w:val="00461E06"/>
    <w:rsid w:val="00467A91"/>
    <w:rsid w:val="004717A3"/>
    <w:rsid w:val="004718ED"/>
    <w:rsid w:val="004729DF"/>
    <w:rsid w:val="00480F23"/>
    <w:rsid w:val="00483DE4"/>
    <w:rsid w:val="00485106"/>
    <w:rsid w:val="0049235A"/>
    <w:rsid w:val="00492C67"/>
    <w:rsid w:val="0049701C"/>
    <w:rsid w:val="00497759"/>
    <w:rsid w:val="004A0188"/>
    <w:rsid w:val="004B2260"/>
    <w:rsid w:val="004B33DD"/>
    <w:rsid w:val="004C00EA"/>
    <w:rsid w:val="004C182B"/>
    <w:rsid w:val="004C582D"/>
    <w:rsid w:val="004D0199"/>
    <w:rsid w:val="004D211A"/>
    <w:rsid w:val="004E2A43"/>
    <w:rsid w:val="004F465C"/>
    <w:rsid w:val="004F5235"/>
    <w:rsid w:val="004F73C7"/>
    <w:rsid w:val="00502F4D"/>
    <w:rsid w:val="0051509D"/>
    <w:rsid w:val="00520D7C"/>
    <w:rsid w:val="00524E55"/>
    <w:rsid w:val="005254ED"/>
    <w:rsid w:val="005306D1"/>
    <w:rsid w:val="00530925"/>
    <w:rsid w:val="0054296F"/>
    <w:rsid w:val="00543EE2"/>
    <w:rsid w:val="00543F8B"/>
    <w:rsid w:val="005445AB"/>
    <w:rsid w:val="005446A5"/>
    <w:rsid w:val="005460C7"/>
    <w:rsid w:val="005476CF"/>
    <w:rsid w:val="00550BD4"/>
    <w:rsid w:val="00551AA5"/>
    <w:rsid w:val="00555FD7"/>
    <w:rsid w:val="00560E4A"/>
    <w:rsid w:val="00563BB8"/>
    <w:rsid w:val="00563BD1"/>
    <w:rsid w:val="005704D8"/>
    <w:rsid w:val="005750C6"/>
    <w:rsid w:val="005763E4"/>
    <w:rsid w:val="00576A2D"/>
    <w:rsid w:val="0058171F"/>
    <w:rsid w:val="00583A43"/>
    <w:rsid w:val="0058783A"/>
    <w:rsid w:val="00587CFB"/>
    <w:rsid w:val="00593BA2"/>
    <w:rsid w:val="005960FF"/>
    <w:rsid w:val="005972C1"/>
    <w:rsid w:val="005A01CE"/>
    <w:rsid w:val="005A1CBB"/>
    <w:rsid w:val="005A1F03"/>
    <w:rsid w:val="005B0AB7"/>
    <w:rsid w:val="005B35FC"/>
    <w:rsid w:val="005B3EEA"/>
    <w:rsid w:val="005B4074"/>
    <w:rsid w:val="005B640F"/>
    <w:rsid w:val="005B6600"/>
    <w:rsid w:val="005C07DF"/>
    <w:rsid w:val="005C3D02"/>
    <w:rsid w:val="005C54E1"/>
    <w:rsid w:val="005C5978"/>
    <w:rsid w:val="005D5F8D"/>
    <w:rsid w:val="005D6D18"/>
    <w:rsid w:val="005D7727"/>
    <w:rsid w:val="005E060D"/>
    <w:rsid w:val="005E0DF9"/>
    <w:rsid w:val="005E32D7"/>
    <w:rsid w:val="005E7122"/>
    <w:rsid w:val="005E7147"/>
    <w:rsid w:val="005F4448"/>
    <w:rsid w:val="005F4F05"/>
    <w:rsid w:val="005F52D1"/>
    <w:rsid w:val="005F6778"/>
    <w:rsid w:val="0060469A"/>
    <w:rsid w:val="00607CF6"/>
    <w:rsid w:val="00611B87"/>
    <w:rsid w:val="006130ED"/>
    <w:rsid w:val="0061720A"/>
    <w:rsid w:val="00624F54"/>
    <w:rsid w:val="006267BF"/>
    <w:rsid w:val="00627C3C"/>
    <w:rsid w:val="00630C45"/>
    <w:rsid w:val="00631C45"/>
    <w:rsid w:val="0064002D"/>
    <w:rsid w:val="00641D11"/>
    <w:rsid w:val="00642002"/>
    <w:rsid w:val="00643449"/>
    <w:rsid w:val="00644037"/>
    <w:rsid w:val="006468B1"/>
    <w:rsid w:val="006567E7"/>
    <w:rsid w:val="00657A00"/>
    <w:rsid w:val="006613F4"/>
    <w:rsid w:val="006614CB"/>
    <w:rsid w:val="006628C0"/>
    <w:rsid w:val="00664D3D"/>
    <w:rsid w:val="00666380"/>
    <w:rsid w:val="006742C4"/>
    <w:rsid w:val="00681DC6"/>
    <w:rsid w:val="006834A5"/>
    <w:rsid w:val="006943B0"/>
    <w:rsid w:val="00697DAC"/>
    <w:rsid w:val="006B1AD7"/>
    <w:rsid w:val="006B2737"/>
    <w:rsid w:val="006B3A43"/>
    <w:rsid w:val="006B3BF5"/>
    <w:rsid w:val="006B3DBF"/>
    <w:rsid w:val="006C1D84"/>
    <w:rsid w:val="006D267C"/>
    <w:rsid w:val="006D36FE"/>
    <w:rsid w:val="006E0438"/>
    <w:rsid w:val="006E113A"/>
    <w:rsid w:val="006E6BC2"/>
    <w:rsid w:val="006F0CC4"/>
    <w:rsid w:val="006F12FF"/>
    <w:rsid w:val="006F4AE7"/>
    <w:rsid w:val="006F4B0C"/>
    <w:rsid w:val="006F509C"/>
    <w:rsid w:val="006F69B8"/>
    <w:rsid w:val="00701BDC"/>
    <w:rsid w:val="00702F24"/>
    <w:rsid w:val="0070775A"/>
    <w:rsid w:val="00711843"/>
    <w:rsid w:val="00712893"/>
    <w:rsid w:val="00713F6B"/>
    <w:rsid w:val="007169D6"/>
    <w:rsid w:val="007226C6"/>
    <w:rsid w:val="00733FDE"/>
    <w:rsid w:val="0074310B"/>
    <w:rsid w:val="007440FC"/>
    <w:rsid w:val="00746352"/>
    <w:rsid w:val="00746728"/>
    <w:rsid w:val="0074677E"/>
    <w:rsid w:val="0076310D"/>
    <w:rsid w:val="00765345"/>
    <w:rsid w:val="00766B07"/>
    <w:rsid w:val="007757AB"/>
    <w:rsid w:val="00777870"/>
    <w:rsid w:val="00794532"/>
    <w:rsid w:val="00794C60"/>
    <w:rsid w:val="00795B47"/>
    <w:rsid w:val="00796B3F"/>
    <w:rsid w:val="007A22B7"/>
    <w:rsid w:val="007A6002"/>
    <w:rsid w:val="007A6623"/>
    <w:rsid w:val="007B06B0"/>
    <w:rsid w:val="007B119C"/>
    <w:rsid w:val="007B3304"/>
    <w:rsid w:val="007B6515"/>
    <w:rsid w:val="007C551D"/>
    <w:rsid w:val="007D1566"/>
    <w:rsid w:val="007D56E8"/>
    <w:rsid w:val="007D6BD4"/>
    <w:rsid w:val="007D78A9"/>
    <w:rsid w:val="007F1E64"/>
    <w:rsid w:val="007F4AA5"/>
    <w:rsid w:val="007F5AD7"/>
    <w:rsid w:val="008043A1"/>
    <w:rsid w:val="00805A67"/>
    <w:rsid w:val="008061E5"/>
    <w:rsid w:val="00807DBF"/>
    <w:rsid w:val="008136F5"/>
    <w:rsid w:val="0081423F"/>
    <w:rsid w:val="0081743F"/>
    <w:rsid w:val="00835265"/>
    <w:rsid w:val="0084031F"/>
    <w:rsid w:val="00840661"/>
    <w:rsid w:val="00845944"/>
    <w:rsid w:val="00852758"/>
    <w:rsid w:val="0085635B"/>
    <w:rsid w:val="00857808"/>
    <w:rsid w:val="00862184"/>
    <w:rsid w:val="00862876"/>
    <w:rsid w:val="00862C4F"/>
    <w:rsid w:val="00862E08"/>
    <w:rsid w:val="00862EBC"/>
    <w:rsid w:val="008641CD"/>
    <w:rsid w:val="0087159D"/>
    <w:rsid w:val="008725B6"/>
    <w:rsid w:val="00875E9B"/>
    <w:rsid w:val="00877D3A"/>
    <w:rsid w:val="00884E02"/>
    <w:rsid w:val="008854A0"/>
    <w:rsid w:val="00890F67"/>
    <w:rsid w:val="00891FA6"/>
    <w:rsid w:val="00892226"/>
    <w:rsid w:val="00892332"/>
    <w:rsid w:val="0089448C"/>
    <w:rsid w:val="008A383A"/>
    <w:rsid w:val="008B1971"/>
    <w:rsid w:val="008B2AC3"/>
    <w:rsid w:val="008B461D"/>
    <w:rsid w:val="008C268B"/>
    <w:rsid w:val="008C3FF3"/>
    <w:rsid w:val="008C4DB8"/>
    <w:rsid w:val="008D19E9"/>
    <w:rsid w:val="008D2032"/>
    <w:rsid w:val="008D2A2E"/>
    <w:rsid w:val="008D435B"/>
    <w:rsid w:val="008D4426"/>
    <w:rsid w:val="008D4AB9"/>
    <w:rsid w:val="008D780E"/>
    <w:rsid w:val="008E0FCD"/>
    <w:rsid w:val="008E74F8"/>
    <w:rsid w:val="008E7C16"/>
    <w:rsid w:val="008F1093"/>
    <w:rsid w:val="008F18A0"/>
    <w:rsid w:val="008F67DD"/>
    <w:rsid w:val="008F6CB8"/>
    <w:rsid w:val="008F74F2"/>
    <w:rsid w:val="008F75E4"/>
    <w:rsid w:val="00900364"/>
    <w:rsid w:val="00900602"/>
    <w:rsid w:val="0090704F"/>
    <w:rsid w:val="00916828"/>
    <w:rsid w:val="00920894"/>
    <w:rsid w:val="0094174C"/>
    <w:rsid w:val="009434AB"/>
    <w:rsid w:val="00944D31"/>
    <w:rsid w:val="0095153B"/>
    <w:rsid w:val="00953514"/>
    <w:rsid w:val="0095606B"/>
    <w:rsid w:val="00965F4C"/>
    <w:rsid w:val="00966F28"/>
    <w:rsid w:val="00970DBB"/>
    <w:rsid w:val="0097253C"/>
    <w:rsid w:val="009768AE"/>
    <w:rsid w:val="00981646"/>
    <w:rsid w:val="0098462A"/>
    <w:rsid w:val="009846D6"/>
    <w:rsid w:val="0099576F"/>
    <w:rsid w:val="009A0C55"/>
    <w:rsid w:val="009A0FF6"/>
    <w:rsid w:val="009A4D16"/>
    <w:rsid w:val="009A64C7"/>
    <w:rsid w:val="009B2FA0"/>
    <w:rsid w:val="009B41BC"/>
    <w:rsid w:val="009C71A4"/>
    <w:rsid w:val="009D0410"/>
    <w:rsid w:val="009D0B4F"/>
    <w:rsid w:val="009D2A0E"/>
    <w:rsid w:val="009E06BD"/>
    <w:rsid w:val="009E4220"/>
    <w:rsid w:val="009E5D25"/>
    <w:rsid w:val="009E7672"/>
    <w:rsid w:val="009F71C4"/>
    <w:rsid w:val="00A00813"/>
    <w:rsid w:val="00A00AE1"/>
    <w:rsid w:val="00A00D79"/>
    <w:rsid w:val="00A10EDA"/>
    <w:rsid w:val="00A120BB"/>
    <w:rsid w:val="00A13545"/>
    <w:rsid w:val="00A20238"/>
    <w:rsid w:val="00A24B97"/>
    <w:rsid w:val="00A24C52"/>
    <w:rsid w:val="00A337CF"/>
    <w:rsid w:val="00A345F9"/>
    <w:rsid w:val="00A364B3"/>
    <w:rsid w:val="00A458FF"/>
    <w:rsid w:val="00A5036D"/>
    <w:rsid w:val="00A518E9"/>
    <w:rsid w:val="00A53569"/>
    <w:rsid w:val="00A55DE2"/>
    <w:rsid w:val="00A566A4"/>
    <w:rsid w:val="00A566ED"/>
    <w:rsid w:val="00A62BCE"/>
    <w:rsid w:val="00A6398E"/>
    <w:rsid w:val="00A73D20"/>
    <w:rsid w:val="00A77FCB"/>
    <w:rsid w:val="00A83F25"/>
    <w:rsid w:val="00A85077"/>
    <w:rsid w:val="00A855B1"/>
    <w:rsid w:val="00A92C37"/>
    <w:rsid w:val="00A92C5E"/>
    <w:rsid w:val="00A93DAA"/>
    <w:rsid w:val="00A94CFF"/>
    <w:rsid w:val="00A94E18"/>
    <w:rsid w:val="00A979E6"/>
    <w:rsid w:val="00AA21B6"/>
    <w:rsid w:val="00AA27CE"/>
    <w:rsid w:val="00AA7B76"/>
    <w:rsid w:val="00AB2727"/>
    <w:rsid w:val="00AB4536"/>
    <w:rsid w:val="00AB4D3D"/>
    <w:rsid w:val="00AB60E0"/>
    <w:rsid w:val="00AC37D3"/>
    <w:rsid w:val="00AC412A"/>
    <w:rsid w:val="00AC4CE8"/>
    <w:rsid w:val="00AC7C62"/>
    <w:rsid w:val="00AD0BFA"/>
    <w:rsid w:val="00AD790F"/>
    <w:rsid w:val="00AE01AE"/>
    <w:rsid w:val="00AE3383"/>
    <w:rsid w:val="00AE4F81"/>
    <w:rsid w:val="00AE64BD"/>
    <w:rsid w:val="00AF14DC"/>
    <w:rsid w:val="00AF2A37"/>
    <w:rsid w:val="00AF4F48"/>
    <w:rsid w:val="00B0389A"/>
    <w:rsid w:val="00B124CB"/>
    <w:rsid w:val="00B12977"/>
    <w:rsid w:val="00B140C8"/>
    <w:rsid w:val="00B1503E"/>
    <w:rsid w:val="00B16C99"/>
    <w:rsid w:val="00B2099F"/>
    <w:rsid w:val="00B302CF"/>
    <w:rsid w:val="00B31534"/>
    <w:rsid w:val="00B36075"/>
    <w:rsid w:val="00B43037"/>
    <w:rsid w:val="00B43964"/>
    <w:rsid w:val="00B443A5"/>
    <w:rsid w:val="00B47199"/>
    <w:rsid w:val="00B5006B"/>
    <w:rsid w:val="00B50B99"/>
    <w:rsid w:val="00B543B3"/>
    <w:rsid w:val="00B55BA2"/>
    <w:rsid w:val="00B57B93"/>
    <w:rsid w:val="00B62A43"/>
    <w:rsid w:val="00B642D2"/>
    <w:rsid w:val="00B70ACD"/>
    <w:rsid w:val="00B71A29"/>
    <w:rsid w:val="00B730B3"/>
    <w:rsid w:val="00B74334"/>
    <w:rsid w:val="00B778C6"/>
    <w:rsid w:val="00B8104E"/>
    <w:rsid w:val="00B8159D"/>
    <w:rsid w:val="00B815E8"/>
    <w:rsid w:val="00B82D44"/>
    <w:rsid w:val="00B841E2"/>
    <w:rsid w:val="00B861DE"/>
    <w:rsid w:val="00B95870"/>
    <w:rsid w:val="00B97E6B"/>
    <w:rsid w:val="00BA1CDD"/>
    <w:rsid w:val="00BA23FD"/>
    <w:rsid w:val="00BA51F5"/>
    <w:rsid w:val="00BA6854"/>
    <w:rsid w:val="00BB35CF"/>
    <w:rsid w:val="00BB5810"/>
    <w:rsid w:val="00BC1299"/>
    <w:rsid w:val="00BC2161"/>
    <w:rsid w:val="00BC7A28"/>
    <w:rsid w:val="00BD1E7E"/>
    <w:rsid w:val="00BD35AC"/>
    <w:rsid w:val="00BD5E8B"/>
    <w:rsid w:val="00BD6E9E"/>
    <w:rsid w:val="00BF03BB"/>
    <w:rsid w:val="00BF3F90"/>
    <w:rsid w:val="00BF5A33"/>
    <w:rsid w:val="00BF6835"/>
    <w:rsid w:val="00C03527"/>
    <w:rsid w:val="00C037CC"/>
    <w:rsid w:val="00C0729C"/>
    <w:rsid w:val="00C101B7"/>
    <w:rsid w:val="00C11FB0"/>
    <w:rsid w:val="00C14379"/>
    <w:rsid w:val="00C2192D"/>
    <w:rsid w:val="00C222E7"/>
    <w:rsid w:val="00C24309"/>
    <w:rsid w:val="00C26F18"/>
    <w:rsid w:val="00C27091"/>
    <w:rsid w:val="00C278F3"/>
    <w:rsid w:val="00C374BE"/>
    <w:rsid w:val="00C41A0F"/>
    <w:rsid w:val="00C507E6"/>
    <w:rsid w:val="00C53DE0"/>
    <w:rsid w:val="00C55D85"/>
    <w:rsid w:val="00C647F6"/>
    <w:rsid w:val="00C64EDA"/>
    <w:rsid w:val="00C6516B"/>
    <w:rsid w:val="00C70C4B"/>
    <w:rsid w:val="00C70D4A"/>
    <w:rsid w:val="00C728E5"/>
    <w:rsid w:val="00C764AC"/>
    <w:rsid w:val="00C76E0D"/>
    <w:rsid w:val="00C81208"/>
    <w:rsid w:val="00C812D1"/>
    <w:rsid w:val="00C870E5"/>
    <w:rsid w:val="00C91095"/>
    <w:rsid w:val="00C93532"/>
    <w:rsid w:val="00CA141D"/>
    <w:rsid w:val="00CB253F"/>
    <w:rsid w:val="00CC009C"/>
    <w:rsid w:val="00CC0949"/>
    <w:rsid w:val="00CC2211"/>
    <w:rsid w:val="00CC38BC"/>
    <w:rsid w:val="00CC4A39"/>
    <w:rsid w:val="00CC4AE6"/>
    <w:rsid w:val="00CD2C58"/>
    <w:rsid w:val="00CD4A6D"/>
    <w:rsid w:val="00CD7397"/>
    <w:rsid w:val="00CD7500"/>
    <w:rsid w:val="00CE1678"/>
    <w:rsid w:val="00CE38BD"/>
    <w:rsid w:val="00CE62EA"/>
    <w:rsid w:val="00CE67DF"/>
    <w:rsid w:val="00CF1DE8"/>
    <w:rsid w:val="00CF3BE3"/>
    <w:rsid w:val="00D0138A"/>
    <w:rsid w:val="00D11F03"/>
    <w:rsid w:val="00D140C2"/>
    <w:rsid w:val="00D14D0C"/>
    <w:rsid w:val="00D15B61"/>
    <w:rsid w:val="00D15F05"/>
    <w:rsid w:val="00D2336E"/>
    <w:rsid w:val="00D272CC"/>
    <w:rsid w:val="00D3122F"/>
    <w:rsid w:val="00D42301"/>
    <w:rsid w:val="00D43B27"/>
    <w:rsid w:val="00D56992"/>
    <w:rsid w:val="00D622E9"/>
    <w:rsid w:val="00D645E8"/>
    <w:rsid w:val="00D65558"/>
    <w:rsid w:val="00D6603D"/>
    <w:rsid w:val="00D66455"/>
    <w:rsid w:val="00D7130B"/>
    <w:rsid w:val="00DA04E8"/>
    <w:rsid w:val="00DA2C07"/>
    <w:rsid w:val="00DA366B"/>
    <w:rsid w:val="00DB2D84"/>
    <w:rsid w:val="00DC0685"/>
    <w:rsid w:val="00DC2ECD"/>
    <w:rsid w:val="00DC326D"/>
    <w:rsid w:val="00DC3464"/>
    <w:rsid w:val="00DC4B63"/>
    <w:rsid w:val="00DC5639"/>
    <w:rsid w:val="00DC6426"/>
    <w:rsid w:val="00DC6CD1"/>
    <w:rsid w:val="00DD0451"/>
    <w:rsid w:val="00DD3A1F"/>
    <w:rsid w:val="00DD46FA"/>
    <w:rsid w:val="00DD4D2A"/>
    <w:rsid w:val="00DE06A5"/>
    <w:rsid w:val="00DE3437"/>
    <w:rsid w:val="00DF11E9"/>
    <w:rsid w:val="00DF1BF1"/>
    <w:rsid w:val="00DF39C9"/>
    <w:rsid w:val="00DF55D7"/>
    <w:rsid w:val="00E014EC"/>
    <w:rsid w:val="00E05902"/>
    <w:rsid w:val="00E06AD7"/>
    <w:rsid w:val="00E100F3"/>
    <w:rsid w:val="00E10114"/>
    <w:rsid w:val="00E1160D"/>
    <w:rsid w:val="00E14CC8"/>
    <w:rsid w:val="00E22AF3"/>
    <w:rsid w:val="00E24203"/>
    <w:rsid w:val="00E3169A"/>
    <w:rsid w:val="00E34BD2"/>
    <w:rsid w:val="00E404AF"/>
    <w:rsid w:val="00E41E61"/>
    <w:rsid w:val="00E50B82"/>
    <w:rsid w:val="00E54713"/>
    <w:rsid w:val="00E57716"/>
    <w:rsid w:val="00E624D3"/>
    <w:rsid w:val="00E62CAE"/>
    <w:rsid w:val="00E62E1A"/>
    <w:rsid w:val="00E64E0A"/>
    <w:rsid w:val="00E669EE"/>
    <w:rsid w:val="00E66A23"/>
    <w:rsid w:val="00E70431"/>
    <w:rsid w:val="00E7122D"/>
    <w:rsid w:val="00E73C55"/>
    <w:rsid w:val="00E7414D"/>
    <w:rsid w:val="00E757F8"/>
    <w:rsid w:val="00E900FD"/>
    <w:rsid w:val="00E9577B"/>
    <w:rsid w:val="00EA1A3C"/>
    <w:rsid w:val="00EA235E"/>
    <w:rsid w:val="00EA6916"/>
    <w:rsid w:val="00EB5557"/>
    <w:rsid w:val="00EC0DDE"/>
    <w:rsid w:val="00EC1E76"/>
    <w:rsid w:val="00EC227B"/>
    <w:rsid w:val="00EC62B8"/>
    <w:rsid w:val="00EC693B"/>
    <w:rsid w:val="00EC6AC6"/>
    <w:rsid w:val="00ED2F1D"/>
    <w:rsid w:val="00ED3FD4"/>
    <w:rsid w:val="00ED4E04"/>
    <w:rsid w:val="00EE6022"/>
    <w:rsid w:val="00EE751F"/>
    <w:rsid w:val="00F04064"/>
    <w:rsid w:val="00F066BC"/>
    <w:rsid w:val="00F0726A"/>
    <w:rsid w:val="00F10B45"/>
    <w:rsid w:val="00F10B56"/>
    <w:rsid w:val="00F15B9C"/>
    <w:rsid w:val="00F22BF2"/>
    <w:rsid w:val="00F24A91"/>
    <w:rsid w:val="00F366CB"/>
    <w:rsid w:val="00F46192"/>
    <w:rsid w:val="00F468A7"/>
    <w:rsid w:val="00F60964"/>
    <w:rsid w:val="00F71492"/>
    <w:rsid w:val="00F72329"/>
    <w:rsid w:val="00F72D73"/>
    <w:rsid w:val="00F757CA"/>
    <w:rsid w:val="00F75F9A"/>
    <w:rsid w:val="00F760C3"/>
    <w:rsid w:val="00F7649C"/>
    <w:rsid w:val="00F77D0F"/>
    <w:rsid w:val="00F80C44"/>
    <w:rsid w:val="00F8103D"/>
    <w:rsid w:val="00F84185"/>
    <w:rsid w:val="00F84B92"/>
    <w:rsid w:val="00F867C0"/>
    <w:rsid w:val="00F87ABA"/>
    <w:rsid w:val="00F94AD2"/>
    <w:rsid w:val="00F95BFB"/>
    <w:rsid w:val="00F979CC"/>
    <w:rsid w:val="00FA1D0A"/>
    <w:rsid w:val="00FA24F1"/>
    <w:rsid w:val="00FA378A"/>
    <w:rsid w:val="00FA6B2C"/>
    <w:rsid w:val="00FB276D"/>
    <w:rsid w:val="00FB5811"/>
    <w:rsid w:val="00FB5DF1"/>
    <w:rsid w:val="00FB6F2A"/>
    <w:rsid w:val="00FC37DB"/>
    <w:rsid w:val="00FC3A6B"/>
    <w:rsid w:val="00FC7A8C"/>
    <w:rsid w:val="00FD1C9C"/>
    <w:rsid w:val="00FD4364"/>
    <w:rsid w:val="00FD5E33"/>
    <w:rsid w:val="00FD7137"/>
    <w:rsid w:val="00FE35B6"/>
    <w:rsid w:val="00FE6534"/>
    <w:rsid w:val="00FF14A5"/>
    <w:rsid w:val="00FF3458"/>
    <w:rsid w:val="00FF6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46043"/>
  <w15:chartTrackingRefBased/>
  <w15:docId w15:val="{125750CD-E9D4-43F0-959B-4C0F1F87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7AB"/>
  </w:style>
  <w:style w:type="paragraph" w:styleId="Heading1">
    <w:name w:val="heading 1"/>
    <w:basedOn w:val="Normal"/>
    <w:next w:val="Normal"/>
    <w:link w:val="Heading1Char"/>
    <w:uiPriority w:val="9"/>
    <w:qFormat/>
    <w:rsid w:val="00497759"/>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semiHidden/>
    <w:unhideWhenUsed/>
    <w:qFormat/>
    <w:rsid w:val="007757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759"/>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semiHidden/>
    <w:rsid w:val="007757AB"/>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link w:val="ListParagraph"/>
    <w:uiPriority w:val="1"/>
    <w:qFormat/>
    <w:locked/>
    <w:rsid w:val="007757AB"/>
    <w:rPr>
      <w:rFonts w:ascii="Calibri" w:eastAsia="MS Mincho" w:hAnsi="Calibri" w:cs="Times New Roman"/>
    </w:rPr>
  </w:style>
  <w:style w:type="paragraph" w:styleId="ListParagraph">
    <w:name w:val="List Paragraph"/>
    <w:basedOn w:val="Normal"/>
    <w:link w:val="ListParagraphChar"/>
    <w:uiPriority w:val="1"/>
    <w:qFormat/>
    <w:rsid w:val="007757AB"/>
    <w:pPr>
      <w:spacing w:after="200" w:line="276" w:lineRule="auto"/>
      <w:ind w:left="720"/>
      <w:contextualSpacing/>
    </w:pPr>
    <w:rPr>
      <w:rFonts w:ascii="Calibri" w:eastAsia="MS Mincho" w:hAnsi="Calibri" w:cs="Times New Roman"/>
    </w:rPr>
  </w:style>
  <w:style w:type="paragraph" w:styleId="NormalWeb">
    <w:name w:val="Normal (Web)"/>
    <w:basedOn w:val="Normal"/>
    <w:uiPriority w:val="99"/>
    <w:unhideWhenUsed/>
    <w:rsid w:val="007757AB"/>
    <w:pPr>
      <w:spacing w:before="100" w:beforeAutospacing="1" w:after="100" w:afterAutospacing="1" w:line="240" w:lineRule="auto"/>
    </w:pPr>
    <w:rPr>
      <w:rFonts w:ascii="Times New Roman" w:eastAsia="MS Mincho" w:hAnsi="Times New Roman" w:cs="Times New Roman"/>
      <w:sz w:val="24"/>
      <w:szCs w:val="24"/>
    </w:rPr>
  </w:style>
  <w:style w:type="table" w:styleId="TableGrid">
    <w:name w:val="Table Grid"/>
    <w:basedOn w:val="TableNormal"/>
    <w:uiPriority w:val="59"/>
    <w:rsid w:val="007757AB"/>
    <w:pPr>
      <w:spacing w:after="0" w:line="240" w:lineRule="auto"/>
    </w:pPr>
    <w:rPr>
      <w:rFonts w:ascii="Calibri" w:eastAsia="MS Mincho"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7757AB"/>
    <w:pPr>
      <w:spacing w:after="0" w:line="240" w:lineRule="auto"/>
    </w:pPr>
    <w:rPr>
      <w:rFonts w:ascii="Calibri" w:eastAsia="Calibri" w:hAnsi="Calibri" w:cs="Times New Roman"/>
    </w:rPr>
  </w:style>
  <w:style w:type="paragraph" w:styleId="BodyText">
    <w:name w:val="Body Text"/>
    <w:basedOn w:val="Normal"/>
    <w:link w:val="BodyTextChar"/>
    <w:uiPriority w:val="1"/>
    <w:unhideWhenUsed/>
    <w:qFormat/>
    <w:rsid w:val="007757AB"/>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7757AB"/>
    <w:rPr>
      <w:rFonts w:ascii="Arial" w:eastAsia="Arial" w:hAnsi="Arial" w:cs="Arial"/>
      <w:sz w:val="24"/>
      <w:szCs w:val="24"/>
    </w:rPr>
  </w:style>
  <w:style w:type="paragraph" w:customStyle="1" w:styleId="TableParagraph">
    <w:name w:val="Table Paragraph"/>
    <w:basedOn w:val="Normal"/>
    <w:uiPriority w:val="1"/>
    <w:qFormat/>
    <w:rsid w:val="007757AB"/>
    <w:pPr>
      <w:widowControl w:val="0"/>
      <w:autoSpaceDE w:val="0"/>
      <w:autoSpaceDN w:val="0"/>
      <w:spacing w:after="0" w:line="240" w:lineRule="auto"/>
    </w:pPr>
    <w:rPr>
      <w:rFonts w:ascii="Arial" w:eastAsia="Arial" w:hAnsi="Arial" w:cs="Times New Roman"/>
    </w:rPr>
  </w:style>
  <w:style w:type="character" w:customStyle="1" w:styleId="y2iqfc">
    <w:name w:val="y2iqfc"/>
    <w:basedOn w:val="DefaultParagraphFont"/>
    <w:rsid w:val="007757AB"/>
  </w:style>
  <w:style w:type="paragraph" w:styleId="Caption">
    <w:name w:val="caption"/>
    <w:basedOn w:val="Normal"/>
    <w:next w:val="Normal"/>
    <w:uiPriority w:val="35"/>
    <w:unhideWhenUsed/>
    <w:qFormat/>
    <w:rsid w:val="007757AB"/>
    <w:pPr>
      <w:spacing w:after="200" w:line="240" w:lineRule="auto"/>
    </w:pPr>
    <w:rPr>
      <w:i/>
      <w:iCs/>
      <w:color w:val="44546A" w:themeColor="text2"/>
      <w:sz w:val="18"/>
      <w:szCs w:val="18"/>
    </w:rPr>
  </w:style>
  <w:style w:type="character" w:customStyle="1" w:styleId="tlid-translation">
    <w:name w:val="tlid-translation"/>
    <w:basedOn w:val="DefaultParagraphFont"/>
    <w:rsid w:val="007757AB"/>
  </w:style>
  <w:style w:type="paragraph" w:styleId="Header">
    <w:name w:val="header"/>
    <w:basedOn w:val="Normal"/>
    <w:link w:val="HeaderChar"/>
    <w:uiPriority w:val="99"/>
    <w:unhideWhenUsed/>
    <w:rsid w:val="00775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7AB"/>
  </w:style>
  <w:style w:type="paragraph" w:styleId="Footer">
    <w:name w:val="footer"/>
    <w:basedOn w:val="Normal"/>
    <w:link w:val="FooterChar"/>
    <w:uiPriority w:val="99"/>
    <w:unhideWhenUsed/>
    <w:rsid w:val="00775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7AB"/>
  </w:style>
  <w:style w:type="paragraph" w:styleId="TableofFigures">
    <w:name w:val="table of figures"/>
    <w:basedOn w:val="Normal"/>
    <w:next w:val="Normal"/>
    <w:uiPriority w:val="99"/>
    <w:unhideWhenUsed/>
    <w:rsid w:val="007757AB"/>
    <w:pPr>
      <w:spacing w:after="0"/>
    </w:pPr>
  </w:style>
  <w:style w:type="character" w:styleId="Hyperlink">
    <w:name w:val="Hyperlink"/>
    <w:basedOn w:val="DefaultParagraphFont"/>
    <w:uiPriority w:val="99"/>
    <w:unhideWhenUsed/>
    <w:rsid w:val="007757AB"/>
    <w:rPr>
      <w:color w:val="0563C1" w:themeColor="hyperlink"/>
      <w:u w:val="single"/>
    </w:rPr>
  </w:style>
  <w:style w:type="paragraph" w:styleId="TOCHeading">
    <w:name w:val="TOC Heading"/>
    <w:basedOn w:val="Heading1"/>
    <w:next w:val="Normal"/>
    <w:uiPriority w:val="39"/>
    <w:unhideWhenUsed/>
    <w:qFormat/>
    <w:rsid w:val="007757AB"/>
    <w:pPr>
      <w:outlineLvl w:val="9"/>
    </w:pPr>
  </w:style>
  <w:style w:type="paragraph" w:styleId="TOC1">
    <w:name w:val="toc 1"/>
    <w:basedOn w:val="Normal"/>
    <w:next w:val="Normal"/>
    <w:autoRedefine/>
    <w:uiPriority w:val="39"/>
    <w:unhideWhenUsed/>
    <w:rsid w:val="007757AB"/>
    <w:pPr>
      <w:tabs>
        <w:tab w:val="right" w:leader="dot" w:pos="8261"/>
      </w:tabs>
      <w:spacing w:after="0" w:line="480" w:lineRule="auto"/>
    </w:pPr>
  </w:style>
  <w:style w:type="paragraph" w:styleId="TOC2">
    <w:name w:val="toc 2"/>
    <w:basedOn w:val="Normal"/>
    <w:next w:val="Normal"/>
    <w:autoRedefine/>
    <w:uiPriority w:val="39"/>
    <w:unhideWhenUsed/>
    <w:rsid w:val="008F67DD"/>
    <w:pPr>
      <w:tabs>
        <w:tab w:val="right" w:leader="dot" w:pos="8261"/>
      </w:tabs>
      <w:spacing w:after="100"/>
      <w:ind w:left="540" w:hanging="270"/>
    </w:pPr>
  </w:style>
  <w:style w:type="paragraph" w:styleId="TOC3">
    <w:name w:val="toc 3"/>
    <w:basedOn w:val="Normal"/>
    <w:next w:val="Normal"/>
    <w:autoRedefine/>
    <w:uiPriority w:val="39"/>
    <w:unhideWhenUsed/>
    <w:rsid w:val="00BA23FD"/>
    <w:pPr>
      <w:tabs>
        <w:tab w:val="left" w:pos="880"/>
        <w:tab w:val="right" w:leader="dot" w:pos="8261"/>
      </w:tabs>
      <w:spacing w:after="100" w:line="360" w:lineRule="auto"/>
      <w:ind w:left="440" w:firstLine="127"/>
    </w:pPr>
  </w:style>
  <w:style w:type="paragraph" w:styleId="BalloonText">
    <w:name w:val="Balloon Text"/>
    <w:basedOn w:val="Normal"/>
    <w:link w:val="BalloonTextChar"/>
    <w:uiPriority w:val="99"/>
    <w:semiHidden/>
    <w:unhideWhenUsed/>
    <w:rsid w:val="007757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7AB"/>
    <w:rPr>
      <w:rFonts w:ascii="Segoe UI" w:hAnsi="Segoe UI" w:cs="Segoe UI"/>
      <w:sz w:val="18"/>
      <w:szCs w:val="18"/>
    </w:rPr>
  </w:style>
  <w:style w:type="paragraph" w:styleId="HTMLPreformatted">
    <w:name w:val="HTML Preformatted"/>
    <w:basedOn w:val="Normal"/>
    <w:link w:val="HTMLPreformattedChar"/>
    <w:uiPriority w:val="99"/>
    <w:semiHidden/>
    <w:unhideWhenUsed/>
    <w:rsid w:val="00775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757AB"/>
    <w:rPr>
      <w:rFonts w:ascii="Courier New" w:eastAsia="Times New Roman" w:hAnsi="Courier New" w:cs="Courier New"/>
      <w:sz w:val="20"/>
      <w:szCs w:val="20"/>
    </w:rPr>
  </w:style>
  <w:style w:type="character" w:styleId="PlaceholderText">
    <w:name w:val="Placeholder Text"/>
    <w:basedOn w:val="DefaultParagraphFont"/>
    <w:uiPriority w:val="99"/>
    <w:semiHidden/>
    <w:rsid w:val="0054296F"/>
    <w:rPr>
      <w:color w:val="808080"/>
    </w:rPr>
  </w:style>
  <w:style w:type="character" w:styleId="CommentReference">
    <w:name w:val="annotation reference"/>
    <w:basedOn w:val="DefaultParagraphFont"/>
    <w:uiPriority w:val="99"/>
    <w:semiHidden/>
    <w:unhideWhenUsed/>
    <w:rsid w:val="002D7E1D"/>
    <w:rPr>
      <w:sz w:val="16"/>
      <w:szCs w:val="16"/>
    </w:rPr>
  </w:style>
  <w:style w:type="paragraph" w:styleId="CommentText">
    <w:name w:val="annotation text"/>
    <w:basedOn w:val="Normal"/>
    <w:link w:val="CommentTextChar"/>
    <w:uiPriority w:val="99"/>
    <w:semiHidden/>
    <w:unhideWhenUsed/>
    <w:rsid w:val="002D7E1D"/>
    <w:pPr>
      <w:spacing w:line="240" w:lineRule="auto"/>
    </w:pPr>
    <w:rPr>
      <w:sz w:val="20"/>
      <w:szCs w:val="20"/>
    </w:rPr>
  </w:style>
  <w:style w:type="character" w:customStyle="1" w:styleId="CommentTextChar">
    <w:name w:val="Comment Text Char"/>
    <w:basedOn w:val="DefaultParagraphFont"/>
    <w:link w:val="CommentText"/>
    <w:uiPriority w:val="99"/>
    <w:semiHidden/>
    <w:rsid w:val="002D7E1D"/>
    <w:rPr>
      <w:sz w:val="20"/>
      <w:szCs w:val="20"/>
    </w:rPr>
  </w:style>
  <w:style w:type="paragraph" w:styleId="CommentSubject">
    <w:name w:val="annotation subject"/>
    <w:basedOn w:val="CommentText"/>
    <w:next w:val="CommentText"/>
    <w:link w:val="CommentSubjectChar"/>
    <w:uiPriority w:val="99"/>
    <w:semiHidden/>
    <w:unhideWhenUsed/>
    <w:rsid w:val="002D7E1D"/>
    <w:rPr>
      <w:b/>
      <w:bCs/>
    </w:rPr>
  </w:style>
  <w:style w:type="character" w:customStyle="1" w:styleId="CommentSubjectChar">
    <w:name w:val="Comment Subject Char"/>
    <w:basedOn w:val="CommentTextChar"/>
    <w:link w:val="CommentSubject"/>
    <w:uiPriority w:val="99"/>
    <w:semiHidden/>
    <w:rsid w:val="002D7E1D"/>
    <w:rPr>
      <w:b/>
      <w:bCs/>
      <w:sz w:val="20"/>
      <w:szCs w:val="20"/>
    </w:rPr>
  </w:style>
  <w:style w:type="paragraph" w:styleId="TOC4">
    <w:name w:val="toc 4"/>
    <w:basedOn w:val="Normal"/>
    <w:next w:val="Normal"/>
    <w:autoRedefine/>
    <w:uiPriority w:val="39"/>
    <w:unhideWhenUsed/>
    <w:rsid w:val="00E22AF3"/>
    <w:pPr>
      <w:spacing w:after="100"/>
      <w:ind w:left="660"/>
    </w:pPr>
    <w:rPr>
      <w:rFonts w:eastAsiaTheme="minorEastAsia"/>
    </w:rPr>
  </w:style>
  <w:style w:type="paragraph" w:styleId="TOC5">
    <w:name w:val="toc 5"/>
    <w:basedOn w:val="Normal"/>
    <w:next w:val="Normal"/>
    <w:autoRedefine/>
    <w:uiPriority w:val="39"/>
    <w:unhideWhenUsed/>
    <w:rsid w:val="00E22AF3"/>
    <w:pPr>
      <w:spacing w:after="100"/>
      <w:ind w:left="880"/>
    </w:pPr>
    <w:rPr>
      <w:rFonts w:eastAsiaTheme="minorEastAsia"/>
    </w:rPr>
  </w:style>
  <w:style w:type="paragraph" w:styleId="TOC6">
    <w:name w:val="toc 6"/>
    <w:basedOn w:val="Normal"/>
    <w:next w:val="Normal"/>
    <w:autoRedefine/>
    <w:uiPriority w:val="39"/>
    <w:unhideWhenUsed/>
    <w:rsid w:val="00E22AF3"/>
    <w:pPr>
      <w:spacing w:after="100"/>
      <w:ind w:left="1100"/>
    </w:pPr>
    <w:rPr>
      <w:rFonts w:eastAsiaTheme="minorEastAsia"/>
    </w:rPr>
  </w:style>
  <w:style w:type="paragraph" w:styleId="TOC7">
    <w:name w:val="toc 7"/>
    <w:basedOn w:val="Normal"/>
    <w:next w:val="Normal"/>
    <w:autoRedefine/>
    <w:uiPriority w:val="39"/>
    <w:unhideWhenUsed/>
    <w:rsid w:val="00E22AF3"/>
    <w:pPr>
      <w:spacing w:after="100"/>
      <w:ind w:left="1320"/>
    </w:pPr>
    <w:rPr>
      <w:rFonts w:eastAsiaTheme="minorEastAsia"/>
    </w:rPr>
  </w:style>
  <w:style w:type="paragraph" w:styleId="TOC8">
    <w:name w:val="toc 8"/>
    <w:basedOn w:val="Normal"/>
    <w:next w:val="Normal"/>
    <w:autoRedefine/>
    <w:uiPriority w:val="39"/>
    <w:unhideWhenUsed/>
    <w:rsid w:val="00E22AF3"/>
    <w:pPr>
      <w:spacing w:after="100"/>
      <w:ind w:left="1540"/>
    </w:pPr>
    <w:rPr>
      <w:rFonts w:eastAsiaTheme="minorEastAsia"/>
    </w:rPr>
  </w:style>
  <w:style w:type="paragraph" w:styleId="TOC9">
    <w:name w:val="toc 9"/>
    <w:basedOn w:val="Normal"/>
    <w:next w:val="Normal"/>
    <w:autoRedefine/>
    <w:uiPriority w:val="39"/>
    <w:unhideWhenUsed/>
    <w:rsid w:val="00E22AF3"/>
    <w:pPr>
      <w:spacing w:after="100"/>
      <w:ind w:left="1760"/>
    </w:pPr>
    <w:rPr>
      <w:rFonts w:eastAsiaTheme="minorEastAsia"/>
    </w:rPr>
  </w:style>
  <w:style w:type="paragraph" w:customStyle="1" w:styleId="Default">
    <w:name w:val="Default"/>
    <w:link w:val="DefaultChar"/>
    <w:rsid w:val="00B543B3"/>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har">
    <w:name w:val="Default Char"/>
    <w:link w:val="Default"/>
    <w:rsid w:val="00B543B3"/>
    <w:rPr>
      <w:rFonts w:ascii="Arial" w:eastAsia="Times New Roman" w:hAnsi="Arial" w:cs="Arial"/>
      <w:color w:val="000000"/>
      <w:sz w:val="24"/>
      <w:szCs w:val="24"/>
    </w:rPr>
  </w:style>
  <w:style w:type="paragraph" w:styleId="FootnoteText">
    <w:name w:val="footnote text"/>
    <w:basedOn w:val="Normal"/>
    <w:link w:val="FootnoteTextChar"/>
    <w:uiPriority w:val="99"/>
    <w:semiHidden/>
    <w:unhideWhenUsed/>
    <w:rsid w:val="00891F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FA6"/>
    <w:rPr>
      <w:sz w:val="20"/>
      <w:szCs w:val="20"/>
    </w:rPr>
  </w:style>
  <w:style w:type="character" w:styleId="FootnoteReference">
    <w:name w:val="footnote reference"/>
    <w:basedOn w:val="DefaultParagraphFont"/>
    <w:uiPriority w:val="99"/>
    <w:semiHidden/>
    <w:unhideWhenUsed/>
    <w:rsid w:val="00891FA6"/>
    <w:rPr>
      <w:vertAlign w:val="superscript"/>
    </w:rPr>
  </w:style>
  <w:style w:type="character" w:styleId="FollowedHyperlink">
    <w:name w:val="FollowedHyperlink"/>
    <w:basedOn w:val="DefaultParagraphFont"/>
    <w:uiPriority w:val="99"/>
    <w:semiHidden/>
    <w:unhideWhenUsed/>
    <w:rsid w:val="00D569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7800">
      <w:bodyDiv w:val="1"/>
      <w:marLeft w:val="0"/>
      <w:marRight w:val="0"/>
      <w:marTop w:val="0"/>
      <w:marBottom w:val="0"/>
      <w:divBdr>
        <w:top w:val="none" w:sz="0" w:space="0" w:color="auto"/>
        <w:left w:val="none" w:sz="0" w:space="0" w:color="auto"/>
        <w:bottom w:val="none" w:sz="0" w:space="0" w:color="auto"/>
        <w:right w:val="none" w:sz="0" w:space="0" w:color="auto"/>
      </w:divBdr>
    </w:div>
    <w:div w:id="234054345">
      <w:bodyDiv w:val="1"/>
      <w:marLeft w:val="0"/>
      <w:marRight w:val="0"/>
      <w:marTop w:val="0"/>
      <w:marBottom w:val="0"/>
      <w:divBdr>
        <w:top w:val="none" w:sz="0" w:space="0" w:color="auto"/>
        <w:left w:val="none" w:sz="0" w:space="0" w:color="auto"/>
        <w:bottom w:val="none" w:sz="0" w:space="0" w:color="auto"/>
        <w:right w:val="none" w:sz="0" w:space="0" w:color="auto"/>
      </w:divBdr>
      <w:divsChild>
        <w:div w:id="150340749">
          <w:marLeft w:val="547"/>
          <w:marRight w:val="0"/>
          <w:marTop w:val="0"/>
          <w:marBottom w:val="0"/>
          <w:divBdr>
            <w:top w:val="none" w:sz="0" w:space="0" w:color="auto"/>
            <w:left w:val="none" w:sz="0" w:space="0" w:color="auto"/>
            <w:bottom w:val="none" w:sz="0" w:space="0" w:color="auto"/>
            <w:right w:val="none" w:sz="0" w:space="0" w:color="auto"/>
          </w:divBdr>
        </w:div>
      </w:divsChild>
    </w:div>
    <w:div w:id="393084994">
      <w:bodyDiv w:val="1"/>
      <w:marLeft w:val="0"/>
      <w:marRight w:val="0"/>
      <w:marTop w:val="0"/>
      <w:marBottom w:val="0"/>
      <w:divBdr>
        <w:top w:val="none" w:sz="0" w:space="0" w:color="auto"/>
        <w:left w:val="none" w:sz="0" w:space="0" w:color="auto"/>
        <w:bottom w:val="none" w:sz="0" w:space="0" w:color="auto"/>
        <w:right w:val="none" w:sz="0" w:space="0" w:color="auto"/>
      </w:divBdr>
    </w:div>
    <w:div w:id="535235069">
      <w:bodyDiv w:val="1"/>
      <w:marLeft w:val="0"/>
      <w:marRight w:val="0"/>
      <w:marTop w:val="0"/>
      <w:marBottom w:val="0"/>
      <w:divBdr>
        <w:top w:val="none" w:sz="0" w:space="0" w:color="auto"/>
        <w:left w:val="none" w:sz="0" w:space="0" w:color="auto"/>
        <w:bottom w:val="none" w:sz="0" w:space="0" w:color="auto"/>
        <w:right w:val="none" w:sz="0" w:space="0" w:color="auto"/>
      </w:divBdr>
    </w:div>
    <w:div w:id="563176014">
      <w:bodyDiv w:val="1"/>
      <w:marLeft w:val="0"/>
      <w:marRight w:val="0"/>
      <w:marTop w:val="0"/>
      <w:marBottom w:val="0"/>
      <w:divBdr>
        <w:top w:val="none" w:sz="0" w:space="0" w:color="auto"/>
        <w:left w:val="none" w:sz="0" w:space="0" w:color="auto"/>
        <w:bottom w:val="none" w:sz="0" w:space="0" w:color="auto"/>
        <w:right w:val="none" w:sz="0" w:space="0" w:color="auto"/>
      </w:divBdr>
    </w:div>
    <w:div w:id="623850665">
      <w:bodyDiv w:val="1"/>
      <w:marLeft w:val="0"/>
      <w:marRight w:val="0"/>
      <w:marTop w:val="0"/>
      <w:marBottom w:val="0"/>
      <w:divBdr>
        <w:top w:val="none" w:sz="0" w:space="0" w:color="auto"/>
        <w:left w:val="none" w:sz="0" w:space="0" w:color="auto"/>
        <w:bottom w:val="none" w:sz="0" w:space="0" w:color="auto"/>
        <w:right w:val="none" w:sz="0" w:space="0" w:color="auto"/>
      </w:divBdr>
    </w:div>
    <w:div w:id="1003973271">
      <w:bodyDiv w:val="1"/>
      <w:marLeft w:val="0"/>
      <w:marRight w:val="0"/>
      <w:marTop w:val="0"/>
      <w:marBottom w:val="0"/>
      <w:divBdr>
        <w:top w:val="none" w:sz="0" w:space="0" w:color="auto"/>
        <w:left w:val="none" w:sz="0" w:space="0" w:color="auto"/>
        <w:bottom w:val="none" w:sz="0" w:space="0" w:color="auto"/>
        <w:right w:val="none" w:sz="0" w:space="0" w:color="auto"/>
      </w:divBdr>
    </w:div>
    <w:div w:id="1159271833">
      <w:bodyDiv w:val="1"/>
      <w:marLeft w:val="0"/>
      <w:marRight w:val="0"/>
      <w:marTop w:val="0"/>
      <w:marBottom w:val="0"/>
      <w:divBdr>
        <w:top w:val="none" w:sz="0" w:space="0" w:color="auto"/>
        <w:left w:val="none" w:sz="0" w:space="0" w:color="auto"/>
        <w:bottom w:val="none" w:sz="0" w:space="0" w:color="auto"/>
        <w:right w:val="none" w:sz="0" w:space="0" w:color="auto"/>
      </w:divBdr>
    </w:div>
    <w:div w:id="1362508281">
      <w:bodyDiv w:val="1"/>
      <w:marLeft w:val="0"/>
      <w:marRight w:val="0"/>
      <w:marTop w:val="0"/>
      <w:marBottom w:val="0"/>
      <w:divBdr>
        <w:top w:val="none" w:sz="0" w:space="0" w:color="auto"/>
        <w:left w:val="none" w:sz="0" w:space="0" w:color="auto"/>
        <w:bottom w:val="none" w:sz="0" w:space="0" w:color="auto"/>
        <w:right w:val="none" w:sz="0" w:space="0" w:color="auto"/>
      </w:divBdr>
      <w:divsChild>
        <w:div w:id="905073689">
          <w:marLeft w:val="547"/>
          <w:marRight w:val="0"/>
          <w:marTop w:val="0"/>
          <w:marBottom w:val="0"/>
          <w:divBdr>
            <w:top w:val="none" w:sz="0" w:space="0" w:color="auto"/>
            <w:left w:val="none" w:sz="0" w:space="0" w:color="auto"/>
            <w:bottom w:val="none" w:sz="0" w:space="0" w:color="auto"/>
            <w:right w:val="none" w:sz="0" w:space="0" w:color="auto"/>
          </w:divBdr>
        </w:div>
      </w:divsChild>
    </w:div>
    <w:div w:id="1559512865">
      <w:bodyDiv w:val="1"/>
      <w:marLeft w:val="0"/>
      <w:marRight w:val="0"/>
      <w:marTop w:val="0"/>
      <w:marBottom w:val="0"/>
      <w:divBdr>
        <w:top w:val="none" w:sz="0" w:space="0" w:color="auto"/>
        <w:left w:val="none" w:sz="0" w:space="0" w:color="auto"/>
        <w:bottom w:val="none" w:sz="0" w:space="0" w:color="auto"/>
        <w:right w:val="none" w:sz="0" w:space="0" w:color="auto"/>
      </w:divBdr>
    </w:div>
    <w:div w:id="209624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7.png"/><Relationship Id="rId25" Type="http://schemas.openxmlformats.org/officeDocument/2006/relationships/image" Target="media/image130.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0.png"/><Relationship Id="rId23" Type="http://schemas.microsoft.com/office/2007/relationships/hdphoto" Target="media/hdphoto2.wdp"/><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3.emf"/><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6CE69-37A4-4159-8DFB-443A6665A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75256</Words>
  <Characters>428965</Characters>
  <Application>Microsoft Office Word</Application>
  <DocSecurity>0</DocSecurity>
  <Lines>3574</Lines>
  <Paragraphs>1006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cp:lastPrinted>2022-11-04T08:32:00Z</cp:lastPrinted>
  <dcterms:created xsi:type="dcterms:W3CDTF">2022-11-04T08:31:00Z</dcterms:created>
  <dcterms:modified xsi:type="dcterms:W3CDTF">2022-11-04T08:47:00Z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60926538-ac4d-3131-8858-34f51364e686</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